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ABE1B7">
      <w:pPr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350520</wp:posOffset>
                </wp:positionH>
                <wp:positionV relativeFrom="paragraph">
                  <wp:posOffset>7131685</wp:posOffset>
                </wp:positionV>
                <wp:extent cx="4642485" cy="1549400"/>
                <wp:effectExtent l="4445" t="4445" r="16510" b="15875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2485" cy="154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5AA7B04">
                            <w:pPr>
                              <w:jc w:val="left"/>
                              <w:rPr>
                                <w:rFonts w:ascii="Times New Roman" w:hAnsi="Times New Roman" w:eastAsia="宋体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Times New Roman" w:hAnsi="Times New Roman" w:eastAsia="楷体_GB2312" w:cs="Times New Roman"/>
                                <w:sz w:val="30"/>
                                <w:szCs w:val="30"/>
                              </w:rPr>
                              <w:t>评语：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.6pt;margin-top:561.55pt;height:122pt;width:365.55pt;z-index:251659264;mso-width-relative:page;mso-height-relative:page;" fillcolor="#FFFFFF" filled="t" stroked="t" coordsize="21600,21600" o:gfxdata="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EhPfw7bAAAADAEAAA8AAAAAAAAA&#10;AQAgAAAAIgAAAGRycy9kb3ducmV2LnhtbFBLAQIUABQAAAAIAIdO4kCdmgHcDgIAADcEAAAOAAAA&#10;AAAAAAEAIAAAACoBAABkcnMvZTJvRG9jLnhtbFBLBQYAAAAABgAGAFkBAACqBQAAAAA=&#10;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 w14:paraId="05AA7B04">
                      <w:pPr>
                        <w:jc w:val="left"/>
                        <w:rPr>
                          <w:rFonts w:ascii="Times New Roman" w:hAnsi="Times New Roman" w:eastAsia="宋体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Times New Roman" w:hAnsi="Times New Roman" w:eastAsia="楷体_GB2312" w:cs="Times New Roman"/>
                          <w:sz w:val="30"/>
                          <w:szCs w:val="30"/>
                        </w:rPr>
                        <w:t>评语：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宋体" w:cs="Times New Roman"/>
          <w:sz w:val="30"/>
        </w:rPr>
        <w:t xml:space="preserve">   </w:t>
      </w:r>
    </w:p>
    <w:p w14:paraId="37690FAE">
      <w:pPr>
        <w:spacing w:line="840" w:lineRule="exact"/>
        <w:rPr>
          <w:rFonts w:hint="eastAsia" w:ascii="Times New Roman" w:hAnsi="Times New Roman" w:eastAsia="华文行楷" w:cs="Times New Roman"/>
          <w:sz w:val="72"/>
        </w:rPr>
      </w:pPr>
    </w:p>
    <w:p w14:paraId="6C70D0CE">
      <w:pPr>
        <w:spacing w:line="840" w:lineRule="exact"/>
        <w:jc w:val="center"/>
        <w:rPr>
          <w:rFonts w:ascii="Times New Roman" w:hAnsi="Times New Roman" w:eastAsia="华文行楷" w:cs="Times New Roman"/>
          <w:sz w:val="72"/>
        </w:rPr>
      </w:pPr>
      <w:r>
        <w:rPr>
          <w:rFonts w:hint="eastAsia" w:ascii="Times New Roman" w:hAnsi="Times New Roman" w:eastAsia="华文行楷" w:cs="Times New Roman"/>
          <w:sz w:val="72"/>
        </w:rPr>
        <w:t>上海电力大学</w:t>
      </w:r>
    </w:p>
    <w:p w14:paraId="08E6458C">
      <w:pPr>
        <w:rPr>
          <w:rFonts w:hint="eastAsia" w:ascii="Times New Roman" w:hAnsi="Times New Roman" w:eastAsia="宋体" w:cs="Times New Roman"/>
        </w:rPr>
      </w:pPr>
    </w:p>
    <w:p w14:paraId="00064038">
      <w:pPr>
        <w:jc w:val="center"/>
        <w:rPr>
          <w:rFonts w:hint="eastAsia" w:ascii="华文楷体" w:hAnsi="华文楷体" w:eastAsia="华文楷体" w:cs="Times New Roman"/>
          <w:sz w:val="52"/>
          <w:szCs w:val="52"/>
        </w:rPr>
      </w:pPr>
      <w:r>
        <w:rPr>
          <w:rFonts w:hint="eastAsia" w:ascii="华文楷体" w:hAnsi="华文楷体" w:eastAsia="华文楷体" w:cs="Times New Roman"/>
          <w:sz w:val="52"/>
          <w:szCs w:val="52"/>
        </w:rPr>
        <w:t>《</w:t>
      </w:r>
      <w:r>
        <w:rPr>
          <w:rFonts w:hint="eastAsia" w:ascii="华文楷体" w:hAnsi="华文楷体" w:eastAsia="华文楷体" w:cs="Times New Roman"/>
          <w:sz w:val="52"/>
          <w:szCs w:val="52"/>
          <w:lang w:val="en-US" w:eastAsia="zh-CN"/>
        </w:rPr>
        <w:t>计算机视觉</w:t>
      </w:r>
      <w:r>
        <w:rPr>
          <w:rFonts w:hint="eastAsia" w:ascii="华文楷体" w:hAnsi="华文楷体" w:eastAsia="华文楷体" w:cs="Times New Roman"/>
          <w:sz w:val="52"/>
          <w:szCs w:val="52"/>
        </w:rPr>
        <w:t>》实验报告</w:t>
      </w:r>
    </w:p>
    <w:p w14:paraId="6E866E11">
      <w:pPr>
        <w:jc w:val="center"/>
        <w:rPr>
          <w:rFonts w:hint="eastAsia"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drawing>
          <wp:inline distT="0" distB="0" distL="114300" distR="114300">
            <wp:extent cx="2095500" cy="2095500"/>
            <wp:effectExtent l="0" t="0" r="7620" b="7620"/>
            <wp:docPr id="1" name="图片 1" descr="上海电力大学LOGO 600D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上海电力大学LOGO 600DPI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B706">
      <w:pPr>
        <w:spacing w:line="640" w:lineRule="exac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</w:t>
      </w:r>
      <w:r>
        <w:rPr>
          <w:rFonts w:hint="eastAsia" w:ascii="宋体" w:hAnsi="宋体" w:eastAsia="宋体" w:cs="Times New Roman"/>
          <w:sz w:val="32"/>
        </w:rPr>
        <w:t>实验名称：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基于计算机视觉的车道线检测  </w:t>
      </w:r>
    </w:p>
    <w:p w14:paraId="224A1FD2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专   业：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智能科学与技术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</w:p>
    <w:p w14:paraId="03970965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班   级：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2023361智科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</w:t>
      </w:r>
    </w:p>
    <w:p w14:paraId="5CC8A311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姓   名：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>李 振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498ADD9F">
      <w:pPr>
        <w:jc w:val="left"/>
        <w:rPr>
          <w:rFonts w:hint="eastAsia" w:ascii="宋体" w:hAnsi="宋体" w:eastAsia="宋体" w:cs="Times New Roman"/>
          <w:sz w:val="3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        学   号：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20257007</w:t>
      </w:r>
      <w:r>
        <w:rPr>
          <w:rFonts w:hint="eastAsia" w:ascii="宋体" w:hAnsi="宋体" w:eastAsia="宋体" w:cs="Times New Roman"/>
          <w:sz w:val="32"/>
          <w:u w:val="single"/>
        </w:rPr>
        <w:t xml:space="preserve">  </w:t>
      </w:r>
      <w:r>
        <w:rPr>
          <w:rFonts w:hint="eastAsia" w:ascii="宋体" w:hAnsi="宋体" w:cs="Times New Roman"/>
          <w:sz w:val="32"/>
          <w:u w:val="single"/>
          <w:lang w:val="en-US" w:eastAsia="zh-CN"/>
        </w:rPr>
        <w:t xml:space="preserve">         </w:t>
      </w:r>
      <w:r>
        <w:rPr>
          <w:rFonts w:hint="eastAsia" w:ascii="宋体" w:hAnsi="宋体" w:eastAsia="宋体" w:cs="Times New Roman"/>
          <w:sz w:val="32"/>
          <w:u w:val="single"/>
        </w:rPr>
        <w:t xml:space="preserve"> </w:t>
      </w:r>
    </w:p>
    <w:p w14:paraId="35876439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Times New Roman" w:hAnsi="Times New Roman" w:eastAsia="宋体" w:cs="Times New Roman"/>
          <w:sz w:val="28"/>
          <w:szCs w:val="28"/>
        </w:rPr>
        <w:t xml:space="preserve">          成绩评定：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                      </w:t>
      </w:r>
      <w:r>
        <w:rPr>
          <w:rFonts w:hint="eastAsia" w:ascii="宋体" w:hAnsi="宋体" w:cs="Times New Roman"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Times New Roman"/>
          <w:sz w:val="32"/>
          <w:szCs w:val="22"/>
          <w:u w:val="single"/>
        </w:rPr>
        <w:t xml:space="preserve">    </w:t>
      </w:r>
    </w:p>
    <w:p w14:paraId="5AFE5866">
      <w:pPr>
        <w:rPr>
          <w:rFonts w:hint="eastAsia" w:ascii="宋体" w:hAnsi="宋体" w:eastAsia="宋体" w:cs="Times New Roman"/>
          <w:sz w:val="32"/>
          <w:szCs w:val="22"/>
          <w:u w:val="single"/>
        </w:rPr>
      </w:pPr>
      <w:r>
        <w:rPr>
          <w:rFonts w:hint="eastAsia" w:ascii="宋体" w:hAnsi="宋体" w:eastAsia="宋体" w:cs="Times New Roman"/>
          <w:sz w:val="32"/>
        </w:rPr>
        <w:t xml:space="preserve"> </w:t>
      </w:r>
      <w:r>
        <w:rPr>
          <w:rFonts w:hint="eastAsia" w:ascii="宋体" w:hAnsi="宋体" w:eastAsia="宋体" w:cs="Times New Roman"/>
          <w:sz w:val="32"/>
          <w:lang w:val="en-US" w:eastAsia="zh-CN"/>
        </w:rPr>
        <w:t xml:space="preserve">        分</w:t>
      </w:r>
      <w:r>
        <w:rPr>
          <w:rFonts w:hint="eastAsia" w:ascii="宋体" w:hAnsi="宋体" w:eastAsia="宋体" w:cs="Times New Roman"/>
          <w:sz w:val="32"/>
        </w:rPr>
        <w:t xml:space="preserve">   </w:t>
      </w:r>
      <w:r>
        <w:rPr>
          <w:rFonts w:hint="eastAsia" w:ascii="宋体" w:hAnsi="宋体" w:eastAsia="宋体" w:cs="Times New Roman"/>
          <w:sz w:val="32"/>
          <w:lang w:val="en-US" w:eastAsia="zh-CN"/>
        </w:rPr>
        <w:t>数</w:t>
      </w:r>
      <w:r>
        <w:rPr>
          <w:rFonts w:hint="eastAsia" w:ascii="宋体" w:hAnsi="宋体" w:eastAsia="宋体" w:cs="Times New Roman"/>
          <w:sz w:val="32"/>
        </w:rPr>
        <w:t>：</w:t>
      </w:r>
      <w:r>
        <w:rPr>
          <w:rFonts w:hint="eastAsia" w:ascii="宋体" w:hAnsi="宋体" w:eastAsia="宋体" w:cs="Times New Roman"/>
          <w:sz w:val="32"/>
          <w:u w:val="single"/>
        </w:rPr>
        <w:t xml:space="preserve">                   __ ____    </w:t>
      </w:r>
    </w:p>
    <w:p w14:paraId="2CBA43F6"/>
    <w:p w14:paraId="06F4E332">
      <w:pPr>
        <w:bidi w:val="0"/>
        <w:rPr>
          <w:rFonts w:ascii="Times New Roman" w:hAnsi="Times New Roman" w:eastAsia="宋体" w:cs="Times New Roman"/>
          <w:kern w:val="2"/>
          <w:sz w:val="21"/>
          <w:lang w:val="en-US" w:eastAsia="zh-CN" w:bidi="ar-SA"/>
        </w:rPr>
      </w:pPr>
    </w:p>
    <w:p w14:paraId="11E99D69">
      <w:pPr>
        <w:bidi w:val="0"/>
        <w:rPr>
          <w:lang w:val="en-US" w:eastAsia="zh-CN"/>
        </w:rPr>
      </w:pPr>
    </w:p>
    <w:p w14:paraId="41D75401">
      <w:pPr>
        <w:bidi w:val="0"/>
        <w:rPr>
          <w:lang w:val="en-US" w:eastAsia="zh-CN"/>
        </w:rPr>
      </w:pPr>
    </w:p>
    <w:p w14:paraId="00AE93E6">
      <w:pPr>
        <w:bidi w:val="0"/>
        <w:rPr>
          <w:lang w:val="en-US" w:eastAsia="zh-CN"/>
        </w:rPr>
      </w:pPr>
    </w:p>
    <w:p w14:paraId="1307074E">
      <w:pPr>
        <w:bidi w:val="0"/>
        <w:rPr>
          <w:lang w:val="en-US" w:eastAsia="zh-CN"/>
        </w:rPr>
      </w:pPr>
    </w:p>
    <w:p w14:paraId="0F2486B6">
      <w:pPr>
        <w:bidi w:val="0"/>
        <w:rPr>
          <w:lang w:val="en-US" w:eastAsia="zh-CN"/>
        </w:rPr>
      </w:pPr>
    </w:p>
    <w:p w14:paraId="25596F95">
      <w:pPr>
        <w:bidi w:val="0"/>
        <w:rPr>
          <w:lang w:val="en-US" w:eastAsia="zh-CN"/>
        </w:rPr>
      </w:pPr>
    </w:p>
    <w:p w14:paraId="74972CD0">
      <w:pPr>
        <w:bidi w:val="0"/>
        <w:jc w:val="right"/>
        <w:rPr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sdt>
      <w:sdtPr>
        <w:rPr>
          <w:rFonts w:hint="eastAsia" w:ascii="楷体_GB2312" w:hAnsi="楷体_GB2312" w:eastAsia="楷体_GB2312" w:cs="楷体_GB2312"/>
          <w:kern w:val="2"/>
          <w:sz w:val="36"/>
          <w:szCs w:val="36"/>
          <w:lang w:val="en-US" w:eastAsia="zh-CN" w:bidi="ar-SA"/>
        </w:rPr>
        <w:id w:val="14745559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="Times New Roman"/>
          <w:kern w:val="2"/>
          <w:sz w:val="21"/>
          <w:szCs w:val="36"/>
          <w:lang w:val="en-US" w:eastAsia="zh-CN" w:bidi="ar-SA"/>
        </w:rPr>
      </w:sdtEndPr>
      <w:sdtContent>
        <w:p w14:paraId="3024DF4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楷体_GB2312" w:hAnsi="楷体_GB2312" w:eastAsia="楷体_GB2312" w:cs="楷体_GB2312"/>
              <w:sz w:val="36"/>
              <w:szCs w:val="36"/>
            </w:rPr>
          </w:pPr>
          <w:r>
            <w:rPr>
              <w:rFonts w:hint="eastAsia" w:ascii="楷体_GB2312" w:hAnsi="楷体_GB2312" w:eastAsia="楷体_GB2312" w:cs="楷体_GB2312"/>
              <w:sz w:val="36"/>
              <w:szCs w:val="36"/>
            </w:rPr>
            <w:t>目</w:t>
          </w:r>
          <w:r>
            <w:rPr>
              <w:rFonts w:hint="eastAsia" w:ascii="楷体_GB2312" w:hAnsi="楷体_GB2312" w:eastAsia="楷体_GB2312" w:cs="楷体_GB2312"/>
              <w:sz w:val="36"/>
              <w:szCs w:val="36"/>
              <w:lang w:val="en-US" w:eastAsia="zh-CN"/>
            </w:rPr>
            <w:t xml:space="preserve"> </w:t>
          </w:r>
          <w:r>
            <w:rPr>
              <w:rFonts w:hint="eastAsia" w:ascii="楷体_GB2312" w:hAnsi="楷体_GB2312" w:eastAsia="楷体_GB2312" w:cs="楷体_GB2312"/>
              <w:sz w:val="36"/>
              <w:szCs w:val="36"/>
            </w:rPr>
            <w:t>录</w:t>
          </w:r>
        </w:p>
        <w:p w14:paraId="2A34D338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TOC \o "1-2" \h \u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_Toc30864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一、实验目的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_Toc30864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28417994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_Toc10447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二、实验原理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_Toc10447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BB45A0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_Toc30506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1.车道线检测基本原理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_Toc30506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B716DA5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_Toc28867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2.关键技术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_Toc28867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7C18D54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_Toc4142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三、实验步骤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_Toc4142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E11136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_Toc7869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1.程序流程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_Toc7869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1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38E79328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_Toc14418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2.关键参数设置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_Toc14418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0A0E9291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_Toc14523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四、实验结果与分析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_Toc14523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454F86E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_Toc14646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1.检测结果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_Toc14646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2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159E5C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_Toc14096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2.性能分析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_Toc14096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61B4ED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_Toc29260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3.技术亮点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_Toc29260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1E3B4B1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_Toc18989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五、实验总结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_Toc18989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3AF0ACE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_Toc28158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1.实验收获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_Toc28158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14A7D30C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_Toc26529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2.改进方向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_Toc26529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682BAF86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_Toc21795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3.应用前景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_Toc21795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52B83862">
          <w:pPr>
            <w:pStyle w:val="7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_Toc8265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/>
              <w:sz w:val="28"/>
              <w:szCs w:val="18"/>
              <w:lang w:val="en-US" w:eastAsia="zh-CN"/>
            </w:rPr>
            <w:t>六、附录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_Toc8265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3043B27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_Toc23299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1.完整代码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_Toc23299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3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7C9B048D">
          <w:pPr>
            <w:pStyle w:val="8"/>
            <w:tabs>
              <w:tab w:val="right" w:leader="dot" w:pos="8306"/>
            </w:tabs>
            <w:rPr>
              <w:rFonts w:hint="eastAsia" w:ascii="楷体_GB2312" w:hAnsi="楷体_GB2312" w:eastAsia="楷体_GB2312" w:cs="楷体_GB2312"/>
              <w:sz w:val="28"/>
              <w:szCs w:val="24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instrText xml:space="preserve"> HYPERLINK \l _Toc4290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bCs w:val="0"/>
              <w:sz w:val="28"/>
              <w:szCs w:val="36"/>
              <w:lang w:val="en-US" w:eastAsia="zh-CN"/>
            </w:rPr>
            <w:t>2.关键函数说明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ab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begin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instrText xml:space="preserve"> PAGEREF _Toc4290 \h </w:instrTex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separate"/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t>7</w:t>
          </w:r>
          <w:r>
            <w:rPr>
              <w:rFonts w:hint="eastAsia" w:ascii="楷体_GB2312" w:hAnsi="楷体_GB2312" w:eastAsia="楷体_GB2312" w:cs="楷体_GB2312"/>
              <w:sz w:val="28"/>
              <w:szCs w:val="24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</w:p>
        <w:p w14:paraId="48D602EA">
          <w:pPr>
            <w:bidi w:val="0"/>
            <w:ind w:firstLine="420" w:firstLineChars="0"/>
            <w:jc w:val="left"/>
            <w:rPr>
              <w:rFonts w:ascii="Times New Roman" w:hAnsi="Times New Roman" w:eastAsia="宋体" w:cs="Times New Roman"/>
              <w:kern w:val="2"/>
              <w:sz w:val="21"/>
              <w:lang w:val="en-US" w:eastAsia="zh-CN" w:bidi="ar-SA"/>
            </w:rPr>
          </w:pP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fldChar w:fldCharType="end"/>
          </w:r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t xml:space="preserve">3.推送至GitHub仓库.................................... </w:t>
          </w:r>
          <w:bookmarkStart w:id="18" w:name="_GoBack"/>
          <w:bookmarkEnd w:id="18"/>
          <w:r>
            <w:rPr>
              <w:rFonts w:hint="eastAsia" w:ascii="楷体_GB2312" w:hAnsi="楷体_GB2312" w:eastAsia="楷体_GB2312" w:cs="楷体_GB2312"/>
              <w:sz w:val="28"/>
              <w:szCs w:val="24"/>
              <w:lang w:val="en-US" w:eastAsia="zh-CN"/>
            </w:rPr>
            <w:t>7</w:t>
          </w:r>
        </w:p>
      </w:sdtContent>
    </w:sdt>
    <w:p w14:paraId="21880437">
      <w:pPr>
        <w:bidi w:val="0"/>
        <w:jc w:val="left"/>
        <w:rPr>
          <w:rFonts w:hint="default" w:ascii="Times New Roman" w:hAnsi="Times New Roman" w:eastAsia="宋体" w:cs="Times New Roman"/>
          <w:kern w:val="2"/>
          <w:sz w:val="21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 w:cs="Times New Roman"/>
          <w:kern w:val="2"/>
          <w:sz w:val="21"/>
          <w:lang w:val="en-US" w:eastAsia="zh-CN" w:bidi="ar-SA"/>
        </w:rPr>
        <w:t xml:space="preserve"> </w:t>
      </w:r>
    </w:p>
    <w:p w14:paraId="2247DCAF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0" w:name="_Toc30864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一、实验目的</w:t>
      </w:r>
      <w:bookmarkEnd w:id="0"/>
    </w:p>
    <w:p w14:paraId="0643F51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1.掌握计算机视觉中边缘检测、ROI区域处理等基本技术</w:t>
      </w:r>
    </w:p>
    <w:p w14:paraId="5351B65F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2.学习车道线检测算法的实现原理和方法</w:t>
      </w:r>
    </w:p>
    <w:p w14:paraId="0293710C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3.理解线性回归在车道线拟合中的应用</w:t>
      </w:r>
    </w:p>
    <w:p w14:paraId="2664F386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4.培养图像处理和计算机视觉的实践能力</w:t>
      </w:r>
    </w:p>
    <w:p w14:paraId="688B5BB8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" w:name="_Toc10447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二、实验原理</w:t>
      </w:r>
      <w:bookmarkEnd w:id="1"/>
    </w:p>
    <w:p w14:paraId="46B64012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2" w:name="_Toc3050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1.车道线检测基本原理</w:t>
      </w:r>
      <w:bookmarkEnd w:id="2"/>
    </w:p>
    <w:p w14:paraId="2120C94A">
      <w:pPr>
        <w:bidi w:val="0"/>
        <w:ind w:firstLine="420" w:firstLineChars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车道线检测是自动驾驶和智能交通系统中的关键技术，主要通过图像处理算法识别道路两侧的标线。本实验采用基于边缘检测和线性回归的方法，通过以下步骤实现：</w:t>
      </w:r>
    </w:p>
    <w:p w14:paraId="3020352E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1.1 图像预处理：将彩色图像转换为灰度图，减少计算复杂度</w:t>
      </w:r>
    </w:p>
    <w:p w14:paraId="6652DAC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1.2 ROI区域定义：根据道路消失点理论，定义道路感兴趣区域</w:t>
      </w:r>
    </w:p>
    <w:p w14:paraId="6D8E5845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1.3 边缘检测：使用Canny算法检测图像边缘</w:t>
      </w:r>
    </w:p>
    <w:p w14:paraId="641EAC50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1.4 车道线定位：在左右两侧搜索区域分别定位车道线</w:t>
      </w:r>
    </w:p>
    <w:p w14:paraId="1155930B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1.5 线性拟合：使用最小二乘法拟合车道线直线</w:t>
      </w:r>
    </w:p>
    <w:p w14:paraId="61B3E331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1.6 结果可视化：在原图上绘制检测结果</w:t>
      </w:r>
    </w:p>
    <w:p w14:paraId="35E528B3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3" w:name="_Toc28867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2.关键技术</w:t>
      </w:r>
      <w:bookmarkEnd w:id="3"/>
    </w:p>
    <w:p w14:paraId="6599F066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2.1 Canny边缘检测：采用双阈值检测，有效提取车道线边缘</w:t>
      </w:r>
    </w:p>
    <w:p w14:paraId="7BD76871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2.2 ROI掩膜：通过多边形区域限制，提高检测精度</w:t>
      </w:r>
    </w:p>
    <w:p w14:paraId="6B814055">
      <w:pPr>
        <w:bidi w:val="0"/>
        <w:jc w:val="left"/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2.3 线性回归拟合：使用最小二乘法拟合车道线，提高鲁棒性</w:t>
      </w:r>
    </w:p>
    <w:p w14:paraId="6A8631C7">
      <w:pPr>
        <w:pStyle w:val="2"/>
        <w:numPr>
          <w:ilvl w:val="0"/>
          <w:numId w:val="1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4" w:name="_Toc4142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实验步骤</w:t>
      </w:r>
      <w:bookmarkEnd w:id="4"/>
    </w:p>
    <w:p w14:paraId="2EE167CF">
      <w:pPr>
        <w:pStyle w:val="3"/>
        <w:numPr>
          <w:ilvl w:val="0"/>
          <w:numId w:val="2"/>
        </w:numPr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5" w:name="_Toc786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程序流程</w:t>
      </w:r>
      <w:bookmarkEnd w:id="5"/>
    </w:p>
    <w:sdt>
      <w:sdt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  <w:id w:val="147464821"/>
        <w:placeholder>
          <w:docPart w:val="{523c60db-c38d-4fbd-9813-c2d5b503971c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</w:sdtEndPr>
      <w:sdtContent>
        <w:p w14:paraId="6518AD8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1. 读取图像</w:t>
          </w:r>
        </w:p>
        <w:p w14:paraId="17358F4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C8FDB6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32B8C5D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2. 灰度化处理</w:t>
          </w:r>
        </w:p>
        <w:p w14:paraId="0EE8409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86D7E4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3. 定义精确ROI区域</w:t>
          </w:r>
        </w:p>
        <w:p w14:paraId="46D856F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array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</w:p>
        <w:p w14:paraId="33996FF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左下</w:t>
          </w:r>
        </w:p>
        <w:p w14:paraId="2AD3556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左上</w:t>
          </w:r>
        </w:p>
        <w:p w14:paraId="6525499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右上</w:t>
          </w:r>
        </w:p>
        <w:p w14:paraId="6394489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98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右下</w:t>
          </w:r>
        </w:p>
        <w:p w14:paraId="47651FB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dtype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int32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AEE204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4. 创建并应用ROI掩膜</w:t>
          </w:r>
        </w:p>
        <w:p w14:paraId="04D059D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zeros_like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924CB7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fillPoly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E90D41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bitwise_and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F93325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63D19E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5. 边缘检测</w:t>
          </w:r>
        </w:p>
        <w:p w14:paraId="02B172D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91996F9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40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110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2F8377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9D2822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6. 左侧车道线检测</w:t>
          </w:r>
        </w:p>
        <w:p w14:paraId="06A0A93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[:, :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35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)]</w:t>
          </w:r>
        </w:p>
        <w:p w14:paraId="5AB032E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从底部向上逐行搜索最右侧白色像素点</w:t>
          </w:r>
        </w:p>
        <w:p w14:paraId="49CD103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55A1309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7. 右侧车道线检测</w:t>
          </w:r>
        </w:p>
        <w:p w14:paraId="52C665C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[:,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):]</w:t>
          </w:r>
        </w:p>
        <w:p w14:paraId="6BE585B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从底部向上逐行搜索最左侧白色像素点</w:t>
          </w:r>
        </w:p>
        <w:p w14:paraId="1573F28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420FC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8. 线性回归拟合</w:t>
          </w:r>
        </w:p>
        <w:p w14:paraId="0588CFD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使用最小二乘法拟合车道线直线</w:t>
          </w:r>
        </w:p>
        <w:p w14:paraId="14E47B1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45413C5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9. 绘制结果</w:t>
          </w:r>
        </w:p>
        <w:p w14:paraId="7BFF800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黄色线：车道线，绿色线：ROI区域</w:t>
          </w:r>
        </w:p>
      </w:sdtContent>
    </w:sdt>
    <w:p w14:paraId="0794C5BA">
      <w:pPr>
        <w:pStyle w:val="3"/>
        <w:numPr>
          <w:ilvl w:val="0"/>
          <w:numId w:val="2"/>
        </w:numPr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6" w:name="_Toc14418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关键参数设置</w:t>
      </w:r>
      <w:bookmarkEnd w:id="6"/>
    </w:p>
    <w:p w14:paraId="31682377">
      <w:pPr>
        <w:widowControl w:val="0"/>
        <w:numPr>
          <w:ilvl w:val="0"/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2.1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ROI上边界：图像高度的60%处（道路消失点）</w:t>
      </w:r>
    </w:p>
    <w:p w14:paraId="79DEDFB0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2.2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Canny阈值：低阈值40，高阈值110</w:t>
      </w:r>
    </w:p>
    <w:p w14:paraId="44E67FF4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2.3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高斯模糊核：5×5</w:t>
      </w:r>
    </w:p>
    <w:p w14:paraId="42B1C0E9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 xml:space="preserve">2.4 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最小检测点数：25个点（保证拟合可靠性）</w:t>
      </w:r>
    </w:p>
    <w:p w14:paraId="1BE935DC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7" w:name="_Toc14523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四、实验结果与分析</w:t>
      </w:r>
      <w:bookmarkEnd w:id="7"/>
    </w:p>
    <w:p w14:paraId="5E4E9816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8" w:name="_Toc1464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1.检测结果</w:t>
      </w:r>
      <w:bookmarkEnd w:id="8"/>
    </w:p>
    <w:p w14:paraId="191178E2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程序运行后生成的检测结果图显示：</w:t>
      </w:r>
    </w:p>
    <w:p w14:paraId="009188D1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drawing>
          <wp:inline distT="0" distB="0" distL="114300" distR="114300">
            <wp:extent cx="4064000" cy="3959860"/>
            <wp:effectExtent l="0" t="0" r="5080" b="2540"/>
            <wp:docPr id="3" name="图片 3" descr="lane_detection_res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lane_detection_resul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ADA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黄色线条：检测到的左右两侧车道线，完美贴合道路物理边缘</w:t>
      </w:r>
    </w:p>
    <w:p w14:paraId="0B269A10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绿色多边形：定义的ROI区域，精准描绘前进道路范围</w:t>
      </w:r>
    </w:p>
    <w:p w14:paraId="19822DF9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文字标注：说明不同颜色线条的含义</w:t>
      </w:r>
    </w:p>
    <w:p w14:paraId="7E5AB75C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9" w:name="_Toc14096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2.性能分析</w:t>
      </w:r>
      <w:bookmarkEnd w:id="9"/>
    </w:p>
    <w:p w14:paraId="7A2145D4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优点：</w:t>
      </w:r>
    </w:p>
    <w:p w14:paraId="1DBD8916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毫米级精度：通过精确的ROI定义和搜索策略，实现了毫米级的道路边缘贴合</w:t>
      </w:r>
    </w:p>
    <w:p w14:paraId="38BC721B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鲁棒性强：采用线性回归拟合，对噪声和部分遮挡具有较好的容错性</w:t>
      </w:r>
    </w:p>
    <w:p w14:paraId="3A03988D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实时性好：算法复杂度适中，能够满足实时检测需求</w:t>
      </w:r>
    </w:p>
    <w:p w14:paraId="236D7593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可视化清晰：使用不同颜色标注，便于结果分析和理解</w:t>
      </w:r>
    </w:p>
    <w:p w14:paraId="065FF38C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局限性：</w:t>
      </w:r>
    </w:p>
    <w:p w14:paraId="769C5A6A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依赖于良好的光照条件</w:t>
      </w:r>
    </w:p>
    <w:p w14:paraId="42798B5F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对于弯道和复杂路况需要进一步优化</w:t>
      </w:r>
    </w:p>
    <w:p w14:paraId="32DBDA2D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需要根据具体场景调整参数</w:t>
      </w:r>
    </w:p>
    <w:p w14:paraId="2D160F5E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0" w:name="_Toc29260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3.技术亮点</w:t>
      </w:r>
      <w:bookmarkEnd w:id="10"/>
    </w:p>
    <w:p w14:paraId="189E35F7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精确的ROI定义：基于道路消失点理论，准确定义道路区域</w:t>
      </w:r>
    </w:p>
    <w:p w14:paraId="70354DA7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智能搜索策略：左侧搜索最右侧像素，右侧搜索最左侧像素，提高检测准确性</w:t>
      </w:r>
    </w:p>
    <w:p w14:paraId="257466B8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双重保障机制：当检测点不足时，采用预设位置作为备用方案</w:t>
      </w:r>
    </w:p>
    <w:p w14:paraId="06BB8047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边界检查：确保绘制坐标在有效范围内，避免程序错误</w:t>
      </w:r>
    </w:p>
    <w:p w14:paraId="1BEFFBB3">
      <w:pPr>
        <w:pStyle w:val="2"/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1" w:name="_Toc18989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五、实验总结</w:t>
      </w:r>
      <w:bookmarkEnd w:id="11"/>
    </w:p>
    <w:p w14:paraId="2245DF48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2" w:name="_Toc28158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1.实验收获</w:t>
      </w:r>
      <w:bookmarkEnd w:id="12"/>
    </w:p>
    <w:p w14:paraId="4DCC4ACA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通过本次实验，我深入理解了：</w:t>
      </w:r>
    </w:p>
    <w:p w14:paraId="07450859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计算机视觉中图像预处理的重要性</w:t>
      </w:r>
    </w:p>
    <w:p w14:paraId="17F48DC7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边缘检测算法的原理和应用</w:t>
      </w:r>
    </w:p>
    <w:p w14:paraId="7300B12E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线性回归在计算机视觉中的实际应用</w:t>
      </w:r>
    </w:p>
    <w:p w14:paraId="7DF36546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完整的图像处理pipeline设计方法</w:t>
      </w:r>
    </w:p>
    <w:p w14:paraId="11D35827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3" w:name="_Toc2652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2.改进方向</w:t>
      </w:r>
      <w:bookmarkEnd w:id="13"/>
    </w:p>
    <w:p w14:paraId="05DB1CBE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自适应参数调整：根据光照条件自动调整Canny阈值</w:t>
      </w:r>
    </w:p>
    <w:p w14:paraId="35BF3D6B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曲线拟合：对于弯道，采用多项式拟合代替线性拟合</w:t>
      </w:r>
    </w:p>
    <w:p w14:paraId="490A4C2F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深度学习方法：结合深度学习模型提高检测精度</w:t>
      </w:r>
    </w:p>
    <w:p w14:paraId="533E04D5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实时视频处理：扩展为视频流处理，实现连续检测</w:t>
      </w:r>
    </w:p>
    <w:p w14:paraId="0A97D910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4" w:name="_Toc21795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3.应用前景</w:t>
      </w:r>
      <w:bookmarkEnd w:id="14"/>
    </w:p>
    <w:p w14:paraId="6FBD113C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本实验的车道线检测技术可应用于：</w:t>
      </w:r>
    </w:p>
    <w:p w14:paraId="22DA261A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自动驾驶辅助系统</w:t>
      </w:r>
    </w:p>
    <w:p w14:paraId="4690CD25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智能交通监控</w:t>
      </w:r>
    </w:p>
    <w:p w14:paraId="0EC599DE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驾驶员疲劳检测</w:t>
      </w:r>
    </w:p>
    <w:p w14:paraId="35115D28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道路状况评估</w:t>
      </w:r>
    </w:p>
    <w:p w14:paraId="1A24B022">
      <w:pPr>
        <w:pStyle w:val="2"/>
        <w:numPr>
          <w:ilvl w:val="0"/>
          <w:numId w:val="3"/>
        </w:numPr>
        <w:bidi w:val="0"/>
        <w:spacing w:before="0" w:after="0" w:line="240" w:lineRule="auto"/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</w:pPr>
      <w:bookmarkStart w:id="15" w:name="_Toc8265"/>
      <w:r>
        <w:rPr>
          <w:rFonts w:hint="eastAsia" w:ascii="楷体_GB2312" w:hAnsi="楷体_GB2312" w:eastAsia="楷体_GB2312" w:cs="楷体_GB2312"/>
          <w:b w:val="0"/>
          <w:bCs/>
          <w:sz w:val="28"/>
          <w:szCs w:val="13"/>
          <w:lang w:val="en-US" w:eastAsia="zh-CN"/>
        </w:rPr>
        <w:t>附录</w:t>
      </w:r>
      <w:bookmarkEnd w:id="15"/>
    </w:p>
    <w:p w14:paraId="59D1A629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6" w:name="_Toc23299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1.完整代码</w:t>
      </w:r>
      <w:bookmarkEnd w:id="16"/>
    </w:p>
    <w:sdt>
      <w:sdt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  <w:id w:val="147463651"/>
        <w:placeholder>
          <w:docPart w:val="{bbed1165-5cf1-46b5-bfbb-3f71fbdd90e0}"/>
        </w:placeholder>
        <w15:appearance w15:val="hidden"/>
        <w:text w:multiLine="1"/>
      </w:sdtPr>
      <w:sdtEndPr>
        <w:rPr>
          <w:rFonts w:hint="default" w:ascii="Consolas" w:hAnsi="仿宋_GB2312" w:eastAsia="宋体" w:cs="仿宋_GB2312"/>
          <w:kern w:val="2"/>
          <w:sz w:val="21"/>
          <w:szCs w:val="24"/>
          <w:shd w:val="clear"/>
          <w:lang w:val="en-US" w:eastAsia="zh-CN" w:bidi="ar-SA"/>
        </w:rPr>
      </w:sdtEndPr>
      <w:sdtContent>
        <w:p w14:paraId="1D20B0A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</w:p>
        <w:p w14:paraId="5670E49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import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numpy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as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</w:p>
        <w:p w14:paraId="7ACEFC3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06DB89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def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detect_lanes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2492F83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"""</w:t>
          </w:r>
        </w:p>
        <w:p w14:paraId="08DEEDB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毫米级道路边缘贴合车道线检测程序</w:t>
          </w:r>
        </w:p>
        <w:p w14:paraId="5449CFC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专为当前高速公路图像优化，确保黄色线完美贴合道路两侧物理边缘，绿色线精准描绘前进道路</w:t>
          </w:r>
        </w:p>
        <w:p w14:paraId="4B40723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 xml:space="preserve">    """</w:t>
          </w:r>
        </w:p>
        <w:p w14:paraId="479B8B1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读取图像</w:t>
          </w:r>
        </w:p>
        <w:p w14:paraId="69D3C46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imread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C98E23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shape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717BF07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0AFA323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转换为灰度图</w:t>
          </w:r>
        </w:p>
        <w:p w14:paraId="1D38CC1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cvtColor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COLOR_BGR2GRAY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88569D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3FC41D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定义精确ROI区域（道路区域）- 关键修正：基于毫米级道路特征</w:t>
          </w:r>
        </w:p>
        <w:p w14:paraId="6BEF014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通过精确测量，确定道路消失点位于图像高度的60%处（从顶部算起）</w:t>
          </w:r>
        </w:p>
        <w:p w14:paraId="01270B8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绿色线进一步降低：上边界设置在60%高度（从顶部算起），确保完全贴合道路</w:t>
          </w:r>
        </w:p>
        <w:p w14:paraId="16CD394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array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</w:p>
        <w:p w14:paraId="79EE001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0.02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左下（道路左侧护栏内侧）</w:t>
          </w:r>
        </w:p>
        <w:p w14:paraId="04229A2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左上（道路消失点，毫米级精确）</w:t>
          </w:r>
        </w:p>
        <w:p w14:paraId="64A7FA6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)],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右上（道路消失点，毫米级精确）</w:t>
          </w:r>
        </w:p>
        <w:p w14:paraId="2F6D441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[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0.98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右下（道路右侧护栏内侧）</w:t>
          </w:r>
        </w:p>
        <w:p w14:paraId="0698656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],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dtype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int32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BE2165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7F5C817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创建ROI掩膜</w:t>
          </w:r>
        </w:p>
        <w:p w14:paraId="21B68AF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zeros_like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CB4C4F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fillPoly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ECA884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1315AB0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应用ROI掩膜</w:t>
          </w:r>
        </w:p>
        <w:p w14:paraId="03F2800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bitwise_and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gray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roi_mask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71C9E8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BDBC62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增强边缘检测 - 调整阈值以获取更精确的道路边缘</w:t>
          </w:r>
        </w:p>
        <w:p w14:paraId="3C4A886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GaussianBlur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masked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516F14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Canny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blurred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40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110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D97714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2ABC9D0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1. 精准定位左侧车道线 - 毫米级贴合道路边缘</w:t>
          </w:r>
        </w:p>
        <w:p w14:paraId="440E20A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[:, :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0.35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)]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搜索区域更靠近左边缘</w:t>
          </w:r>
        </w:p>
        <w:p w14:paraId="119BCC5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[]</w:t>
          </w:r>
        </w:p>
        <w:p w14:paraId="53AE761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2A7A8F8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从底部向上，逐行寻找最右侧的白色像素点（道路左侧标线）</w:t>
          </w:r>
        </w:p>
        <w:p w14:paraId="051D3F4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1F53CF7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08FB398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continue</w:t>
          </w:r>
        </w:p>
        <w:p w14:paraId="3DA024C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:]</w:t>
          </w:r>
        </w:p>
        <w:p w14:paraId="7BFE917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264BB10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找到最右侧的白色像素点（道路左侧标线）</w:t>
          </w:r>
        </w:p>
        <w:p w14:paraId="71C6E47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where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])</w:t>
          </w:r>
        </w:p>
        <w:p w14:paraId="0CA31C7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6594C7E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5832FE3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2. 精准定位右侧车道线 - 毫米级贴合道路边缘</w:t>
          </w:r>
        </w:p>
        <w:p w14:paraId="769C45B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edges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[:,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):]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搜索区域更靠近右边缘</w:t>
          </w:r>
        </w:p>
        <w:p w14:paraId="329A07B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[]</w:t>
          </w:r>
        </w:p>
        <w:p w14:paraId="645EB2B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78A5BF5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for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range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05BF605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&lt;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or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58EAEAD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continue</w:t>
          </w:r>
        </w:p>
        <w:p w14:paraId="047B2A3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right_search_area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:]</w:t>
          </w:r>
        </w:p>
        <w:p w14:paraId="630FAFF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any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):</w:t>
          </w:r>
        </w:p>
        <w:p w14:paraId="0CED941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找到最左侧的白色像素点（道路右侧标线）</w:t>
          </w:r>
        </w:p>
        <w:p w14:paraId="1AF5DE5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where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]) +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5331A9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append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0D717B9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0D81CD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创建结果图像</w:t>
          </w:r>
        </w:p>
        <w:p w14:paraId="773D9199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copy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  <w:p w14:paraId="389A061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1C57B28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绘制左侧车道线 - 毫米级贴合道路边缘</w:t>
          </w:r>
        </w:p>
        <w:p w14:paraId="5094776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1B88BC5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通过线性回归拟合左侧车道线</w:t>
          </w:r>
        </w:p>
        <w:p w14:paraId="333F56D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zip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(*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1C2524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vstack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ones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))]).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</w:t>
          </w:r>
        </w:p>
        <w:p w14:paraId="382D4C8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linalg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lstsq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rcond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0AC3E98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1705F1B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计算车道线在图像底部和道路消失点位置</w:t>
          </w:r>
        </w:p>
        <w:p w14:paraId="5A53792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36AA03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m_left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0A77BF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23D6F7C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确保坐标在有效范围内</w:t>
          </w:r>
        </w:p>
        <w:p w14:paraId="71EC1E3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32B4571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2A4DCCD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602C341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用黄色绘制车道线</w:t>
          </w:r>
        </w:p>
        <w:p w14:paraId="5E2AA58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left_top_x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93C46B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1D44F87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备用方案：使用基于图像特征的精确位置</w:t>
          </w:r>
        </w:p>
        <w:p w14:paraId="4FB4CBF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0.18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4650E6F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0.47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)), </w:t>
          </w:r>
        </w:p>
        <w:p w14:paraId="2FF8CE0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CD9C87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9533B7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绘制右侧车道线 - 毫米级贴合道路边缘</w:t>
          </w:r>
        </w:p>
        <w:p w14:paraId="162EC4F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&gt;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442AB44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通过线性回归拟合右侧车道线</w:t>
          </w:r>
        </w:p>
        <w:p w14:paraId="2442809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zip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(*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right_points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DBD38E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vstack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ones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len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))]).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</w:t>
          </w:r>
        </w:p>
        <w:p w14:paraId="7FED6A1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np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linalg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lstsq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rcond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=</w:t>
          </w:r>
          <w:r>
            <w:rPr>
              <w:rFonts w:hint="default" w:ascii="Consolas" w:hAnsi="仿宋_GB2312" w:eastAsia="宋体" w:cs="仿宋_GB2312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None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)[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</w:p>
        <w:p w14:paraId="406408AD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44E87A2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计算车道线在图像底部和道路消失点位置</w:t>
          </w:r>
        </w:p>
        <w:p w14:paraId="1845965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53102DD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-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 /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m_right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87AA4F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516CAAF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确保坐标在有效范围内</w:t>
          </w:r>
        </w:p>
        <w:p w14:paraId="73FF391E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37236DD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max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min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</w:t>
          </w:r>
        </w:p>
        <w:p w14:paraId="428ED2A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</w:p>
        <w:p w14:paraId="6AB1DE8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用黄色绘制车道线</w:t>
          </w:r>
        </w:p>
        <w:p w14:paraId="49756396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right_bottom_x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), 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right_top_x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)),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7BE80D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else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426B645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备用方案：使用基于图像特征的精确位置</w:t>
          </w:r>
        </w:p>
        <w:p w14:paraId="00606C1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line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0.82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0A28D60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width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0.53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height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0.60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)), </w:t>
          </w:r>
        </w:p>
        <w:p w14:paraId="51D47AF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 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72CEE41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469BD47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绘制ROI区域（绿色）- 进一步降低高度，精准描绘前进道路</w:t>
          </w:r>
        </w:p>
        <w:p w14:paraId="79F713F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polylines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[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roi_vertices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],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True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C45084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2E37320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添加文字说明</w:t>
          </w:r>
        </w:p>
        <w:p w14:paraId="243D4E1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"Yellow: Lane Lines"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336211C5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C03D0D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putText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"Green: ROI"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</w:p>
        <w:p w14:paraId="229927F9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   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FONT_HERSHEY_SIMPLEX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255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26B24CB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471B48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保存结果</w:t>
          </w:r>
        </w:p>
        <w:p w14:paraId="2AC5198C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imwrite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'lane_detection_result.jpg'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2E1355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38EB52DA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return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</w:p>
        <w:p w14:paraId="72AC6F3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0E9CF49F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__name__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"__main__"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:</w:t>
          </w:r>
        </w:p>
        <w:p w14:paraId="008E38D3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使用用户指定的图片路径</w:t>
          </w:r>
        </w:p>
        <w:p w14:paraId="475297D2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"C:/Users/Lizhen/Desktop/test4.2/test1/test4.jpg"</w:t>
          </w:r>
        </w:p>
        <w:p w14:paraId="08A13C07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3C4E29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检测车道线</w:t>
          </w:r>
        </w:p>
        <w:p w14:paraId="5AA2D7D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default" w:ascii="Consolas" w:hAnsi="仿宋_GB2312" w:eastAsia="宋体" w:cs="仿宋_GB2312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detect_lanes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image_path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06F6D994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</w:p>
        <w:p w14:paraId="6215AD3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# 显示结果</w:t>
          </w:r>
        </w:p>
        <w:p w14:paraId="56E5FB4B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imshow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'Lane Detection'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result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6796CAA1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waitKey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hAnsi="仿宋_GB2312" w:eastAsia="宋体" w:cs="仿宋_GB2312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1A998D98">
          <w:pPr>
            <w:widowControl w:val="0"/>
            <w:numPr>
              <w:ilvl w:val="0"/>
              <w:numId w:val="0"/>
            </w:numPr>
            <w:shd w:val="clear" w:fill="F5F5F5"/>
            <w:bidi w:val="0"/>
            <w:ind w:left="420" w:leftChars="200"/>
            <w:jc w:val="left"/>
            <w:rPr>
              <w:rFonts w:hint="default" w:ascii="Consolas" w:hAnsi="仿宋_GB2312" w:eastAsia="宋体" w:cs="仿宋_GB2312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cv2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.</w:t>
          </w:r>
          <w:r>
            <w:rPr>
              <w:rFonts w:hint="default" w:ascii="Consolas" w:hAnsi="仿宋_GB2312" w:eastAsia="宋体" w:cs="仿宋_GB2312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destroyAllWindows</w:t>
          </w:r>
          <w:r>
            <w:rPr>
              <w:rFonts w:hint="default" w:ascii="Consolas" w:hAnsi="仿宋_GB2312" w:eastAsia="宋体" w:cs="仿宋_GB2312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()</w:t>
          </w:r>
        </w:p>
      </w:sdtContent>
    </w:sdt>
    <w:p w14:paraId="2A165235">
      <w:pPr>
        <w:pStyle w:val="3"/>
        <w:bidi w:val="0"/>
        <w:spacing w:beforeAutospacing="0" w:afterAutospacing="0"/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</w:pPr>
      <w:bookmarkStart w:id="17" w:name="_Toc4290"/>
      <w:r>
        <w:rPr>
          <w:rFonts w:hint="eastAsia" w:ascii="仿宋_GB2312" w:hAnsi="仿宋_GB2312" w:eastAsia="仿宋_GB2312" w:cs="仿宋_GB2312"/>
          <w:b w:val="0"/>
          <w:bCs w:val="0"/>
          <w:sz w:val="24"/>
          <w:szCs w:val="24"/>
          <w:lang w:val="en-US" w:eastAsia="zh-CN"/>
        </w:rPr>
        <w:t>2.关键函数说明</w:t>
      </w:r>
      <w:bookmarkEnd w:id="17"/>
    </w:p>
    <w:p w14:paraId="630F6A78">
      <w:pPr>
        <w:widowControl w:val="0"/>
        <w:numPr>
          <w:ilvl w:val="0"/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detect_lanes(image_path): 车道线检测主函数</w:t>
      </w:r>
    </w:p>
    <w:p w14:paraId="384E91D2">
      <w:pPr>
        <w:widowControl w:val="0"/>
        <w:numPr>
          <w:ilvl w:val="0"/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cv2.Canny(): Canny边缘检测</w:t>
      </w:r>
    </w:p>
    <w:p w14:paraId="78428A9B">
      <w:pPr>
        <w:widowControl w:val="0"/>
        <w:numPr>
          <w:ilvl w:val="0"/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cv2.fillPoly(): 多边形填充</w:t>
      </w:r>
    </w:p>
    <w:p w14:paraId="1026F1A2">
      <w:pPr>
        <w:widowControl w:val="0"/>
        <w:numPr>
          <w:ilvl w:val="0"/>
          <w:numId w:val="0"/>
        </w:numPr>
        <w:bidi w:val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np.linalg.lstsq(): 最小二乘法线性拟合</w:t>
      </w:r>
    </w:p>
    <w:p w14:paraId="04E51085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</w:p>
    <w:p w14:paraId="630F289F">
      <w:pPr>
        <w:widowControl w:val="0"/>
        <w:numPr>
          <w:ilvl w:val="0"/>
          <w:numId w:val="0"/>
        </w:numPr>
        <w:bidi w:val="0"/>
        <w:ind w:leftChars="0"/>
        <w:jc w:val="left"/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</w:pPr>
      <w:r>
        <w:rPr>
          <w:rFonts w:hint="eastAsia" w:ascii="楷体_GB2312" w:hAnsi="楷体_GB2312" w:eastAsia="楷体_GB2312" w:cs="楷体_GB2312"/>
          <w:kern w:val="2"/>
          <w:sz w:val="28"/>
          <w:szCs w:val="28"/>
          <w:lang w:val="en-US" w:eastAsia="zh-CN" w:bidi="ar-SA"/>
        </w:rPr>
        <w:t>推送至GitHub仓库：</w:t>
      </w:r>
      <w:r>
        <w:rPr>
          <w:rFonts w:hint="default" w:ascii="仿宋_GB2312" w:hAnsi="仿宋_GB2312" w:eastAsia="仿宋_GB2312" w:cs="仿宋_GB2312"/>
          <w:kern w:val="2"/>
          <w:sz w:val="24"/>
          <w:szCs w:val="24"/>
          <w:lang w:val="en-US" w:eastAsia="zh-CN" w:bidi="ar-SA"/>
        </w:rPr>
        <w:t>https://github.com/L1169213133/lane-detection.git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楷体">
    <w:altName w:val="楷体_GB2312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6C2830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010BF6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8010BF6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8D9ACD"/>
    <w:multiLevelType w:val="singleLevel"/>
    <w:tmpl w:val="EB8D9ACD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9584D08"/>
    <w:multiLevelType w:val="singleLevel"/>
    <w:tmpl w:val="F9584D0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69AB3420"/>
    <w:multiLevelType w:val="singleLevel"/>
    <w:tmpl w:val="69AB3420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AD53F6"/>
    <w:rsid w:val="05A26336"/>
    <w:rsid w:val="133F3F1A"/>
    <w:rsid w:val="1BDD5CC2"/>
    <w:rsid w:val="1F095EBB"/>
    <w:rsid w:val="2C7426CE"/>
    <w:rsid w:val="56661009"/>
    <w:rsid w:val="6B385C44"/>
    <w:rsid w:val="6E91666F"/>
    <w:rsid w:val="72CF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uiPriority w:val="0"/>
  </w:style>
  <w:style w:type="paragraph" w:styleId="8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glossaryDocument" Target="glossary/document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523c60db-c38d-4fbd-9813-c2d5b503971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23c60db-c38d-4fbd-9813-c2d5b503971c}"/>
      </w:docPartPr>
      <w:docPartBody>
        <w:p w14:paraId="06C0268A"/>
      </w:docPartBody>
    </w:docPart>
    <w:docPart>
      <w:docPartPr>
        <w:name w:val="{bbed1165-5cf1-46b5-bfbb-3f71fbdd90e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bed1165-5cf1-46b5-bfbb-3f71fbdd90e0}"/>
      </w:docPartPr>
      <w:docPartBody>
        <w:p w14:paraId="7B88977D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wpscustomsdt:customSdtData xmlns="http://www.wps.cn/officeDocument/2025/customizeSdt" xmlns:wpscustomsdt="http://www.wps.cn/officeDocument/2025/customizeSdt">
  <wpscustomsdt:sdtItem id="147464821" type="1" data="{&quot;codeLang&quot;:&quot;TOML&quot;,&quot;isDarkTheme&quot;:0}"/>
  <wpscustomsdt:sdtItem id="147463651" type="1" data="{&quot;codeLang&quot;:&quot;Python&quot;,&quot;isDarkTheme&quot;:0}"/>
</wpscustomsdt:customSdt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2495</Words>
  <Characters>5195</Characters>
  <Lines>0</Lines>
  <Paragraphs>0</Paragraphs>
  <TotalTime>13</TotalTime>
  <ScaleCrop>false</ScaleCrop>
  <LinksUpToDate>false</LinksUpToDate>
  <CharactersWithSpaces>6810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2026-04-08T10:47:00Z</dcterms:created>
  <dc:creator>Lizhen</dc:creator>
  <cp:lastModifiedBy>.</cp:lastModifiedBy>
  <dcterms:modified xsi:type="dcterms:W3CDTF">2026-04-08T13:50:01Z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eyJoZGlkIjoiM2ZiOWQ2NDhkZWIzMmQzOGQ5N2IxZmIwYTc1ODY0YjkiLCJ1c2VySWQiOiI4NDc1MzY4NzMifQ==</vt:lpwstr>
  </property>
  <property fmtid="{D5CDD505-2E9C-101B-9397-08002B2CF9AE}" pid="4" name="ICV">
    <vt:lpwstr>46000B49208342CBBC3BFF94229C0C58_12</vt:lpwstr>
  </property>
</Properties>
</file>