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thinThickSmallGap" w:color="auto" w:sz="24" w:space="1"/>
        </w:pBdr>
        <w:tabs>
          <w:tab w:val="left" w:pos="6405"/>
          <w:tab w:val="left" w:pos="6510"/>
        </w:tabs>
        <w:jc w:val="both"/>
        <w:rPr>
          <w:rFonts w:hint="eastAsia" w:ascii="华文行楷" w:hAnsi="宋体" w:eastAsia="华文行楷"/>
          <w:b/>
          <w:sz w:val="52"/>
          <w:szCs w:val="52"/>
        </w:rPr>
      </w:pPr>
      <w:r>
        <w:rPr>
          <w:rFonts w:hint="eastAsia"/>
          <w:lang w:val="en-US" w:eastAsia="zh-CN"/>
        </w:rPr>
        <w:t xml:space="preserve">      </w:t>
      </w:r>
      <w:r>
        <w:rPr>
          <w:rFonts w:hint="eastAsia" w:ascii="宋体" w:hAnsi="宋体" w:cs="宋体"/>
          <w:b/>
          <w:bCs/>
          <w:kern w:val="0"/>
          <w:sz w:val="32"/>
          <w:szCs w:val="32"/>
        </w:rPr>
        <w:t>佛山市顺德区</w:t>
      </w:r>
      <w:r>
        <w:rPr>
          <w:rFonts w:hint="eastAsia" w:ascii="宋体" w:hAnsi="宋体" w:cs="宋体"/>
          <w:b/>
          <w:bCs/>
          <w:kern w:val="0"/>
          <w:sz w:val="32"/>
          <w:szCs w:val="32"/>
          <w:lang w:eastAsia="zh-CN"/>
        </w:rPr>
        <w:t>恒领</w:t>
      </w:r>
      <w:r>
        <w:rPr>
          <w:rFonts w:hint="eastAsia" w:ascii="宋体" w:hAnsi="宋体" w:cs="宋体"/>
          <w:b/>
          <w:bCs/>
          <w:kern w:val="0"/>
          <w:sz w:val="32"/>
          <w:szCs w:val="32"/>
        </w:rPr>
        <w:t>电器有限公司</w:t>
      </w:r>
    </w:p>
    <w:p>
      <w:pPr>
        <w:adjustRightInd w:val="0"/>
        <w:snapToGrid w:val="0"/>
        <w:spacing w:line="240" w:lineRule="atLeast"/>
        <w:jc w:val="center"/>
        <w:rPr>
          <w:rFonts w:hint="eastAsia" w:ascii="宋体" w:hAnsi="宋体"/>
          <w:b/>
          <w:sz w:val="52"/>
          <w:szCs w:val="52"/>
        </w:rPr>
      </w:pPr>
    </w:p>
    <w:p>
      <w:pPr>
        <w:adjustRightInd w:val="0"/>
        <w:snapToGrid w:val="0"/>
        <w:spacing w:line="320" w:lineRule="atLeast"/>
        <w:jc w:val="center"/>
        <w:rPr>
          <w:rFonts w:hint="eastAsia" w:ascii="宋体" w:hAnsi="宋体" w:eastAsia="宋体"/>
          <w:b/>
          <w:sz w:val="44"/>
          <w:szCs w:val="44"/>
          <w:lang w:val="en-US" w:eastAsia="zh-CN"/>
        </w:rPr>
      </w:pPr>
    </w:p>
    <w:p>
      <w:pPr>
        <w:spacing w:line="0" w:lineRule="atLeast"/>
        <w:jc w:val="center"/>
        <w:rPr>
          <w:rFonts w:hint="eastAsia" w:ascii="宋体" w:hAnsi="宋体"/>
          <w:sz w:val="32"/>
          <w:szCs w:val="32"/>
        </w:rPr>
      </w:pPr>
    </w:p>
    <w:tbl>
      <w:tblPr>
        <w:tblStyle w:val="9"/>
        <w:tblW w:w="0" w:type="auto"/>
        <w:tblInd w:w="1548" w:type="dxa"/>
        <w:tblLayout w:type="autofit"/>
        <w:tblCellMar>
          <w:top w:w="0" w:type="dxa"/>
          <w:left w:w="108" w:type="dxa"/>
          <w:bottom w:w="0" w:type="dxa"/>
          <w:right w:w="108" w:type="dxa"/>
        </w:tblCellMar>
      </w:tblPr>
      <w:tblGrid>
        <w:gridCol w:w="1800"/>
        <w:gridCol w:w="4500"/>
      </w:tblGrid>
      <w:tr>
        <w:tblPrEx>
          <w:tblCellMar>
            <w:top w:w="0" w:type="dxa"/>
            <w:left w:w="108" w:type="dxa"/>
            <w:bottom w:w="0" w:type="dxa"/>
            <w:right w:w="108" w:type="dxa"/>
          </w:tblCellMar>
        </w:tblPrEx>
        <w:tc>
          <w:tcPr>
            <w:tcW w:w="180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文件名称：</w:t>
            </w:r>
          </w:p>
        </w:tc>
        <w:tc>
          <w:tcPr>
            <w:tcW w:w="4500" w:type="dxa"/>
            <w:tcBorders>
              <w:bottom w:val="single" w:color="auto" w:sz="4" w:space="0"/>
            </w:tcBorders>
            <w:noWrap w:val="0"/>
            <w:vAlign w:val="top"/>
          </w:tcPr>
          <w:p>
            <w:pPr>
              <w:pStyle w:val="2"/>
              <w:keepNext w:val="0"/>
              <w:keepLines w:val="0"/>
              <w:widowControl/>
              <w:suppressLineNumbers w:val="0"/>
              <w:pBdr>
                <w:bottom w:val="none" w:color="auto" w:sz="0" w:space="0"/>
              </w:pBdr>
              <w:shd w:val="clear" w:fill="FFFFFF"/>
              <w:ind w:left="0" w:right="0" w:firstLine="0"/>
              <w:jc w:val="center"/>
              <w:rPr>
                <w:rFonts w:hint="eastAsia" w:ascii="宋体" w:hAnsi="宋体" w:eastAsia="宋体"/>
                <w:sz w:val="30"/>
                <w:szCs w:val="30"/>
                <w:lang w:val="en-US" w:eastAsia="zh-CN"/>
              </w:rPr>
            </w:pPr>
            <w:r>
              <w:rPr>
                <w:rFonts w:hint="eastAsia" w:cs="宋体"/>
                <w:b w:val="0"/>
                <w:bCs/>
                <w:color w:val="000000" w:themeColor="text1"/>
                <w:sz w:val="28"/>
                <w:szCs w:val="28"/>
                <w:u w:val="none"/>
                <w:vertAlign w:val="baseline"/>
                <w:lang w:val="en-US" w:eastAsia="zh-CN"/>
                <w14:textFill>
                  <w14:solidFill>
                    <w14:schemeClr w14:val="tx1"/>
                  </w14:solidFill>
                </w14:textFill>
              </w:rPr>
              <w:t>非正常质量成本核算管理制度</w:t>
            </w:r>
          </w:p>
        </w:tc>
      </w:tr>
    </w:tbl>
    <w:p>
      <w:pPr>
        <w:spacing w:line="0" w:lineRule="atLeast"/>
        <w:jc w:val="center"/>
        <w:rPr>
          <w:rFonts w:hint="eastAsia" w:ascii="宋体" w:hAnsi="宋体"/>
          <w:sz w:val="32"/>
          <w:szCs w:val="32"/>
        </w:rPr>
      </w:pPr>
    </w:p>
    <w:tbl>
      <w:tblPr>
        <w:tblStyle w:val="9"/>
        <w:tblW w:w="0" w:type="auto"/>
        <w:tblInd w:w="1548" w:type="dxa"/>
        <w:tblLayout w:type="autofit"/>
        <w:tblCellMar>
          <w:top w:w="0" w:type="dxa"/>
          <w:left w:w="108" w:type="dxa"/>
          <w:bottom w:w="0" w:type="dxa"/>
          <w:right w:w="108" w:type="dxa"/>
        </w:tblCellMar>
      </w:tblPr>
      <w:tblGrid>
        <w:gridCol w:w="1800"/>
        <w:gridCol w:w="4500"/>
      </w:tblGrid>
      <w:tr>
        <w:tblPrEx>
          <w:tblCellMar>
            <w:top w:w="0" w:type="dxa"/>
            <w:left w:w="108" w:type="dxa"/>
            <w:bottom w:w="0" w:type="dxa"/>
            <w:right w:w="108" w:type="dxa"/>
          </w:tblCellMar>
        </w:tblPrEx>
        <w:tc>
          <w:tcPr>
            <w:tcW w:w="180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文件编号：</w:t>
            </w:r>
          </w:p>
        </w:tc>
        <w:tc>
          <w:tcPr>
            <w:tcW w:w="450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eastAsia" w:ascii="宋体" w:hAnsi="宋体" w:eastAsia="宋体"/>
                <w:b/>
                <w:sz w:val="30"/>
                <w:szCs w:val="30"/>
                <w:lang w:val="en-US" w:eastAsia="zh-CN"/>
              </w:rPr>
            </w:pPr>
            <w:r>
              <w:rPr>
                <w:rFonts w:hint="eastAsia" w:ascii="宋体" w:hAnsi="宋体" w:eastAsia="宋体" w:cs="宋体"/>
                <w:color w:val="0000FF"/>
                <w:sz w:val="28"/>
                <w:szCs w:val="28"/>
                <w:lang w:val="en-US" w:eastAsia="zh-CN"/>
              </w:rPr>
              <w:t>HL</w:t>
            </w:r>
            <w:r>
              <w:rPr>
                <w:rFonts w:ascii="宋体" w:hAnsi="宋体" w:eastAsia="宋体" w:cs="宋体"/>
                <w:color w:val="0000FF"/>
                <w:sz w:val="28"/>
                <w:szCs w:val="28"/>
              </w:rPr>
              <w:t>-</w:t>
            </w:r>
            <w:r>
              <w:rPr>
                <w:rFonts w:hint="eastAsia" w:ascii="宋体" w:hAnsi="宋体" w:eastAsia="宋体" w:cs="宋体"/>
                <w:color w:val="0000FF"/>
                <w:sz w:val="28"/>
                <w:szCs w:val="28"/>
                <w:lang w:val="en-US" w:eastAsia="zh-CN"/>
              </w:rPr>
              <w:t>ZG</w:t>
            </w:r>
            <w:r>
              <w:rPr>
                <w:rFonts w:ascii="宋体" w:hAnsi="宋体" w:eastAsia="宋体" w:cs="宋体"/>
                <w:color w:val="0000FF"/>
                <w:sz w:val="28"/>
                <w:szCs w:val="28"/>
              </w:rPr>
              <w:t>-00</w:t>
            </w:r>
            <w:r>
              <w:rPr>
                <w:rFonts w:hint="eastAsia" w:ascii="宋体" w:hAnsi="宋体" w:eastAsia="宋体" w:cs="宋体"/>
                <w:color w:val="0000FF"/>
                <w:sz w:val="28"/>
                <w:szCs w:val="28"/>
                <w:lang w:val="en-US" w:eastAsia="zh-CN"/>
              </w:rPr>
              <w:t>2</w:t>
            </w:r>
          </w:p>
        </w:tc>
      </w:tr>
    </w:tbl>
    <w:p>
      <w:pPr>
        <w:spacing w:line="0" w:lineRule="atLeast"/>
        <w:jc w:val="center"/>
        <w:rPr>
          <w:rFonts w:hint="eastAsia" w:ascii="宋体" w:hAnsi="宋体"/>
          <w:sz w:val="32"/>
          <w:szCs w:val="32"/>
        </w:rPr>
      </w:pPr>
    </w:p>
    <w:tbl>
      <w:tblPr>
        <w:tblStyle w:val="9"/>
        <w:tblW w:w="0" w:type="auto"/>
        <w:tblInd w:w="1548" w:type="dxa"/>
        <w:tblLayout w:type="autofit"/>
        <w:tblCellMar>
          <w:top w:w="0" w:type="dxa"/>
          <w:left w:w="108" w:type="dxa"/>
          <w:bottom w:w="0" w:type="dxa"/>
          <w:right w:w="108" w:type="dxa"/>
        </w:tblCellMar>
      </w:tblPr>
      <w:tblGrid>
        <w:gridCol w:w="1800"/>
        <w:gridCol w:w="4500"/>
      </w:tblGrid>
      <w:tr>
        <w:tblPrEx>
          <w:tblCellMar>
            <w:top w:w="0" w:type="dxa"/>
            <w:left w:w="108" w:type="dxa"/>
            <w:bottom w:w="0" w:type="dxa"/>
            <w:right w:w="108" w:type="dxa"/>
          </w:tblCellMar>
        </w:tblPrEx>
        <w:tc>
          <w:tcPr>
            <w:tcW w:w="180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版 本 号：</w:t>
            </w:r>
          </w:p>
        </w:tc>
        <w:tc>
          <w:tcPr>
            <w:tcW w:w="450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宋体" w:hAnsi="宋体" w:eastAsia="宋体"/>
                <w:sz w:val="30"/>
                <w:szCs w:val="30"/>
                <w:lang w:val="en-US" w:eastAsia="zh-CN"/>
              </w:rPr>
            </w:pPr>
            <w:r>
              <w:rPr>
                <w:rFonts w:hint="eastAsia" w:ascii="宋体" w:hAnsi="宋体"/>
                <w:sz w:val="30"/>
                <w:szCs w:val="30"/>
                <w:lang w:val="en-US" w:eastAsia="zh-CN"/>
              </w:rPr>
              <w:t>A/0</w:t>
            </w:r>
          </w:p>
        </w:tc>
      </w:tr>
    </w:tbl>
    <w:p>
      <w:pPr>
        <w:spacing w:line="0" w:lineRule="atLeast"/>
        <w:jc w:val="center"/>
        <w:rPr>
          <w:rFonts w:hint="eastAsia" w:ascii="宋体" w:hAnsi="宋体"/>
          <w:sz w:val="32"/>
          <w:szCs w:val="32"/>
        </w:rPr>
      </w:pPr>
    </w:p>
    <w:tbl>
      <w:tblPr>
        <w:tblStyle w:val="9"/>
        <w:tblW w:w="0" w:type="auto"/>
        <w:tblInd w:w="1548" w:type="dxa"/>
        <w:tblLayout w:type="autofit"/>
        <w:tblCellMar>
          <w:top w:w="0" w:type="dxa"/>
          <w:left w:w="108" w:type="dxa"/>
          <w:bottom w:w="0" w:type="dxa"/>
          <w:right w:w="108" w:type="dxa"/>
        </w:tblCellMar>
      </w:tblPr>
      <w:tblGrid>
        <w:gridCol w:w="1800"/>
        <w:gridCol w:w="4500"/>
      </w:tblGrid>
      <w:tr>
        <w:tblPrEx>
          <w:tblCellMar>
            <w:top w:w="0" w:type="dxa"/>
            <w:left w:w="108" w:type="dxa"/>
            <w:bottom w:w="0" w:type="dxa"/>
            <w:right w:w="108" w:type="dxa"/>
          </w:tblCellMar>
        </w:tblPrEx>
        <w:tc>
          <w:tcPr>
            <w:tcW w:w="180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生效日期：</w:t>
            </w:r>
          </w:p>
        </w:tc>
        <w:tc>
          <w:tcPr>
            <w:tcW w:w="450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宋体" w:hAnsi="宋体" w:eastAsia="宋体"/>
                <w:sz w:val="30"/>
                <w:szCs w:val="30"/>
                <w:lang w:val="en-US" w:eastAsia="zh-CN"/>
              </w:rPr>
            </w:pPr>
            <w:r>
              <w:rPr>
                <w:rFonts w:hint="eastAsia" w:ascii="宋体" w:hAnsi="宋体" w:eastAsia="宋体"/>
                <w:sz w:val="30"/>
                <w:szCs w:val="30"/>
                <w:lang w:val="en-US" w:eastAsia="zh-CN"/>
              </w:rPr>
              <w:t>2025-8-30</w:t>
            </w:r>
          </w:p>
        </w:tc>
      </w:tr>
    </w:tbl>
    <w:p>
      <w:pPr>
        <w:spacing w:line="0" w:lineRule="atLeast"/>
        <w:jc w:val="center"/>
        <w:rPr>
          <w:rFonts w:hint="eastAsia" w:ascii="宋体" w:hAnsi="宋体"/>
          <w:sz w:val="32"/>
          <w:szCs w:val="32"/>
        </w:rPr>
      </w:pPr>
    </w:p>
    <w:tbl>
      <w:tblPr>
        <w:tblStyle w:val="9"/>
        <w:tblW w:w="0" w:type="auto"/>
        <w:tblInd w:w="1548" w:type="dxa"/>
        <w:tblLayout w:type="autofit"/>
        <w:tblCellMar>
          <w:top w:w="0" w:type="dxa"/>
          <w:left w:w="108" w:type="dxa"/>
          <w:bottom w:w="0" w:type="dxa"/>
          <w:right w:w="108" w:type="dxa"/>
        </w:tblCellMar>
      </w:tblPr>
      <w:tblGrid>
        <w:gridCol w:w="1800"/>
        <w:gridCol w:w="4500"/>
      </w:tblGrid>
      <w:tr>
        <w:tc>
          <w:tcPr>
            <w:tcW w:w="1800" w:type="dxa"/>
            <w:noWrap w:val="0"/>
            <w:vAlign w:val="top"/>
          </w:tcPr>
          <w:p>
            <w:pPr>
              <w:tabs>
                <w:tab w:val="left" w:pos="6405"/>
                <w:tab w:val="left" w:pos="6510"/>
              </w:tabs>
              <w:adjustRightInd w:val="0"/>
              <w:snapToGrid w:val="0"/>
              <w:spacing w:line="600" w:lineRule="atLeast"/>
              <w:jc w:val="center"/>
              <w:rPr>
                <w:rFonts w:hint="eastAsia" w:ascii="宋体" w:hAnsi="宋体"/>
                <w:sz w:val="32"/>
                <w:szCs w:val="32"/>
              </w:rPr>
            </w:pPr>
            <w:r>
              <w:rPr>
                <w:rFonts w:hint="eastAsia" w:ascii="宋体" w:hAnsi="宋体"/>
                <w:b/>
                <w:sz w:val="32"/>
                <w:szCs w:val="32"/>
              </w:rPr>
              <w:t>适用范围：</w:t>
            </w:r>
          </w:p>
        </w:tc>
        <w:tc>
          <w:tcPr>
            <w:tcW w:w="450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eastAsia" w:ascii="宋体" w:hAnsi="宋体" w:eastAsia="宋体"/>
                <w:sz w:val="32"/>
                <w:szCs w:val="32"/>
                <w:lang w:val="en-US" w:eastAsia="zh-CN"/>
              </w:rPr>
            </w:pPr>
            <w:r>
              <w:rPr>
                <w:rFonts w:hint="eastAsia" w:ascii="宋体" w:hAnsi="宋体"/>
                <w:sz w:val="28"/>
                <w:szCs w:val="28"/>
                <w:lang w:val="en-US" w:eastAsia="zh-CN"/>
              </w:rPr>
              <w:t>佛山市顺德区恒领电器有限公司及下属各子公司</w:t>
            </w:r>
          </w:p>
        </w:tc>
      </w:tr>
    </w:tbl>
    <w:p>
      <w:pPr>
        <w:tabs>
          <w:tab w:val="left" w:pos="6405"/>
          <w:tab w:val="left" w:pos="6510"/>
        </w:tabs>
        <w:jc w:val="center"/>
        <w:rPr>
          <w:rFonts w:hint="eastAsia" w:ascii="宋体" w:hAnsi="宋体"/>
          <w:sz w:val="36"/>
          <w:szCs w:val="36"/>
        </w:rPr>
      </w:pPr>
    </w:p>
    <w:tbl>
      <w:tblPr>
        <w:tblStyle w:val="9"/>
        <w:tblW w:w="0" w:type="auto"/>
        <w:tblInd w:w="15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54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bottom w:val="single" w:color="auto" w:sz="4" w:space="0"/>
            </w:tcBorders>
            <w:noWrap w:val="0"/>
            <w:vAlign w:val="top"/>
          </w:tcPr>
          <w:p>
            <w:pPr>
              <w:tabs>
                <w:tab w:val="left" w:pos="6405"/>
                <w:tab w:val="left" w:pos="6510"/>
              </w:tabs>
              <w:adjustRightInd w:val="0"/>
              <w:snapToGrid w:val="0"/>
              <w:spacing w:line="500" w:lineRule="atLeast"/>
              <w:jc w:val="center"/>
              <w:rPr>
                <w:rFonts w:hint="eastAsia" w:ascii="宋体" w:hAnsi="宋体"/>
                <w:sz w:val="36"/>
                <w:szCs w:val="36"/>
              </w:rPr>
            </w:pPr>
          </w:p>
          <w:p>
            <w:pPr>
              <w:tabs>
                <w:tab w:val="left" w:pos="6405"/>
                <w:tab w:val="left" w:pos="6510"/>
              </w:tabs>
              <w:adjustRightInd w:val="0"/>
              <w:snapToGrid w:val="0"/>
              <w:spacing w:line="500" w:lineRule="atLeast"/>
              <w:jc w:val="center"/>
              <w:rPr>
                <w:rFonts w:hint="eastAsia" w:ascii="宋体" w:hAnsi="宋体"/>
                <w:sz w:val="36"/>
                <w:szCs w:val="36"/>
              </w:rPr>
            </w:pPr>
          </w:p>
          <w:p>
            <w:pPr>
              <w:tabs>
                <w:tab w:val="left" w:pos="6405"/>
                <w:tab w:val="left" w:pos="6510"/>
              </w:tabs>
              <w:adjustRightInd w:val="0"/>
              <w:snapToGrid w:val="0"/>
              <w:spacing w:line="500" w:lineRule="atLeast"/>
              <w:jc w:val="center"/>
              <w:rPr>
                <w:rFonts w:hint="eastAsia" w:ascii="宋体" w:hAnsi="宋体"/>
                <w:sz w:val="36"/>
                <w:szCs w:val="36"/>
              </w:rPr>
            </w:pPr>
          </w:p>
        </w:tc>
        <w:tc>
          <w:tcPr>
            <w:tcW w:w="540" w:type="dxa"/>
            <w:tcBorders>
              <w:top w:val="nil"/>
              <w:bottom w:val="nil"/>
            </w:tcBorders>
            <w:noWrap w:val="0"/>
            <w:vAlign w:val="top"/>
          </w:tcPr>
          <w:p>
            <w:pPr>
              <w:tabs>
                <w:tab w:val="left" w:pos="6405"/>
                <w:tab w:val="left" w:pos="6510"/>
              </w:tabs>
              <w:adjustRightInd w:val="0"/>
              <w:snapToGrid w:val="0"/>
              <w:spacing w:line="500" w:lineRule="atLeast"/>
              <w:jc w:val="center"/>
              <w:rPr>
                <w:rFonts w:hint="eastAsia" w:ascii="宋体" w:hAnsi="宋体"/>
                <w:sz w:val="36"/>
                <w:szCs w:val="36"/>
              </w:rPr>
            </w:pPr>
          </w:p>
        </w:tc>
        <w:tc>
          <w:tcPr>
            <w:tcW w:w="2880" w:type="dxa"/>
            <w:tcBorders>
              <w:bottom w:val="single" w:color="auto" w:sz="4" w:space="0"/>
            </w:tcBorders>
            <w:noWrap w:val="0"/>
            <w:vAlign w:val="top"/>
          </w:tcPr>
          <w:p>
            <w:pPr>
              <w:tabs>
                <w:tab w:val="left" w:pos="6405"/>
                <w:tab w:val="left" w:pos="6510"/>
              </w:tabs>
              <w:adjustRightInd w:val="0"/>
              <w:snapToGrid w:val="0"/>
              <w:spacing w:line="500" w:lineRule="atLeast"/>
              <w:jc w:val="center"/>
              <w:rPr>
                <w:rFonts w:hint="eastAsia" w:ascii="宋体" w:hAnsi="宋体"/>
                <w:sz w:val="36"/>
                <w:szCs w:val="36"/>
              </w:rPr>
            </w:pPr>
          </w:p>
          <w:p>
            <w:pPr>
              <w:tabs>
                <w:tab w:val="left" w:pos="6405"/>
                <w:tab w:val="left" w:pos="6510"/>
              </w:tabs>
              <w:adjustRightInd w:val="0"/>
              <w:snapToGrid w:val="0"/>
              <w:spacing w:line="500" w:lineRule="atLeast"/>
              <w:jc w:val="center"/>
              <w:rPr>
                <w:rFonts w:hint="eastAsia" w:ascii="宋体" w:hAnsi="宋体"/>
                <w:sz w:val="36"/>
                <w:szCs w:val="36"/>
              </w:rPr>
            </w:pPr>
          </w:p>
          <w:p>
            <w:pPr>
              <w:tabs>
                <w:tab w:val="left" w:pos="6405"/>
                <w:tab w:val="left" w:pos="6510"/>
              </w:tabs>
              <w:adjustRightInd w:val="0"/>
              <w:snapToGrid w:val="0"/>
              <w:spacing w:line="500" w:lineRule="atLeast"/>
              <w:jc w:val="center"/>
              <w:rPr>
                <w:rFonts w:hint="eastAsia" w:ascii="宋体" w:hAnsi="宋体"/>
                <w:sz w:val="36"/>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uto" w:sz="4" w:space="0"/>
              <w:left w:val="nil"/>
              <w:bottom w:val="nil"/>
              <w:right w:val="nil"/>
            </w:tcBorders>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sz w:val="30"/>
                <w:szCs w:val="30"/>
              </w:rPr>
              <w:t>受控正本</w:t>
            </w:r>
          </w:p>
        </w:tc>
        <w:tc>
          <w:tcPr>
            <w:tcW w:w="540" w:type="dxa"/>
            <w:tcBorders>
              <w:top w:val="nil"/>
              <w:left w:val="nil"/>
              <w:bottom w:val="nil"/>
              <w:right w:val="nil"/>
            </w:tcBorders>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p>
        </w:tc>
        <w:tc>
          <w:tcPr>
            <w:tcW w:w="2880" w:type="dxa"/>
            <w:tcBorders>
              <w:top w:val="single" w:color="auto" w:sz="4" w:space="0"/>
              <w:left w:val="nil"/>
              <w:bottom w:val="nil"/>
              <w:right w:val="nil"/>
            </w:tcBorders>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sz w:val="30"/>
                <w:szCs w:val="30"/>
              </w:rPr>
              <w:t>受控副本</w:t>
            </w:r>
          </w:p>
        </w:tc>
      </w:tr>
    </w:tbl>
    <w:p>
      <w:pPr>
        <w:tabs>
          <w:tab w:val="left" w:pos="6405"/>
          <w:tab w:val="left" w:pos="6510"/>
        </w:tabs>
        <w:jc w:val="center"/>
        <w:rPr>
          <w:rFonts w:hint="eastAsia" w:ascii="宋体" w:hAnsi="宋体"/>
          <w:sz w:val="36"/>
          <w:szCs w:val="36"/>
        </w:rPr>
      </w:pPr>
    </w:p>
    <w:tbl>
      <w:tblPr>
        <w:tblStyle w:val="9"/>
        <w:tblW w:w="0" w:type="auto"/>
        <w:tblInd w:w="1548" w:type="dxa"/>
        <w:tblLayout w:type="autofit"/>
        <w:tblCellMar>
          <w:top w:w="0" w:type="dxa"/>
          <w:left w:w="108" w:type="dxa"/>
          <w:bottom w:w="0" w:type="dxa"/>
          <w:right w:w="108" w:type="dxa"/>
        </w:tblCellMar>
      </w:tblPr>
      <w:tblGrid>
        <w:gridCol w:w="1260"/>
        <w:gridCol w:w="1890"/>
        <w:gridCol w:w="1170"/>
        <w:gridCol w:w="1980"/>
      </w:tblGrid>
      <w:tr>
        <w:tblPrEx>
          <w:tblCellMar>
            <w:top w:w="0" w:type="dxa"/>
            <w:left w:w="108" w:type="dxa"/>
            <w:bottom w:w="0" w:type="dxa"/>
            <w:right w:w="108" w:type="dxa"/>
          </w:tblCellMar>
        </w:tblPrEx>
        <w:tc>
          <w:tcPr>
            <w:tcW w:w="126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编制：</w:t>
            </w:r>
          </w:p>
        </w:tc>
        <w:tc>
          <w:tcPr>
            <w:tcW w:w="189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华文新魏" w:hAnsi="宋体" w:eastAsia="华文新魏"/>
                <w:sz w:val="30"/>
                <w:szCs w:val="30"/>
                <w:lang w:val="en-US" w:eastAsia="zh-CN"/>
              </w:rPr>
            </w:pPr>
            <w:r>
              <w:rPr>
                <w:rFonts w:hint="eastAsia" w:ascii="宋体" w:hAnsi="宋体" w:eastAsia="宋体" w:cs="宋体"/>
                <w:sz w:val="30"/>
                <w:szCs w:val="30"/>
                <w:lang w:val="en-US" w:eastAsia="zh-CN"/>
              </w:rPr>
              <w:t>整改组</w:t>
            </w:r>
          </w:p>
        </w:tc>
        <w:tc>
          <w:tcPr>
            <w:tcW w:w="117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日期：</w:t>
            </w:r>
          </w:p>
        </w:tc>
        <w:tc>
          <w:tcPr>
            <w:tcW w:w="198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华文行楷" w:hAnsi="宋体" w:eastAsia="华文行楷"/>
                <w:sz w:val="30"/>
                <w:szCs w:val="30"/>
                <w:lang w:val="en-US" w:eastAsia="zh-CN"/>
              </w:rPr>
            </w:pPr>
            <w:r>
              <w:rPr>
                <w:rFonts w:hint="eastAsia" w:ascii="宋体" w:hAnsi="宋体" w:eastAsia="宋体" w:cs="宋体"/>
                <w:sz w:val="30"/>
                <w:szCs w:val="30"/>
                <w:lang w:val="en-US" w:eastAsia="zh-CN"/>
              </w:rPr>
              <w:t>2025-8-30</w:t>
            </w:r>
          </w:p>
        </w:tc>
      </w:tr>
    </w:tbl>
    <w:p>
      <w:pPr>
        <w:tabs>
          <w:tab w:val="left" w:pos="6405"/>
          <w:tab w:val="left" w:pos="6510"/>
        </w:tabs>
        <w:adjustRightInd w:val="0"/>
        <w:snapToGrid w:val="0"/>
        <w:spacing w:line="240" w:lineRule="atLeast"/>
        <w:jc w:val="center"/>
        <w:rPr>
          <w:rFonts w:hint="eastAsia" w:ascii="宋体" w:hAnsi="宋体"/>
          <w:sz w:val="36"/>
          <w:szCs w:val="36"/>
        </w:rPr>
      </w:pPr>
    </w:p>
    <w:tbl>
      <w:tblPr>
        <w:tblStyle w:val="9"/>
        <w:tblW w:w="0" w:type="auto"/>
        <w:tblInd w:w="1548" w:type="dxa"/>
        <w:tblLayout w:type="autofit"/>
        <w:tblCellMar>
          <w:top w:w="0" w:type="dxa"/>
          <w:left w:w="108" w:type="dxa"/>
          <w:bottom w:w="0" w:type="dxa"/>
          <w:right w:w="108" w:type="dxa"/>
        </w:tblCellMar>
      </w:tblPr>
      <w:tblGrid>
        <w:gridCol w:w="1260"/>
        <w:gridCol w:w="1890"/>
        <w:gridCol w:w="1170"/>
        <w:gridCol w:w="1980"/>
      </w:tblGrid>
      <w:tr>
        <w:tblPrEx>
          <w:tblCellMar>
            <w:top w:w="0" w:type="dxa"/>
            <w:left w:w="108" w:type="dxa"/>
            <w:bottom w:w="0" w:type="dxa"/>
            <w:right w:w="108" w:type="dxa"/>
          </w:tblCellMar>
        </w:tblPrEx>
        <w:tc>
          <w:tcPr>
            <w:tcW w:w="126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审核：</w:t>
            </w:r>
          </w:p>
        </w:tc>
        <w:tc>
          <w:tcPr>
            <w:tcW w:w="189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eastAsia" w:ascii="宋体" w:hAnsi="宋体" w:eastAsia="宋体" w:cs="宋体"/>
                <w:sz w:val="30"/>
                <w:szCs w:val="30"/>
                <w:lang w:eastAsia="zh-CN"/>
              </w:rPr>
            </w:pPr>
          </w:p>
        </w:tc>
        <w:tc>
          <w:tcPr>
            <w:tcW w:w="117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日期：</w:t>
            </w:r>
          </w:p>
        </w:tc>
        <w:tc>
          <w:tcPr>
            <w:tcW w:w="198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宋体" w:hAnsi="宋体" w:eastAsia="宋体" w:cs="宋体"/>
                <w:sz w:val="30"/>
                <w:szCs w:val="30"/>
                <w:lang w:val="en-US" w:eastAsia="zh-CN"/>
              </w:rPr>
            </w:pPr>
          </w:p>
        </w:tc>
      </w:tr>
    </w:tbl>
    <w:p>
      <w:pPr>
        <w:tabs>
          <w:tab w:val="left" w:pos="6405"/>
          <w:tab w:val="left" w:pos="6510"/>
        </w:tabs>
        <w:adjustRightInd w:val="0"/>
        <w:snapToGrid w:val="0"/>
        <w:spacing w:line="240" w:lineRule="atLeast"/>
        <w:jc w:val="center"/>
        <w:rPr>
          <w:rFonts w:hint="eastAsia" w:ascii="宋体" w:hAnsi="宋体"/>
          <w:sz w:val="36"/>
          <w:szCs w:val="36"/>
        </w:rPr>
      </w:pPr>
    </w:p>
    <w:tbl>
      <w:tblPr>
        <w:tblStyle w:val="9"/>
        <w:tblW w:w="0" w:type="auto"/>
        <w:tblInd w:w="1548" w:type="dxa"/>
        <w:tblLayout w:type="autofit"/>
        <w:tblCellMar>
          <w:top w:w="0" w:type="dxa"/>
          <w:left w:w="108" w:type="dxa"/>
          <w:bottom w:w="0" w:type="dxa"/>
          <w:right w:w="108" w:type="dxa"/>
        </w:tblCellMar>
      </w:tblPr>
      <w:tblGrid>
        <w:gridCol w:w="1260"/>
        <w:gridCol w:w="1890"/>
        <w:gridCol w:w="1170"/>
        <w:gridCol w:w="1980"/>
      </w:tblGrid>
      <w:tr>
        <w:tblPrEx>
          <w:tblCellMar>
            <w:top w:w="0" w:type="dxa"/>
            <w:left w:w="108" w:type="dxa"/>
            <w:bottom w:w="0" w:type="dxa"/>
            <w:right w:w="108" w:type="dxa"/>
          </w:tblCellMar>
        </w:tblPrEx>
        <w:tc>
          <w:tcPr>
            <w:tcW w:w="126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批准：</w:t>
            </w:r>
          </w:p>
        </w:tc>
        <w:tc>
          <w:tcPr>
            <w:tcW w:w="189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eastAsia" w:ascii="宋体" w:hAnsi="宋体" w:eastAsia="宋体"/>
                <w:sz w:val="30"/>
                <w:szCs w:val="30"/>
                <w:lang w:eastAsia="zh-CN"/>
              </w:rPr>
            </w:pPr>
          </w:p>
        </w:tc>
        <w:tc>
          <w:tcPr>
            <w:tcW w:w="1170" w:type="dxa"/>
            <w:noWrap w:val="0"/>
            <w:vAlign w:val="top"/>
          </w:tcPr>
          <w:p>
            <w:pPr>
              <w:tabs>
                <w:tab w:val="left" w:pos="6405"/>
                <w:tab w:val="left" w:pos="6510"/>
              </w:tabs>
              <w:adjustRightInd w:val="0"/>
              <w:snapToGrid w:val="0"/>
              <w:spacing w:line="600" w:lineRule="atLeast"/>
              <w:jc w:val="center"/>
              <w:rPr>
                <w:rFonts w:hint="eastAsia" w:ascii="宋体" w:hAnsi="宋体"/>
                <w:sz w:val="30"/>
                <w:szCs w:val="30"/>
              </w:rPr>
            </w:pPr>
            <w:r>
              <w:rPr>
                <w:rFonts w:hint="eastAsia" w:ascii="宋体" w:hAnsi="宋体"/>
                <w:b/>
                <w:sz w:val="32"/>
                <w:szCs w:val="32"/>
              </w:rPr>
              <w:t>日期：</w:t>
            </w:r>
          </w:p>
        </w:tc>
        <w:tc>
          <w:tcPr>
            <w:tcW w:w="1980" w:type="dxa"/>
            <w:tcBorders>
              <w:bottom w:val="single" w:color="auto" w:sz="4" w:space="0"/>
            </w:tcBorders>
            <w:noWrap w:val="0"/>
            <w:vAlign w:val="top"/>
          </w:tcPr>
          <w:p>
            <w:pPr>
              <w:tabs>
                <w:tab w:val="left" w:pos="6405"/>
                <w:tab w:val="left" w:pos="6510"/>
              </w:tabs>
              <w:adjustRightInd w:val="0"/>
              <w:snapToGrid w:val="0"/>
              <w:spacing w:line="600" w:lineRule="atLeast"/>
              <w:jc w:val="center"/>
              <w:rPr>
                <w:rFonts w:hint="default" w:ascii="宋体" w:hAnsi="宋体" w:eastAsia="宋体"/>
                <w:sz w:val="30"/>
                <w:szCs w:val="30"/>
                <w:lang w:val="en-US" w:eastAsia="zh-CN"/>
              </w:rPr>
            </w:pPr>
            <w:r>
              <w:rPr>
                <w:rFonts w:hint="eastAsia" w:ascii="宋体" w:hAnsi="宋体" w:eastAsia="宋体" w:cs="宋体"/>
                <w:sz w:val="30"/>
                <w:szCs w:val="30"/>
                <w:lang w:val="en-US" w:eastAsia="zh-CN"/>
              </w:rPr>
              <w:t>2025-8-30</w:t>
            </w:r>
          </w:p>
        </w:tc>
      </w:tr>
    </w:tbl>
    <w:p>
      <w:pPr>
        <w:tabs>
          <w:tab w:val="left" w:pos="6405"/>
          <w:tab w:val="left" w:pos="6510"/>
        </w:tabs>
        <w:jc w:val="center"/>
        <w:rPr>
          <w:rFonts w:hint="eastAsia" w:ascii="宋体" w:hAnsi="宋体"/>
          <w:b/>
          <w:sz w:val="32"/>
          <w:szCs w:val="32"/>
        </w:rPr>
      </w:pPr>
    </w:p>
    <w:p>
      <w:pPr>
        <w:tabs>
          <w:tab w:val="left" w:pos="6405"/>
          <w:tab w:val="left" w:pos="6510"/>
        </w:tabs>
        <w:jc w:val="center"/>
        <w:rPr>
          <w:rFonts w:hint="eastAsia" w:ascii="宋体" w:hAnsi="宋体"/>
          <w:b/>
          <w:sz w:val="32"/>
          <w:szCs w:val="32"/>
        </w:rPr>
      </w:pPr>
    </w:p>
    <w:tbl>
      <w:tblPr>
        <w:tblStyle w:val="9"/>
        <w:tblW w:w="9909"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7"/>
        <w:gridCol w:w="3782"/>
        <w:gridCol w:w="1228"/>
        <w:gridCol w:w="1191"/>
        <w:gridCol w:w="1242"/>
        <w:gridCol w:w="1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9" w:type="dxa"/>
            <w:gridSpan w:val="6"/>
            <w:noWrap w:val="0"/>
            <w:vAlign w:val="center"/>
          </w:tcPr>
          <w:p>
            <w:pPr>
              <w:adjustRightInd w:val="0"/>
              <w:snapToGrid w:val="0"/>
              <w:spacing w:line="500" w:lineRule="atLeast"/>
              <w:jc w:val="center"/>
              <w:rPr>
                <w:rFonts w:hint="eastAsia" w:ascii="宋体" w:hAnsi="宋体"/>
                <w:szCs w:val="21"/>
              </w:rPr>
            </w:pPr>
            <w:r>
              <w:rPr>
                <w:rFonts w:hint="eastAsia" w:ascii="宋体" w:hAnsi="宋体" w:cs="宋体"/>
                <w:bCs/>
                <w:kern w:val="0"/>
                <w:szCs w:val="21"/>
              </w:rPr>
              <w:t>文件修改情况记录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cs="宋体"/>
                <w:bCs/>
                <w:color w:val="0000FF"/>
                <w:kern w:val="0"/>
                <w:sz w:val="21"/>
                <w:szCs w:val="21"/>
                <w:lang w:val="en-US" w:eastAsia="zh-CN" w:bidi="ar-SA"/>
              </w:rPr>
            </w:pPr>
            <w:r>
              <w:rPr>
                <w:rFonts w:hint="eastAsia" w:ascii="宋体" w:hAnsi="宋体"/>
                <w:szCs w:val="21"/>
              </w:rPr>
              <w:t>版本号</w:t>
            </w:r>
          </w:p>
        </w:tc>
        <w:tc>
          <w:tcPr>
            <w:tcW w:w="3782" w:type="dxa"/>
            <w:noWrap w:val="0"/>
            <w:vAlign w:val="center"/>
          </w:tcPr>
          <w:p>
            <w:pPr>
              <w:widowControl/>
              <w:adjustRightInd w:val="0"/>
              <w:snapToGrid w:val="0"/>
              <w:spacing w:line="500" w:lineRule="atLeast"/>
              <w:jc w:val="center"/>
              <w:rPr>
                <w:rFonts w:hint="eastAsia" w:ascii="宋体" w:hAnsi="宋体" w:cs="宋体"/>
                <w:bCs/>
                <w:color w:val="0000FF"/>
                <w:kern w:val="0"/>
                <w:sz w:val="21"/>
                <w:szCs w:val="21"/>
                <w:lang w:val="en-US" w:eastAsia="zh-CN" w:bidi="ar-SA"/>
              </w:rPr>
            </w:pPr>
            <w:r>
              <w:rPr>
                <w:rFonts w:hint="eastAsia" w:ascii="宋体" w:hAnsi="宋体" w:cs="宋体"/>
                <w:bCs/>
                <w:kern w:val="0"/>
                <w:szCs w:val="21"/>
              </w:rPr>
              <w:t>修改内容</w:t>
            </w:r>
          </w:p>
        </w:tc>
        <w:tc>
          <w:tcPr>
            <w:tcW w:w="1228" w:type="dxa"/>
            <w:noWrap w:val="0"/>
            <w:vAlign w:val="top"/>
          </w:tcPr>
          <w:p>
            <w:pPr>
              <w:adjustRightInd w:val="0"/>
              <w:snapToGrid w:val="0"/>
              <w:spacing w:line="500" w:lineRule="atLeast"/>
              <w:jc w:val="center"/>
              <w:rPr>
                <w:rFonts w:hint="eastAsia" w:ascii="宋体" w:hAnsi="宋体"/>
                <w:kern w:val="2"/>
                <w:sz w:val="21"/>
                <w:szCs w:val="21"/>
                <w:lang w:val="en-US" w:eastAsia="zh-CN" w:bidi="ar-SA"/>
              </w:rPr>
            </w:pPr>
            <w:r>
              <w:rPr>
                <w:rFonts w:hint="eastAsia" w:ascii="宋体" w:hAnsi="宋体"/>
                <w:szCs w:val="21"/>
              </w:rPr>
              <w:t>修改</w:t>
            </w:r>
          </w:p>
        </w:tc>
        <w:tc>
          <w:tcPr>
            <w:tcW w:w="1191" w:type="dxa"/>
            <w:noWrap w:val="0"/>
            <w:vAlign w:val="top"/>
          </w:tcPr>
          <w:p>
            <w:pPr>
              <w:adjustRightInd w:val="0"/>
              <w:snapToGrid w:val="0"/>
              <w:spacing w:line="500" w:lineRule="atLeast"/>
              <w:jc w:val="center"/>
              <w:rPr>
                <w:rFonts w:hint="eastAsia" w:ascii="宋体" w:hAnsi="宋体"/>
                <w:kern w:val="2"/>
                <w:sz w:val="21"/>
                <w:szCs w:val="21"/>
                <w:lang w:val="en-US" w:eastAsia="zh-CN" w:bidi="ar-SA"/>
              </w:rPr>
            </w:pPr>
            <w:r>
              <w:rPr>
                <w:rFonts w:hint="eastAsia" w:ascii="宋体" w:hAnsi="宋体"/>
                <w:szCs w:val="21"/>
              </w:rPr>
              <w:t>审核</w:t>
            </w:r>
          </w:p>
        </w:tc>
        <w:tc>
          <w:tcPr>
            <w:tcW w:w="1242" w:type="dxa"/>
            <w:noWrap w:val="0"/>
            <w:vAlign w:val="top"/>
          </w:tcPr>
          <w:p>
            <w:pPr>
              <w:adjustRightInd w:val="0"/>
              <w:snapToGrid w:val="0"/>
              <w:spacing w:line="500" w:lineRule="atLeast"/>
              <w:jc w:val="center"/>
              <w:rPr>
                <w:rFonts w:hint="eastAsia" w:ascii="宋体" w:hAnsi="宋体"/>
                <w:kern w:val="2"/>
                <w:sz w:val="21"/>
                <w:szCs w:val="21"/>
                <w:lang w:val="en-US" w:eastAsia="zh-CN" w:bidi="ar-SA"/>
              </w:rPr>
            </w:pPr>
            <w:r>
              <w:rPr>
                <w:rFonts w:hint="eastAsia" w:ascii="宋体" w:hAnsi="宋体"/>
                <w:szCs w:val="21"/>
              </w:rPr>
              <w:t>审批</w:t>
            </w:r>
          </w:p>
        </w:tc>
        <w:tc>
          <w:tcPr>
            <w:tcW w:w="1529" w:type="dxa"/>
            <w:noWrap w:val="0"/>
            <w:vAlign w:val="top"/>
          </w:tcPr>
          <w:p>
            <w:pPr>
              <w:adjustRightInd w:val="0"/>
              <w:snapToGrid w:val="0"/>
              <w:spacing w:line="500" w:lineRule="atLeast"/>
              <w:jc w:val="center"/>
              <w:rPr>
                <w:rFonts w:hint="eastAsia" w:ascii="宋体" w:hAnsi="宋体"/>
                <w:kern w:val="2"/>
                <w:sz w:val="21"/>
                <w:szCs w:val="21"/>
                <w:lang w:val="en-US" w:eastAsia="zh-CN" w:bidi="ar-SA"/>
              </w:rPr>
            </w:pPr>
            <w:r>
              <w:rPr>
                <w:rFonts w:hint="eastAsia" w:ascii="宋体" w:hAnsi="宋体"/>
                <w:szCs w:val="21"/>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default" w:ascii="宋体" w:hAnsi="宋体" w:eastAsia="宋体"/>
                <w:szCs w:val="21"/>
                <w:lang w:val="en-US" w:eastAsia="zh-CN"/>
              </w:rPr>
            </w:pPr>
            <w:r>
              <w:rPr>
                <w:rFonts w:hint="eastAsia" w:ascii="宋体" w:hAnsi="宋体" w:eastAsia="宋体"/>
                <w:szCs w:val="21"/>
                <w:lang w:val="en-US" w:eastAsia="zh-CN"/>
              </w:rPr>
              <w:t>A/O</w:t>
            </w:r>
          </w:p>
        </w:tc>
        <w:tc>
          <w:tcPr>
            <w:tcW w:w="3782" w:type="dxa"/>
            <w:noWrap w:val="0"/>
            <w:vAlign w:val="center"/>
          </w:tcPr>
          <w:p>
            <w:pPr>
              <w:widowControl/>
              <w:adjustRightInd w:val="0"/>
              <w:snapToGrid w:val="0"/>
              <w:spacing w:line="500" w:lineRule="atLeast"/>
              <w:jc w:val="center"/>
              <w:rPr>
                <w:rFonts w:hint="default" w:ascii="宋体" w:hAnsi="宋体" w:eastAsia="宋体" w:cs="宋体"/>
                <w:bCs/>
                <w:kern w:val="0"/>
                <w:szCs w:val="21"/>
                <w:lang w:val="en-US" w:eastAsia="zh-CN"/>
              </w:rPr>
            </w:pPr>
            <w:r>
              <w:rPr>
                <w:rFonts w:hint="eastAsia" w:ascii="宋体" w:hAnsi="宋体" w:eastAsia="宋体" w:cs="宋体"/>
                <w:bCs/>
                <w:kern w:val="0"/>
                <w:szCs w:val="21"/>
                <w:lang w:val="en-US" w:eastAsia="zh-CN"/>
              </w:rPr>
              <w:t>新版</w:t>
            </w:r>
          </w:p>
        </w:tc>
        <w:tc>
          <w:tcPr>
            <w:tcW w:w="1228" w:type="dxa"/>
            <w:noWrap w:val="0"/>
            <w:vAlign w:val="top"/>
          </w:tcPr>
          <w:p>
            <w:pPr>
              <w:adjustRightInd w:val="0"/>
              <w:snapToGrid w:val="0"/>
              <w:spacing w:line="500" w:lineRule="atLeast"/>
              <w:jc w:val="center"/>
              <w:rPr>
                <w:rFonts w:hint="eastAsia" w:ascii="宋体" w:hAnsi="宋体" w:eastAsia="宋体"/>
                <w:szCs w:val="21"/>
                <w:lang w:eastAsia="zh-CN"/>
              </w:rPr>
            </w:pPr>
            <w:r>
              <w:rPr>
                <w:rFonts w:hint="eastAsia" w:ascii="宋体" w:hAnsi="宋体"/>
                <w:szCs w:val="21"/>
                <w:lang w:eastAsia="zh-CN"/>
              </w:rPr>
              <w:t>无</w:t>
            </w:r>
          </w:p>
        </w:tc>
        <w:tc>
          <w:tcPr>
            <w:tcW w:w="1191" w:type="dxa"/>
            <w:noWrap w:val="0"/>
            <w:vAlign w:val="top"/>
          </w:tcPr>
          <w:p>
            <w:pPr>
              <w:adjustRightInd w:val="0"/>
              <w:snapToGrid w:val="0"/>
              <w:spacing w:line="500" w:lineRule="atLeast"/>
              <w:jc w:val="center"/>
              <w:rPr>
                <w:rFonts w:hint="eastAsia" w:ascii="宋体" w:hAnsi="宋体" w:eastAsia="宋体"/>
                <w:szCs w:val="21"/>
                <w:lang w:val="en-US" w:eastAsia="zh-CN"/>
              </w:rPr>
            </w:pPr>
            <w:r>
              <w:rPr>
                <w:rFonts w:hint="eastAsia" w:ascii="宋体" w:hAnsi="宋体" w:eastAsia="宋体"/>
                <w:szCs w:val="21"/>
                <w:lang w:val="en-US" w:eastAsia="zh-CN"/>
              </w:rPr>
              <w:t>整改</w:t>
            </w:r>
          </w:p>
        </w:tc>
        <w:tc>
          <w:tcPr>
            <w:tcW w:w="1242" w:type="dxa"/>
            <w:noWrap w:val="0"/>
            <w:vAlign w:val="top"/>
          </w:tcPr>
          <w:p>
            <w:pPr>
              <w:adjustRightInd w:val="0"/>
              <w:snapToGrid w:val="0"/>
              <w:spacing w:line="500" w:lineRule="atLeast"/>
              <w:jc w:val="center"/>
              <w:rPr>
                <w:rFonts w:hint="default" w:ascii="宋体" w:hAnsi="宋体" w:eastAsia="宋体"/>
                <w:szCs w:val="21"/>
                <w:lang w:val="en-US" w:eastAsia="zh-CN"/>
              </w:rPr>
            </w:pPr>
          </w:p>
        </w:tc>
        <w:tc>
          <w:tcPr>
            <w:tcW w:w="1529" w:type="dxa"/>
            <w:noWrap w:val="0"/>
            <w:vAlign w:val="top"/>
          </w:tcPr>
          <w:p>
            <w:pPr>
              <w:adjustRightInd w:val="0"/>
              <w:snapToGrid w:val="0"/>
              <w:spacing w:line="500" w:lineRule="atLeast"/>
              <w:jc w:val="center"/>
              <w:rPr>
                <w:rFonts w:hint="default" w:ascii="宋体" w:hAnsi="宋体" w:eastAsia="宋体"/>
                <w:szCs w:val="21"/>
                <w:lang w:val="en-US" w:eastAsia="zh-CN"/>
              </w:rPr>
            </w:pPr>
            <w:r>
              <w:rPr>
                <w:rFonts w:hint="eastAsia" w:ascii="宋体" w:hAnsi="宋体"/>
                <w:szCs w:val="21"/>
                <w:lang w:val="en-US" w:eastAsia="zh-CN"/>
              </w:rPr>
              <w:t>2025-8-30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8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529"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8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529"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8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529"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8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529"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8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529"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8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529"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8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529"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8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529"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8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529"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8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529"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8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529"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8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529"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8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529"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8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529"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szCs w:val="21"/>
              </w:rPr>
            </w:pPr>
          </w:p>
        </w:tc>
        <w:tc>
          <w:tcPr>
            <w:tcW w:w="3782" w:type="dxa"/>
            <w:noWrap w:val="0"/>
            <w:vAlign w:val="center"/>
          </w:tcPr>
          <w:p>
            <w:pPr>
              <w:widowControl/>
              <w:adjustRightInd w:val="0"/>
              <w:snapToGrid w:val="0"/>
              <w:spacing w:line="500" w:lineRule="atLeast"/>
              <w:jc w:val="center"/>
              <w:rPr>
                <w:rFonts w:hint="eastAsia" w:ascii="宋体" w:hAnsi="宋体" w:cs="宋体"/>
                <w:bCs/>
                <w:kern w:val="0"/>
                <w:szCs w:val="21"/>
              </w:rPr>
            </w:pPr>
          </w:p>
        </w:tc>
        <w:tc>
          <w:tcPr>
            <w:tcW w:w="1228" w:type="dxa"/>
            <w:noWrap w:val="0"/>
            <w:vAlign w:val="top"/>
          </w:tcPr>
          <w:p>
            <w:pPr>
              <w:adjustRightInd w:val="0"/>
              <w:snapToGrid w:val="0"/>
              <w:spacing w:line="500" w:lineRule="atLeast"/>
              <w:jc w:val="center"/>
              <w:rPr>
                <w:rFonts w:hint="eastAsia" w:ascii="宋体" w:hAnsi="宋体"/>
                <w:szCs w:val="21"/>
              </w:rPr>
            </w:pPr>
          </w:p>
        </w:tc>
        <w:tc>
          <w:tcPr>
            <w:tcW w:w="1191" w:type="dxa"/>
            <w:noWrap w:val="0"/>
            <w:vAlign w:val="top"/>
          </w:tcPr>
          <w:p>
            <w:pPr>
              <w:adjustRightInd w:val="0"/>
              <w:snapToGrid w:val="0"/>
              <w:spacing w:line="500" w:lineRule="atLeast"/>
              <w:jc w:val="center"/>
              <w:rPr>
                <w:rFonts w:hint="eastAsia"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529"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937" w:type="dxa"/>
            <w:noWrap w:val="0"/>
            <w:vAlign w:val="center"/>
          </w:tcPr>
          <w:p>
            <w:pPr>
              <w:widowControl/>
              <w:adjustRightInd w:val="0"/>
              <w:snapToGrid w:val="0"/>
              <w:spacing w:line="500" w:lineRule="atLeast"/>
              <w:ind w:left="-107" w:leftChars="-51" w:right="-107" w:rightChars="-51"/>
              <w:jc w:val="center"/>
              <w:rPr>
                <w:rFonts w:hint="eastAsia" w:ascii="宋体" w:hAnsi="宋体" w:cs="宋体"/>
                <w:bCs/>
                <w:color w:val="0000FF"/>
                <w:kern w:val="0"/>
                <w:szCs w:val="21"/>
              </w:rPr>
            </w:pPr>
          </w:p>
        </w:tc>
        <w:tc>
          <w:tcPr>
            <w:tcW w:w="3782" w:type="dxa"/>
            <w:noWrap w:val="0"/>
            <w:vAlign w:val="center"/>
          </w:tcPr>
          <w:p>
            <w:pPr>
              <w:widowControl/>
              <w:adjustRightInd w:val="0"/>
              <w:snapToGrid w:val="0"/>
              <w:spacing w:line="500" w:lineRule="atLeast"/>
              <w:jc w:val="center"/>
              <w:rPr>
                <w:rFonts w:hint="eastAsia" w:ascii="宋体" w:hAnsi="宋体" w:cs="宋体"/>
                <w:bCs/>
                <w:color w:val="0000FF"/>
                <w:kern w:val="0"/>
                <w:szCs w:val="21"/>
              </w:rPr>
            </w:pPr>
          </w:p>
        </w:tc>
        <w:tc>
          <w:tcPr>
            <w:tcW w:w="1228" w:type="dxa"/>
            <w:noWrap w:val="0"/>
            <w:vAlign w:val="top"/>
          </w:tcPr>
          <w:p>
            <w:pPr>
              <w:adjustRightInd w:val="0"/>
              <w:snapToGrid w:val="0"/>
              <w:spacing w:line="500" w:lineRule="atLeast"/>
              <w:jc w:val="center"/>
              <w:rPr>
                <w:rFonts w:ascii="宋体" w:hAnsi="宋体"/>
                <w:szCs w:val="21"/>
              </w:rPr>
            </w:pPr>
          </w:p>
        </w:tc>
        <w:tc>
          <w:tcPr>
            <w:tcW w:w="1191" w:type="dxa"/>
            <w:noWrap w:val="0"/>
            <w:vAlign w:val="top"/>
          </w:tcPr>
          <w:p>
            <w:pPr>
              <w:adjustRightInd w:val="0"/>
              <w:snapToGrid w:val="0"/>
              <w:spacing w:line="500" w:lineRule="atLeast"/>
              <w:jc w:val="center"/>
              <w:rPr>
                <w:rFonts w:ascii="宋体" w:hAnsi="宋体"/>
                <w:szCs w:val="21"/>
              </w:rPr>
            </w:pPr>
          </w:p>
        </w:tc>
        <w:tc>
          <w:tcPr>
            <w:tcW w:w="1242" w:type="dxa"/>
            <w:noWrap w:val="0"/>
            <w:vAlign w:val="top"/>
          </w:tcPr>
          <w:p>
            <w:pPr>
              <w:adjustRightInd w:val="0"/>
              <w:snapToGrid w:val="0"/>
              <w:spacing w:line="500" w:lineRule="atLeast"/>
              <w:jc w:val="center"/>
              <w:rPr>
                <w:rFonts w:hint="eastAsia" w:ascii="宋体" w:hAnsi="宋体"/>
                <w:szCs w:val="21"/>
              </w:rPr>
            </w:pPr>
          </w:p>
        </w:tc>
        <w:tc>
          <w:tcPr>
            <w:tcW w:w="1529" w:type="dxa"/>
            <w:noWrap w:val="0"/>
            <w:vAlign w:val="top"/>
          </w:tcPr>
          <w:p>
            <w:pPr>
              <w:adjustRightInd w:val="0"/>
              <w:snapToGrid w:val="0"/>
              <w:spacing w:line="500" w:lineRule="atLeas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8" w:hRule="atLeast"/>
        </w:trPr>
        <w:tc>
          <w:tcPr>
            <w:tcW w:w="9909" w:type="dxa"/>
            <w:gridSpan w:val="6"/>
            <w:noWrap w:val="0"/>
            <w:vAlign w:val="top"/>
          </w:tcPr>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b/>
                <w:bCs/>
                <w:sz w:val="24"/>
                <w:szCs w:val="24"/>
                <w:u w:val="none" w:color="auto"/>
                <w:vertAlign w:val="baseline"/>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b/>
                <w:bCs/>
                <w:sz w:val="24"/>
                <w:szCs w:val="24"/>
                <w:u w:val="none" w:color="auto"/>
                <w:vertAlign w:val="baseline"/>
                <w:lang w:val="en-US" w:eastAsia="zh-CN"/>
              </w:rPr>
            </w:pPr>
            <w:r>
              <w:rPr>
                <w:rFonts w:hint="eastAsia"/>
                <w:b/>
                <w:bCs/>
                <w:sz w:val="24"/>
                <w:szCs w:val="24"/>
                <w:u w:val="none" w:color="auto"/>
                <w:vertAlign w:val="baseline"/>
                <w:lang w:val="en-US" w:eastAsia="zh-CN"/>
              </w:rPr>
              <w:t>1 目的</w:t>
            </w:r>
          </w:p>
          <w:p>
            <w:pPr>
              <w:numPr>
                <w:ilvl w:val="0"/>
                <w:numId w:val="0"/>
              </w:numPr>
              <w:ind w:firstLine="480" w:firstLineChars="20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为控制非正常质量成本，追溯和落实品质责任，优化企业的运营，特制定本制度。</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cs="宋体"/>
                <w:b w:val="0"/>
                <w:bCs/>
                <w:color w:val="000000" w:themeColor="text1"/>
                <w:sz w:val="24"/>
                <w:szCs w:val="24"/>
                <w:u w:val="none"/>
                <w:vertAlign w:val="baseline"/>
                <w:lang w:val="en-US" w:eastAsia="zh-CN"/>
                <w14:textFill>
                  <w14:solidFill>
                    <w14:schemeClr w14:val="tx1"/>
                  </w14:solidFill>
                </w14:textFill>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2 适用范围</w:t>
            </w:r>
          </w:p>
          <w:p>
            <w:pPr>
              <w:numPr>
                <w:ilvl w:val="0"/>
                <w:numId w:val="0"/>
              </w:numPr>
              <w:ind w:leftChars="0" w:firstLine="48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本制度适用于公司与质量问题相关的导致产生的直接成本和费用（简称质量成本）的核算以及责任分摊执行。</w:t>
            </w:r>
          </w:p>
          <w:p>
            <w:pPr>
              <w:numPr>
                <w:ilvl w:val="0"/>
                <w:numId w:val="0"/>
              </w:numPr>
              <w:ind w:leftChars="0" w:firstLine="480"/>
              <w:rPr>
                <w:rFonts w:hint="eastAsia"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ind w:leftChars="0" w:firstLine="48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质量成本的定义范围和分类：</w:t>
            </w:r>
          </w:p>
          <w:p>
            <w:pPr>
              <w:numPr>
                <w:ilvl w:val="0"/>
                <w:numId w:val="0"/>
              </w:numPr>
              <w:ind w:leftChars="0" w:firstLine="480"/>
              <w:rPr>
                <w:rFonts w:hint="default" w:cs="宋体"/>
                <w:b w:val="0"/>
                <w:bCs/>
                <w:color w:val="000000" w:themeColor="text1"/>
                <w:sz w:val="24"/>
                <w:szCs w:val="24"/>
                <w:u w:val="none"/>
                <w:vertAlign w:val="baseline"/>
                <w:lang w:val="en-US" w:eastAsia="zh-CN"/>
                <w14:textFill>
                  <w14:solidFill>
                    <w14:schemeClr w14:val="tx1"/>
                  </w14:solidFill>
                </w14:textFill>
              </w:rPr>
            </w:pPr>
          </w:p>
          <w:p>
            <w:pPr>
              <w:numPr>
                <w:ilvl w:val="0"/>
                <w:numId w:val="1"/>
              </w:numPr>
              <w:ind w:leftChars="0" w:firstLine="48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 xml:space="preserve"> 车间之外出现的质量成本：</w:t>
            </w:r>
          </w:p>
          <w:p>
            <w:pPr>
              <w:numPr>
                <w:ilvl w:val="0"/>
                <w:numId w:val="0"/>
              </w:numPr>
              <w:ind w:left="480" w:leftChars="0"/>
              <w:rPr>
                <w:rFonts w:hint="default"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ind w:left="480" w:leftChars="0" w:firstLine="480" w:firstLineChars="20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w:t>
            </w:r>
            <w:r>
              <w:rPr>
                <w:rFonts w:hint="eastAsia"/>
                <w:color w:val="000000" w:themeColor="text1"/>
                <w:sz w:val="24"/>
                <w:szCs w:val="24"/>
                <w:lang w:eastAsia="zh-CN"/>
                <w14:textFill>
                  <w14:solidFill>
                    <w14:schemeClr w14:val="tx1"/>
                  </w14:solidFill>
                </w14:textFill>
              </w:rPr>
              <w:t>供应商物料检验不合格，品质部门外出重验的成本</w:t>
            </w:r>
            <w:r>
              <w:rPr>
                <w:rFonts w:hint="eastAsia"/>
                <w:color w:val="000000" w:themeColor="text1"/>
                <w:sz w:val="24"/>
                <w:szCs w:val="24"/>
                <w:lang w:val="en-US" w:eastAsia="zh-CN"/>
                <w14:textFill>
                  <w14:solidFill>
                    <w14:schemeClr w14:val="tx1"/>
                  </w14:solidFill>
                </w14:textFill>
              </w:rPr>
              <w:t xml:space="preserve">. </w:t>
            </w:r>
          </w:p>
          <w:p>
            <w:pPr>
              <w:numPr>
                <w:ilvl w:val="0"/>
                <w:numId w:val="0"/>
              </w:numPr>
              <w:ind w:left="480" w:leftChars="0" w:firstLine="480" w:firstLineChars="20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2）</w:t>
            </w:r>
            <w:r>
              <w:rPr>
                <w:rFonts w:hint="eastAsia"/>
                <w:color w:val="000000" w:themeColor="text1"/>
                <w:sz w:val="24"/>
                <w:szCs w:val="24"/>
                <w:lang w:eastAsia="zh-CN"/>
                <w14:textFill>
                  <w14:solidFill>
                    <w14:schemeClr w14:val="tx1"/>
                  </w14:solidFill>
                </w14:textFill>
              </w:rPr>
              <w:t>客户验货不合格，客户重验收取的重验费用</w:t>
            </w:r>
            <w:r>
              <w:rPr>
                <w:rFonts w:hint="eastAsia"/>
                <w:color w:val="000000" w:themeColor="text1"/>
                <w:sz w:val="24"/>
                <w:szCs w:val="24"/>
                <w:lang w:val="en-US" w:eastAsia="zh-CN"/>
                <w14:textFill>
                  <w14:solidFill>
                    <w14:schemeClr w14:val="tx1"/>
                  </w14:solidFill>
                </w14:textFill>
              </w:rPr>
              <w:t xml:space="preserve">        </w:t>
            </w:r>
          </w:p>
          <w:p>
            <w:pPr>
              <w:numPr>
                <w:ilvl w:val="0"/>
                <w:numId w:val="0"/>
              </w:numPr>
              <w:ind w:left="480" w:leftChars="0" w:firstLine="480" w:firstLineChars="20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3）</w:t>
            </w:r>
            <w:r>
              <w:rPr>
                <w:rFonts w:hint="eastAsia"/>
                <w:color w:val="000000" w:themeColor="text1"/>
                <w:sz w:val="24"/>
                <w:szCs w:val="24"/>
                <w:lang w:eastAsia="zh-CN"/>
                <w14:textFill>
                  <w14:solidFill>
                    <w14:schemeClr w14:val="tx1"/>
                  </w14:solidFill>
                </w14:textFill>
              </w:rPr>
              <w:t>因质量问题客诉索赔（包括但不限于扣款，补配件、补成品、纠纷等产生的成本费用）。</w:t>
            </w:r>
            <w:r>
              <w:rPr>
                <w:rFonts w:hint="eastAsia"/>
                <w:color w:val="000000" w:themeColor="text1"/>
                <w:sz w:val="24"/>
                <w:szCs w:val="24"/>
                <w:lang w:val="en-US" w:eastAsia="zh-CN"/>
                <w14:textFill>
                  <w14:solidFill>
                    <w14:schemeClr w14:val="tx1"/>
                  </w14:solidFill>
                </w14:textFill>
              </w:rPr>
              <w:t xml:space="preserve"> </w:t>
            </w:r>
          </w:p>
          <w:p>
            <w:pPr>
              <w:numPr>
                <w:ilvl w:val="0"/>
                <w:numId w:val="0"/>
              </w:numPr>
              <w:ind w:left="480" w:leftChars="0" w:firstLine="480" w:firstLineChars="200"/>
              <w:rPr>
                <w:rFonts w:hint="eastAsia"/>
                <w:color w:val="000000" w:themeColor="text1"/>
                <w:sz w:val="24"/>
                <w:szCs w:val="24"/>
                <w:lang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4）</w:t>
            </w:r>
            <w:r>
              <w:rPr>
                <w:rFonts w:hint="eastAsia"/>
                <w:color w:val="000000" w:themeColor="text1"/>
                <w:sz w:val="24"/>
                <w:szCs w:val="24"/>
                <w:lang w:eastAsia="zh-CN"/>
                <w14:textFill>
                  <w14:solidFill>
                    <w14:schemeClr w14:val="tx1"/>
                  </w14:solidFill>
                </w14:textFill>
              </w:rPr>
              <w:t>因质量问题的导致的售后维修成本</w:t>
            </w:r>
          </w:p>
          <w:p>
            <w:pPr>
              <w:numPr>
                <w:ilvl w:val="0"/>
                <w:numId w:val="0"/>
              </w:numPr>
              <w:ind w:left="480" w:leftChars="0" w:firstLine="480" w:firstLineChars="200"/>
              <w:rPr>
                <w:rFonts w:hint="eastAsia" w:eastAsiaTheme="minor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5）因其它原因如过期、仓库保管不力、工程变更后无法使用、供应商不良物料无法退货等导致需要报废的质量成本</w:t>
            </w:r>
          </w:p>
          <w:p>
            <w:pPr>
              <w:numPr>
                <w:ilvl w:val="0"/>
                <w:numId w:val="0"/>
              </w:numPr>
              <w:ind w:left="480" w:leftChars="0" w:firstLine="480" w:firstLineChars="200"/>
              <w:rPr>
                <w:rFonts w:hint="default"/>
                <w:color w:val="000000" w:themeColor="text1"/>
                <w:sz w:val="24"/>
                <w:szCs w:val="24"/>
                <w:lang w:val="en-US" w:eastAsia="zh-CN"/>
                <w14:textFill>
                  <w14:solidFill>
                    <w14:schemeClr w14:val="tx1"/>
                  </w14:solidFill>
                </w14:textFill>
              </w:rPr>
            </w:pPr>
          </w:p>
          <w:p>
            <w:pPr>
              <w:numPr>
                <w:ilvl w:val="0"/>
                <w:numId w:val="1"/>
              </w:numPr>
              <w:ind w:left="0" w:leftChars="0" w:firstLine="480" w:firstLine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eastAsia="zh-CN"/>
                <w14:textFill>
                  <w14:solidFill>
                    <w14:schemeClr w14:val="tx1"/>
                  </w14:solidFill>
                </w14:textFill>
              </w:rPr>
              <w:t>在车间出现的质量成本：</w:t>
            </w:r>
          </w:p>
          <w:p>
            <w:pPr>
              <w:numPr>
                <w:ilvl w:val="0"/>
                <w:numId w:val="0"/>
              </w:numPr>
              <w:ind w:left="480" w:leftChars="0"/>
              <w:rPr>
                <w:rFonts w:hint="default"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ind w:left="480" w:leftChars="0" w:firstLine="480" w:firstLineChars="20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 xml:space="preserve">1）因来料质量问题导致的车间停线、挑选加工、维修、返工（含半成品组件返工）导致的工时和损耗成本。 </w:t>
            </w:r>
          </w:p>
          <w:p>
            <w:pPr>
              <w:numPr>
                <w:ilvl w:val="0"/>
                <w:numId w:val="0"/>
              </w:numPr>
              <w:ind w:left="480" w:leftChars="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 xml:space="preserve">     备注：维修工时和物料损耗仅对单一来料问题导致有超过5%的情况下才需做统计。来料问题导致的维修率或者挑选率在5%以下的暂定为正常水平，可不计入此项成本。</w:t>
            </w:r>
          </w:p>
          <w:p>
            <w:pPr>
              <w:numPr>
                <w:ilvl w:val="0"/>
                <w:numId w:val="0"/>
              </w:numPr>
              <w:ind w:left="480" w:leftChars="0" w:firstLine="480" w:firstLineChars="20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 xml:space="preserve">2）因工艺结构设计问题、BOM错误问题导致的停线、返工（含半成品组件返工）的工时和物料损耗成本。  </w:t>
            </w:r>
          </w:p>
          <w:p>
            <w:pPr>
              <w:numPr>
                <w:ilvl w:val="0"/>
                <w:numId w:val="0"/>
              </w:numPr>
              <w:ind w:left="480" w:leftChars="0" w:firstLine="480" w:firstLineChars="20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3）因车间自身问题（包括工艺执行不到位、首样检查不到位、设备、工装维护不到位、人员培训不到位所导致的维修、停线、返工（含半成品组件返工）的工时和物料损耗成本。如维修率5%或以下，则视为为正常水平，可不计入此项成本。</w:t>
            </w:r>
          </w:p>
          <w:p>
            <w:pPr>
              <w:numPr>
                <w:ilvl w:val="0"/>
                <w:numId w:val="0"/>
              </w:numPr>
              <w:ind w:left="480" w:leftChars="0" w:firstLine="480" w:firstLineChars="20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 xml:space="preserve">4） 因业务部门（客户）质量标准不清或传递错误导致的停线、返工（含半成品组件返工）的工时和物料损耗成本。  </w:t>
            </w:r>
          </w:p>
          <w:p>
            <w:pPr>
              <w:numPr>
                <w:ilvl w:val="0"/>
                <w:numId w:val="0"/>
              </w:numPr>
              <w:ind w:left="480" w:leftChars="0" w:firstLine="480" w:firstLineChars="200"/>
              <w:rPr>
                <w:rFonts w:hint="eastAsia"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ind w:left="480" w:leftChars="0" w:firstLine="480" w:firstLineChars="20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 xml:space="preserve">   备注：物料损耗还包括了一些喷涂、抛光等无形的加工成本</w:t>
            </w:r>
          </w:p>
          <w:p>
            <w:pPr>
              <w:numPr>
                <w:ilvl w:val="0"/>
                <w:numId w:val="0"/>
              </w:numPr>
              <w:ind w:leftChars="0" w:firstLine="480"/>
              <w:rPr>
                <w:rFonts w:hint="eastAsia" w:cs="宋体"/>
                <w:b w:val="0"/>
                <w:bCs/>
                <w:color w:val="000000" w:themeColor="text1"/>
                <w:sz w:val="24"/>
                <w:szCs w:val="24"/>
                <w:u w:val="none"/>
                <w:vertAlign w:val="baseline"/>
                <w:lang w:val="en-US" w:eastAsia="zh-CN"/>
                <w14:textFill>
                  <w14:solidFill>
                    <w14:schemeClr w14:val="tx1"/>
                  </w14:solidFill>
                </w14:textFill>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3 职责</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3.1 财务部：</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3.1.1专项统计质量成本</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3.1.2落实质量成本的承担；</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3.1.3质量成本的财务分析及建议；</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ascii="Times New Roman" w:hAnsi="Times New Roman" w:cs="Times New Roman"/>
                <w:b w:val="0"/>
                <w:bCs w:val="0"/>
                <w:sz w:val="24"/>
                <w:szCs w:val="24"/>
                <w:lang w:val="en-US" w:eastAsia="zh-CN"/>
              </w:rPr>
              <w:t xml:space="preserve">3.2.3 </w:t>
            </w:r>
            <w:r>
              <w:rPr>
                <w:rFonts w:hint="eastAsia" w:cs="宋体"/>
                <w:b w:val="0"/>
                <w:bCs/>
                <w:color w:val="000000" w:themeColor="text1"/>
                <w:sz w:val="24"/>
                <w:szCs w:val="24"/>
                <w:u w:val="none"/>
                <w:vertAlign w:val="baseline"/>
                <w:lang w:val="en-US" w:eastAsia="zh-CN"/>
                <w14:textFill>
                  <w14:solidFill>
                    <w14:schemeClr w14:val="tx1"/>
                  </w14:solidFill>
                </w14:textFill>
              </w:rPr>
              <w:t>发现会产生供应商承担质量成本的，应在半小时内将质量成本（包括存在潜在质量成本暂无法准确核算的）通知PMC采购部门。</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3.2 品质部</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3.2.1 及时申报车间以外发生的质量成本；</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3.2.2采取有效的纠正和预防措施控制质量成本，包括但不限于采用跟进整改、培训、奖罚、品质体系优化、奖罚等；</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3.2.3对质量成本控制过程之中具有奖罚建议权</w:t>
            </w:r>
          </w:p>
          <w:p>
            <w:pPr>
              <w:numPr>
                <w:ilvl w:val="0"/>
                <w:numId w:val="0"/>
              </w:numPr>
              <w:ind w:leftChars="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ascii="Times New Roman" w:hAnsi="Times New Roman" w:cs="Times New Roman"/>
                <w:b w:val="0"/>
                <w:bCs w:val="0"/>
                <w:sz w:val="24"/>
                <w:szCs w:val="24"/>
                <w:lang w:val="en-US" w:eastAsia="zh-CN"/>
              </w:rPr>
              <w:t>3.2.4 复核车间提交的</w:t>
            </w:r>
            <w:r>
              <w:rPr>
                <w:rFonts w:hint="eastAsia" w:cs="宋体"/>
                <w:b w:val="0"/>
                <w:bCs/>
                <w:color w:val="000000" w:themeColor="text1"/>
                <w:sz w:val="24"/>
                <w:szCs w:val="24"/>
                <w:u w:val="none"/>
                <w:vertAlign w:val="baseline"/>
                <w:lang w:val="en-US" w:eastAsia="zh-CN"/>
                <w14:textFill>
                  <w14:solidFill>
                    <w14:schemeClr w14:val="tx1"/>
                  </w14:solidFill>
                </w14:textFill>
              </w:rPr>
              <w:t>《车间出现的质量成本记录表》和《成品、半成品返工通知单》等涉及质量成本的单据，并提交给财务和采购部门；</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3.2.5 发现会产生供应商承担质量成本的，应在半小时内将质量成本（包括存在潜在质量成本暂无法准确核算的）通知PMC采购部门。</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3.3  生产部</w:t>
            </w:r>
          </w:p>
          <w:p>
            <w:pPr>
              <w:numPr>
                <w:ilvl w:val="0"/>
                <w:numId w:val="0"/>
              </w:numPr>
              <w:ind w:leftChars="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ascii="Times New Roman" w:hAnsi="Times New Roman" w:cs="Times New Roman"/>
                <w:b w:val="0"/>
                <w:bCs w:val="0"/>
                <w:sz w:val="24"/>
                <w:szCs w:val="24"/>
                <w:lang w:val="en-US" w:eastAsia="zh-CN"/>
              </w:rPr>
              <w:t>3.3.1 及时提交</w:t>
            </w:r>
            <w:r>
              <w:rPr>
                <w:rFonts w:hint="eastAsia" w:cs="宋体"/>
                <w:b w:val="0"/>
                <w:bCs/>
                <w:color w:val="000000" w:themeColor="text1"/>
                <w:sz w:val="24"/>
                <w:szCs w:val="24"/>
                <w:u w:val="none"/>
                <w:vertAlign w:val="baseline"/>
                <w:lang w:val="en-US" w:eastAsia="zh-CN"/>
                <w14:textFill>
                  <w14:solidFill>
                    <w14:schemeClr w14:val="tx1"/>
                  </w14:solidFill>
                </w14:textFill>
              </w:rPr>
              <w:t>《车间出现的质量成本记录表》和《成品、半成品返工通知单》等涉及质量成本的单据</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宋体" w:hAnsi="宋体" w:cs="宋体"/>
                <w:sz w:val="24"/>
                <w:szCs w:val="24"/>
                <w:lang w:val="en-US" w:eastAsia="zh-CN"/>
              </w:rPr>
            </w:pPr>
            <w:r>
              <w:rPr>
                <w:rFonts w:hint="eastAsia" w:ascii="Times New Roman" w:hAnsi="Times New Roman" w:cs="Times New Roman"/>
                <w:b w:val="0"/>
                <w:bCs w:val="0"/>
                <w:sz w:val="24"/>
                <w:szCs w:val="24"/>
                <w:lang w:val="en-US" w:eastAsia="zh-CN"/>
              </w:rPr>
              <w:t>3.3.2 采取有效措施管控车间出现的质量成本包括但不限于采用跟进整改、培训、奖罚、品质体系优化、奖罚等</w:t>
            </w:r>
            <w:r>
              <w:rPr>
                <w:rFonts w:hint="eastAsia" w:ascii="宋体" w:hAnsi="宋体" w:cs="宋体"/>
                <w:sz w:val="24"/>
                <w:szCs w:val="24"/>
                <w:lang w:val="en-US" w:eastAsia="zh-CN"/>
              </w:rPr>
              <w:t>。</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default" w:ascii="宋体" w:hAnsi="宋体" w:cs="宋体"/>
                <w:sz w:val="24"/>
                <w:szCs w:val="24"/>
                <w:lang w:val="en-US" w:eastAsia="zh-CN"/>
              </w:rPr>
            </w:pPr>
            <w:r>
              <w:rPr>
                <w:rFonts w:hint="eastAsia" w:ascii="宋体" w:hAnsi="宋体" w:cs="宋体"/>
                <w:sz w:val="24"/>
                <w:szCs w:val="24"/>
                <w:lang w:val="en-US" w:eastAsia="zh-CN"/>
              </w:rPr>
              <w:t xml:space="preserve">3.3.3 </w:t>
            </w:r>
            <w:r>
              <w:rPr>
                <w:rFonts w:hint="eastAsia" w:cs="宋体"/>
                <w:b w:val="0"/>
                <w:bCs/>
                <w:color w:val="000000" w:themeColor="text1"/>
                <w:sz w:val="24"/>
                <w:szCs w:val="24"/>
                <w:u w:val="none"/>
                <w:vertAlign w:val="baseline"/>
                <w:lang w:val="en-US" w:eastAsia="zh-CN"/>
                <w14:textFill>
                  <w14:solidFill>
                    <w14:schemeClr w14:val="tx1"/>
                  </w14:solidFill>
                </w14:textFill>
              </w:rPr>
              <w:t>发现会产生供应商承担质量成本的，应在半小时内将质量成本（包括存在潜在质量成本暂无法准确核算的）通知PMC采购部门。</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宋体" w:hAnsi="宋体" w:cs="宋体"/>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3.4 工程技术部</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3.4.1对质量成本控制过程中的技术支持；</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3.4.2 从源头上控制因为BOm错误、工艺结构的不完善、技术资料不完善等原因造成的质量成本。</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default" w:ascii="Times New Roman" w:hAnsi="Times New Roman"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3.5  PMC采购</w:t>
            </w:r>
          </w:p>
          <w:p>
            <w:pPr>
              <w:numPr>
                <w:ilvl w:val="0"/>
                <w:numId w:val="0"/>
              </w:numPr>
              <w:ind w:left="240" w:left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ascii="Times New Roman" w:hAnsi="Times New Roman" w:eastAsia="宋体" w:cs="Times New Roman"/>
                <w:b w:val="0"/>
                <w:bCs w:val="0"/>
                <w:sz w:val="24"/>
                <w:szCs w:val="24"/>
                <w:lang w:val="en-US" w:eastAsia="zh-CN"/>
              </w:rPr>
              <w:t>3.5.1</w:t>
            </w:r>
            <w:r>
              <w:rPr>
                <w:rFonts w:hint="eastAsia" w:cs="宋体"/>
                <w:b w:val="0"/>
                <w:bCs/>
                <w:color w:val="000000" w:themeColor="text1"/>
                <w:sz w:val="24"/>
                <w:szCs w:val="24"/>
                <w:u w:val="none"/>
                <w:vertAlign w:val="baseline"/>
                <w:lang w:val="en-US" w:eastAsia="zh-CN"/>
                <w14:textFill>
                  <w14:solidFill>
                    <w14:schemeClr w14:val="tx1"/>
                  </w14:solidFill>
                </w14:textFill>
              </w:rPr>
              <w:t>在收到涉及到供应商应承担的质量成本包括存在潜在质量成本暂无法准确核算的）</w:t>
            </w:r>
          </w:p>
          <w:p>
            <w:pPr>
              <w:numPr>
                <w:ilvl w:val="0"/>
                <w:numId w:val="0"/>
              </w:numPr>
              <w:ind w:left="240" w:left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的，应在半小时内将质量成本发送供应商知悉，并跟进确认情况。</w:t>
            </w:r>
          </w:p>
          <w:p>
            <w:pPr>
              <w:numPr>
                <w:ilvl w:val="0"/>
                <w:numId w:val="0"/>
              </w:numPr>
              <w:ind w:leftChars="0"/>
              <w:rPr>
                <w:rFonts w:hint="default"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ind w:firstLine="240" w:firstLineChars="100"/>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3.5.2采取有效措施管控车间出现的质量成本，包括但不限于：快速安排物料转拉、协调申请加工、通知跟进供应商快速到场处理等。</w:t>
            </w:r>
          </w:p>
          <w:p>
            <w:pPr>
              <w:numPr>
                <w:ilvl w:val="0"/>
                <w:numId w:val="0"/>
              </w:numPr>
              <w:ind w:firstLine="240" w:firstLineChars="100"/>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3.5.3 快速清退不合格物料等</w:t>
            </w:r>
          </w:p>
          <w:p>
            <w:pPr>
              <w:numPr>
                <w:ilvl w:val="0"/>
                <w:numId w:val="0"/>
              </w:numPr>
              <w:ind w:firstLine="240" w:firstLineChars="100"/>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3.5.4 协调处理供应商质量成本承担争议等。</w:t>
            </w:r>
          </w:p>
          <w:p>
            <w:pPr>
              <w:numPr>
                <w:ilvl w:val="0"/>
                <w:numId w:val="0"/>
              </w:numPr>
              <w:ind w:firstLine="240" w:firstLineChars="100"/>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3.5.5 督促供应商回应公司</w:t>
            </w:r>
            <w:r>
              <w:rPr>
                <w:rFonts w:hint="eastAsia" w:ascii="Times New Roman" w:hAnsi="Times New Roman" w:eastAsia="宋体" w:cs="宋体"/>
                <w:b w:val="0"/>
                <w:bCs/>
                <w:color w:val="000000" w:themeColor="text1"/>
                <w:sz w:val="24"/>
                <w:szCs w:val="24"/>
                <w:u w:val="none"/>
                <w:vertAlign w:val="baseline"/>
                <w:lang w:val="en-US" w:eastAsia="zh-CN"/>
                <w14:textFill>
                  <w14:solidFill>
                    <w14:schemeClr w14:val="tx1"/>
                  </w14:solidFill>
                </w14:textFill>
              </w:rPr>
              <w:t>《分析、纠正、预防和整改通知单</w:t>
            </w:r>
            <w:r>
              <w:rPr>
                <w:rFonts w:hint="eastAsia" w:cs="宋体"/>
                <w:b w:val="0"/>
                <w:bCs/>
                <w:color w:val="000000" w:themeColor="text1"/>
                <w:sz w:val="24"/>
                <w:szCs w:val="24"/>
                <w:u w:val="none"/>
                <w:vertAlign w:val="baseline"/>
                <w:lang w:val="en-US" w:eastAsia="zh-CN"/>
                <w14:textFill>
                  <w14:solidFill>
                    <w14:schemeClr w14:val="tx1"/>
                  </w14:solidFill>
                </w14:textFill>
              </w:rPr>
              <w:t>》，并落实整改等。</w:t>
            </w:r>
          </w:p>
          <w:p>
            <w:pPr>
              <w:numPr>
                <w:ilvl w:val="0"/>
                <w:numId w:val="0"/>
              </w:numPr>
              <w:ind w:firstLine="240" w:firstLineChars="100"/>
              <w:rPr>
                <w:rFonts w:hint="default" w:ascii="Times New Roman" w:hAnsi="Times New Roman"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leftChars="0"/>
              <w:textAlignment w:val="auto"/>
              <w:rPr>
                <w:rFonts w:hint="default" w:ascii="Times New Roman" w:hAnsi="Times New Roman" w:eastAsia="宋体"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3.6 整改组/总经理</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ascii="Times New Roman" w:hAnsi="Times New Roman" w:cs="Times New Roman"/>
                <w:b w:val="0"/>
                <w:bCs w:val="0"/>
                <w:sz w:val="24"/>
                <w:szCs w:val="24"/>
                <w:lang w:val="en-US" w:eastAsia="zh-CN"/>
              </w:rPr>
              <w:t>3.6.1负责发出《</w:t>
            </w:r>
            <w:r>
              <w:rPr>
                <w:rFonts w:hint="eastAsia" w:ascii="Times New Roman" w:hAnsi="Times New Roman" w:eastAsia="宋体" w:cs="宋体"/>
                <w:b w:val="0"/>
                <w:bCs/>
                <w:color w:val="000000" w:themeColor="text1"/>
                <w:sz w:val="24"/>
                <w:szCs w:val="24"/>
                <w:u w:val="none"/>
                <w:vertAlign w:val="baseline"/>
                <w:lang w:val="en-US" w:eastAsia="zh-CN"/>
                <w14:textFill>
                  <w14:solidFill>
                    <w14:schemeClr w14:val="tx1"/>
                  </w14:solidFill>
                </w14:textFill>
              </w:rPr>
              <w:t>分析、纠正、预防和整改通知单</w:t>
            </w:r>
            <w:r>
              <w:rPr>
                <w:rFonts w:hint="eastAsia" w:cs="宋体"/>
                <w:b w:val="0"/>
                <w:bCs/>
                <w:color w:val="000000" w:themeColor="text1"/>
                <w:sz w:val="24"/>
                <w:szCs w:val="24"/>
                <w:u w:val="none"/>
                <w:vertAlign w:val="baseline"/>
                <w:lang w:val="en-US" w:eastAsia="zh-CN"/>
                <w14:textFill>
                  <w14:solidFill>
                    <w14:schemeClr w14:val="tx1"/>
                  </w14:solidFill>
                </w14:textFill>
              </w:rPr>
              <w:t>》，并落实整改</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3.6.2确认实施质量成本控制的奖惩措施；</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宋体" w:hAnsi="宋体" w:eastAsia="宋体" w:cs="宋体"/>
                <w:sz w:val="24"/>
                <w:szCs w:val="24"/>
                <w:lang w:eastAsia="zh-CN"/>
              </w:rPr>
            </w:pPr>
            <w:r>
              <w:rPr>
                <w:rFonts w:hint="eastAsia" w:ascii="Times New Roman" w:hAnsi="Times New Roman" w:cs="Times New Roman"/>
                <w:b w:val="0"/>
                <w:bCs w:val="0"/>
                <w:sz w:val="24"/>
                <w:szCs w:val="24"/>
                <w:lang w:val="en-US" w:eastAsia="zh-CN"/>
              </w:rPr>
              <w:t>3.6.3统筹</w:t>
            </w:r>
            <w:r>
              <w:rPr>
                <w:rFonts w:hint="eastAsia" w:cs="宋体"/>
                <w:b w:val="0"/>
                <w:bCs/>
                <w:color w:val="000000" w:themeColor="text1"/>
                <w:sz w:val="24"/>
                <w:szCs w:val="24"/>
                <w:u w:val="none"/>
                <w:vertAlign w:val="baseline"/>
                <w:lang w:val="en-US" w:eastAsia="zh-CN"/>
                <w14:textFill>
                  <w14:solidFill>
                    <w14:schemeClr w14:val="tx1"/>
                  </w14:solidFill>
                </w14:textFill>
              </w:rPr>
              <w:t>建议制定有效的品质管理方案来进行持续改善，不断降低公司质量成本。</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ascii="Times New Roman" w:hAnsi="Times New Roman" w:eastAsia="宋体" w:cs="Times New Roman"/>
                <w:b/>
                <w:bCs/>
                <w:sz w:val="24"/>
                <w:szCs w:val="24"/>
                <w:lang w:val="en-US" w:eastAsia="zh-CN"/>
              </w:rPr>
              <w:t>4 管理细则</w:t>
            </w:r>
          </w:p>
          <w:p>
            <w:pPr>
              <w:numPr>
                <w:ilvl w:val="0"/>
                <w:numId w:val="0"/>
              </w:numPr>
              <w:ind w:left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 xml:space="preserve">    </w:t>
            </w:r>
          </w:p>
          <w:p>
            <w:pPr>
              <w:numPr>
                <w:ilvl w:val="0"/>
                <w:numId w:val="2"/>
              </w:numPr>
              <w:ind w:left="240" w:leftChars="0" w:firstLine="0" w:firstLine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加强落实质量成本的统计：</w:t>
            </w:r>
          </w:p>
          <w:p>
            <w:pPr>
              <w:numPr>
                <w:ilvl w:val="0"/>
                <w:numId w:val="0"/>
              </w:numPr>
              <w:ind w:left="240" w:leftChars="0" w:firstLine="480" w:firstLineChars="20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1）财务部门需建立品质成本的专项台账，建立质量成本财务专项统计制度，设立质量成本财务专项统计员；设计车间专用质量成本记录表；品质整改组、品质部、生产车间的共享；</w:t>
            </w:r>
          </w:p>
          <w:p>
            <w:pPr>
              <w:numPr>
                <w:ilvl w:val="0"/>
                <w:numId w:val="0"/>
              </w:numPr>
              <w:ind w:left="480" w:leftChars="0" w:firstLine="240" w:firstLineChars="10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2）车间之外出现的质量成本由品质部门定责向财务部门申报记账；如果涉及到费用需要支出和扣款的，经手部门将申请给到品质部门向财务申请并由财务记账。</w:t>
            </w:r>
          </w:p>
          <w:p>
            <w:pPr>
              <w:numPr>
                <w:ilvl w:val="0"/>
                <w:numId w:val="0"/>
              </w:numPr>
              <w:ind w:left="480" w:leftChars="0" w:firstLine="240" w:firstLineChars="10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3）车间应加强内部团队培训，出现的质量成本，车间需每日专项统计提交依据，并按责任定责，提交品质部门审核，品质部门审核后提交PMC部门，由PMC部门财务专项统计，并每日公布质量成本及责任情况。</w:t>
            </w:r>
          </w:p>
          <w:p>
            <w:pPr>
              <w:numPr>
                <w:ilvl w:val="0"/>
                <w:numId w:val="0"/>
              </w:numPr>
              <w:ind w:left="480" w:leftChars="0" w:firstLine="240" w:firstLineChars="10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4）财务部门每周/月提供质量成本以及责任分摊落实情况。</w:t>
            </w:r>
          </w:p>
          <w:p>
            <w:pPr>
              <w:numPr>
                <w:ilvl w:val="0"/>
                <w:numId w:val="0"/>
              </w:numPr>
              <w:ind w:left="480" w:leftChars="0"/>
              <w:rPr>
                <w:rFonts w:hint="eastAsia"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ind w:left="480" w:leftChars="0"/>
              <w:rPr>
                <w:rFonts w:hint="eastAsia" w:cs="宋体" w:eastAsiaTheme="minorEastAsia"/>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备注：涉及到对责任争议的（包括公司各部门以及供应商），均可向品质整改组提出，进行审核修正。</w:t>
            </w:r>
          </w:p>
          <w:p>
            <w:pPr>
              <w:numPr>
                <w:ilvl w:val="0"/>
                <w:numId w:val="0"/>
              </w:numPr>
              <w:rPr>
                <w:rFonts w:hint="default" w:cs="宋体"/>
                <w:b w:val="0"/>
                <w:bCs/>
                <w:color w:val="000000" w:themeColor="text1"/>
                <w:sz w:val="24"/>
                <w:szCs w:val="24"/>
                <w:u w:val="none"/>
                <w:vertAlign w:val="baseline"/>
                <w:lang w:val="en-US" w:eastAsia="zh-CN"/>
                <w14:textFill>
                  <w14:solidFill>
                    <w14:schemeClr w14:val="tx1"/>
                  </w14:solidFill>
                </w14:textFill>
              </w:rPr>
            </w:pPr>
          </w:p>
          <w:p>
            <w:pPr>
              <w:numPr>
                <w:ilvl w:val="0"/>
                <w:numId w:val="0"/>
              </w:numPr>
              <w:ind w:left="480" w:leftChars="0"/>
              <w:rPr>
                <w:rFonts w:hint="default" w:cs="宋体"/>
                <w:b w:val="0"/>
                <w:bCs/>
                <w:color w:val="000000" w:themeColor="text1"/>
                <w:sz w:val="24"/>
                <w:szCs w:val="24"/>
                <w:u w:val="none"/>
                <w:vertAlign w:val="baseline"/>
                <w:lang w:val="en-US" w:eastAsia="zh-CN"/>
                <w14:textFill>
                  <w14:solidFill>
                    <w14:schemeClr w14:val="tx1"/>
                  </w14:solidFill>
                </w14:textFill>
              </w:rPr>
            </w:pPr>
          </w:p>
          <w:p>
            <w:pPr>
              <w:numPr>
                <w:ilvl w:val="0"/>
                <w:numId w:val="2"/>
              </w:numPr>
              <w:ind w:left="240" w:leftChars="0" w:firstLine="0" w:firstLine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执行要求：所有产生的质量成本，应在24小时内及时准确提交上述的品质成本给到财务专项目统计员，如因部门个人未能按要求提供，导致公司产生的损失无法核算或追责，将视其实际情况进行对应责任处理。涉及到供应商应承担的质量成本的，任何部门只要发现会产生，应在半小时内将质量成本（包括存在潜在质量成本暂无法准确核算的）通知PMC采购部门，PMC采购部门在收到后应在半小时内发送供应商知悉，并跟进确认情况。</w:t>
            </w:r>
          </w:p>
          <w:p>
            <w:pPr>
              <w:numPr>
                <w:ilvl w:val="0"/>
                <w:numId w:val="0"/>
              </w:numPr>
              <w:ind w:leftChars="0"/>
              <w:rPr>
                <w:rFonts w:hint="default" w:cs="宋体"/>
                <w:b w:val="0"/>
                <w:bCs/>
                <w:color w:val="000000" w:themeColor="text1"/>
                <w:sz w:val="24"/>
                <w:szCs w:val="24"/>
                <w:u w:val="none"/>
                <w:vertAlign w:val="baseline"/>
                <w:lang w:val="en-US" w:eastAsia="zh-CN"/>
                <w14:textFill>
                  <w14:solidFill>
                    <w14:schemeClr w14:val="tx1"/>
                  </w14:solidFill>
                </w14:textFill>
              </w:rPr>
            </w:pPr>
          </w:p>
          <w:p>
            <w:pPr>
              <w:numPr>
                <w:ilvl w:val="0"/>
                <w:numId w:val="2"/>
              </w:numPr>
              <w:ind w:left="240" w:leftChars="0" w:firstLine="0" w:firstLine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同时各相关责任部门人员应尽可能采取有限措施，降低质量成本，以免造成质量成本扩大化。对于降低品质成本有功或表现突出的部门或单位，部门负责人或品质整改组均可提出表彰奖励建议，由总经理批准执行；对于及时采取补救措施，降低品质成本的，可结合实际情况部份减免；对于瞒报、未及时采取措施导致品质成本扩大化的，应给予加严处罚。要求建立相对完善合理的质量成本相关的奖罚制度。</w:t>
            </w:r>
          </w:p>
          <w:p>
            <w:pPr>
              <w:numPr>
                <w:ilvl w:val="0"/>
                <w:numId w:val="0"/>
              </w:numPr>
              <w:ind w:left="240" w:leftChars="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 xml:space="preserve">   </w:t>
            </w:r>
          </w:p>
          <w:p>
            <w:pPr>
              <w:numPr>
                <w:ilvl w:val="0"/>
                <w:numId w:val="0"/>
              </w:numPr>
              <w:ind w:left="240" w:leftChars="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 xml:space="preserve">   备注：对于在车间出现的质量成本，还会对制造成品造成重大影响，涉及面广，同时更为复杂，既要防止质量成本扩大化，也要避免手断过于粗暴，导致制造成本失控。因此所采取的措施，需结合实际情况，及时申报确认，组织协调沟通落实。对于积极组织协调处理的，则视为积极采取补救。</w:t>
            </w:r>
          </w:p>
          <w:p>
            <w:pPr>
              <w:numPr>
                <w:ilvl w:val="0"/>
                <w:numId w:val="0"/>
              </w:numPr>
              <w:ind w:leftChars="0"/>
              <w:rPr>
                <w:rFonts w:hint="eastAsia" w:cs="宋体"/>
                <w:b w:val="0"/>
                <w:bCs/>
                <w:color w:val="000000" w:themeColor="text1"/>
                <w:sz w:val="24"/>
                <w:szCs w:val="24"/>
                <w:u w:val="none"/>
                <w:vertAlign w:val="baseline"/>
                <w:lang w:val="en-US" w:eastAsia="zh-CN"/>
                <w14:textFill>
                  <w14:solidFill>
                    <w14:schemeClr w14:val="tx1"/>
                  </w14:solidFill>
                </w14:textFill>
              </w:rPr>
            </w:pPr>
          </w:p>
          <w:p>
            <w:pPr>
              <w:numPr>
                <w:ilvl w:val="0"/>
                <w:numId w:val="2"/>
              </w:numPr>
              <w:ind w:left="240" w:leftChars="0" w:firstLine="0" w:firstLine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 xml:space="preserve">持续改善： </w:t>
            </w:r>
          </w:p>
          <w:p>
            <w:pPr>
              <w:numPr>
                <w:ilvl w:val="0"/>
                <w:numId w:val="0"/>
              </w:numPr>
              <w:ind w:left="240" w:leftChars="0" w:firstLine="480" w:firstLineChars="20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1）、品质整改组每月10号前需组织质量整改会议，汇报质量成本及质量成本分摊情况 。</w:t>
            </w:r>
          </w:p>
          <w:p>
            <w:pPr>
              <w:numPr>
                <w:ilvl w:val="0"/>
                <w:numId w:val="0"/>
              </w:numPr>
              <w:ind w:leftChars="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 xml:space="preserve">   品质整改组需结合公司的品质成本情况，建议制定有效的品质管理方案来进行持续改善。</w:t>
            </w:r>
          </w:p>
          <w:p>
            <w:pPr>
              <w:jc w:val="left"/>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 xml:space="preserve">      2）、 针对不同部门、单位的责任情况，品质部门结合实际需要，可发</w:t>
            </w:r>
            <w:r>
              <w:rPr>
                <w:rFonts w:hint="eastAsia" w:ascii="Times New Roman" w:hAnsi="Times New Roman" w:eastAsia="宋体" w:cs="宋体"/>
                <w:b w:val="0"/>
                <w:bCs/>
                <w:color w:val="000000" w:themeColor="text1"/>
                <w:sz w:val="24"/>
                <w:szCs w:val="24"/>
                <w:u w:val="none"/>
                <w:vertAlign w:val="baseline"/>
                <w:lang w:val="en-US" w:eastAsia="zh-CN"/>
                <w14:textFill>
                  <w14:solidFill>
                    <w14:schemeClr w14:val="tx1"/>
                  </w14:solidFill>
                </w14:textFill>
              </w:rPr>
              <w:t>《分析、纠正、预防和整改通知单</w:t>
            </w:r>
            <w:r>
              <w:rPr>
                <w:rFonts w:hint="eastAsia" w:cs="宋体"/>
                <w:b w:val="0"/>
                <w:bCs/>
                <w:color w:val="000000" w:themeColor="text1"/>
                <w:sz w:val="24"/>
                <w:szCs w:val="24"/>
                <w:u w:val="none"/>
                <w:vertAlign w:val="baseline"/>
                <w:lang w:val="en-US" w:eastAsia="zh-CN"/>
                <w14:textFill>
                  <w14:solidFill>
                    <w14:schemeClr w14:val="tx1"/>
                  </w14:solidFill>
                </w14:textFill>
              </w:rPr>
              <w:t>》，并要求对应部门跟进。</w:t>
            </w:r>
          </w:p>
          <w:p>
            <w:pPr>
              <w:numPr>
                <w:ilvl w:val="0"/>
                <w:numId w:val="0"/>
              </w:numPr>
              <w:ind w:left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 xml:space="preserve">      3）、品质整改组应定期组织对本制度的修订与评审，确保其适应企业的发展。同时各部门单位也应根据实际情况，不断完善品质控制、统计管理制度，持续改进。</w:t>
            </w:r>
          </w:p>
          <w:p>
            <w:pPr>
              <w:numPr>
                <w:ilvl w:val="0"/>
                <w:numId w:val="0"/>
              </w:numPr>
              <w:ind w:leftChars="0" w:firstLine="480"/>
              <w:rPr>
                <w:rFonts w:hint="eastAsia" w:cs="宋体"/>
                <w:b w:val="0"/>
                <w:bCs/>
                <w:color w:val="000000" w:themeColor="text1"/>
                <w:sz w:val="24"/>
                <w:szCs w:val="24"/>
                <w:u w:val="none"/>
                <w:vertAlign w:val="baseline"/>
                <w:lang w:val="en-US" w:eastAsia="zh-CN"/>
                <w14:textFill>
                  <w14:solidFill>
                    <w14:schemeClr w14:val="tx1"/>
                  </w14:solidFill>
                </w14:textFill>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5 相关资料</w:t>
            </w:r>
          </w:p>
          <w:p>
            <w:pPr>
              <w:numPr>
                <w:ilvl w:val="0"/>
                <w:numId w:val="0"/>
              </w:numPr>
              <w:ind w:leftChars="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ascii="Times New Roman" w:hAnsi="Times New Roman" w:eastAsia="宋体" w:cs="Times New Roman"/>
                <w:b w:val="0"/>
                <w:bCs w:val="0"/>
                <w:sz w:val="24"/>
                <w:szCs w:val="24"/>
                <w:lang w:val="en-US" w:eastAsia="zh-CN"/>
              </w:rPr>
              <w:t xml:space="preserve">5.1 </w:t>
            </w:r>
            <w:r>
              <w:rPr>
                <w:rFonts w:hint="eastAsia" w:cs="宋体"/>
                <w:b w:val="0"/>
                <w:bCs/>
                <w:color w:val="000000" w:themeColor="text1"/>
                <w:sz w:val="24"/>
                <w:szCs w:val="24"/>
                <w:u w:val="none"/>
                <w:vertAlign w:val="baseline"/>
                <w:lang w:val="en-US" w:eastAsia="zh-CN"/>
                <w14:textFill>
                  <w14:solidFill>
                    <w14:schemeClr w14:val="tx1"/>
                  </w14:solidFill>
                </w14:textFill>
              </w:rPr>
              <w:t>《车间质量成本记录日报表》</w:t>
            </w:r>
          </w:p>
          <w:p>
            <w:pPr>
              <w:numPr>
                <w:ilvl w:val="0"/>
                <w:numId w:val="0"/>
              </w:numPr>
              <w:ind w:leftChars="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5.2《成品、半成品返工通知单》</w:t>
            </w:r>
          </w:p>
          <w:p>
            <w:pPr>
              <w:numPr>
                <w:ilvl w:val="0"/>
                <w:numId w:val="0"/>
              </w:numPr>
              <w:ind w:leftChars="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5.3《</w:t>
            </w:r>
            <w:r>
              <w:rPr>
                <w:rFonts w:hint="eastAsia" w:ascii="Times New Roman" w:hAnsi="Times New Roman" w:eastAsia="宋体" w:cs="宋体"/>
                <w:b w:val="0"/>
                <w:bCs/>
                <w:color w:val="000000" w:themeColor="text1"/>
                <w:sz w:val="24"/>
                <w:szCs w:val="24"/>
                <w:u w:val="none"/>
                <w:vertAlign w:val="baseline"/>
                <w:lang w:val="en-US" w:eastAsia="zh-CN"/>
                <w14:textFill>
                  <w14:solidFill>
                    <w14:schemeClr w14:val="tx1"/>
                  </w14:solidFill>
                </w14:textFill>
              </w:rPr>
              <w:t>分析、纠正、预防和整改通知单</w:t>
            </w:r>
            <w:r>
              <w:rPr>
                <w:rFonts w:hint="eastAsia" w:cs="宋体"/>
                <w:b w:val="0"/>
                <w:bCs/>
                <w:color w:val="000000" w:themeColor="text1"/>
                <w:sz w:val="24"/>
                <w:szCs w:val="24"/>
                <w:u w:val="none"/>
                <w:vertAlign w:val="baseline"/>
                <w:lang w:val="en-US" w:eastAsia="zh-CN"/>
                <w14:textFill>
                  <w14:solidFill>
                    <w14:schemeClr w14:val="tx1"/>
                  </w14:solidFill>
                </w14:textFill>
              </w:rPr>
              <w:t>》</w:t>
            </w:r>
          </w:p>
          <w:p>
            <w:pPr>
              <w:numPr>
                <w:ilvl w:val="0"/>
                <w:numId w:val="0"/>
              </w:numPr>
              <w:ind w:leftChars="0"/>
              <w:rPr>
                <w:rFonts w:hint="default" w:cs="宋体"/>
                <w:b w:val="0"/>
                <w:bCs/>
                <w:color w:val="000000" w:themeColor="text1"/>
                <w:sz w:val="24"/>
                <w:szCs w:val="24"/>
                <w:u w:val="none"/>
                <w:vertAlign w:val="baseline"/>
                <w:lang w:val="en-US" w:eastAsia="zh-CN"/>
                <w14:textFill>
                  <w14:solidFill>
                    <w14:schemeClr w14:val="tx1"/>
                  </w14:solidFill>
                </w14:textFill>
              </w:rPr>
            </w:pPr>
            <w:r>
              <w:rPr>
                <w:rFonts w:hint="eastAsia" w:cs="宋体"/>
                <w:b w:val="0"/>
                <w:bCs/>
                <w:color w:val="000000" w:themeColor="text1"/>
                <w:sz w:val="24"/>
                <w:szCs w:val="24"/>
                <w:u w:val="none"/>
                <w:vertAlign w:val="baseline"/>
                <w:lang w:val="en-US" w:eastAsia="zh-CN"/>
                <w14:textFill>
                  <w14:solidFill>
                    <w14:schemeClr w14:val="tx1"/>
                  </w14:solidFill>
                </w14:textFill>
              </w:rPr>
              <w:t>5.4 《来料不良条件接收加工使用申请单》</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val="0"/>
                <w:bCs w:val="0"/>
                <w:sz w:val="24"/>
                <w:szCs w:val="24"/>
                <w:lang w:val="en-US" w:eastAsia="zh-CN"/>
              </w:rPr>
            </w:pP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b/>
                <w:bCs/>
                <w:sz w:val="24"/>
                <w:szCs w:val="24"/>
                <w:lang w:val="en-US" w:eastAsia="en-US"/>
              </w:rPr>
            </w:pPr>
            <w:r>
              <w:rPr>
                <w:rFonts w:hint="eastAsia" w:ascii="Times New Roman" w:hAnsi="Times New Roman" w:eastAsia="宋体" w:cs="Times New Roman"/>
                <w:b/>
                <w:bCs/>
                <w:sz w:val="24"/>
                <w:szCs w:val="24"/>
                <w:lang w:val="en-US" w:eastAsia="zh-CN"/>
              </w:rPr>
              <w:t xml:space="preserve">6 </w:t>
            </w:r>
            <w:r>
              <w:rPr>
                <w:rFonts w:hint="eastAsia" w:ascii="Times New Roman" w:hAnsi="Times New Roman" w:eastAsia="宋体" w:cs="Times New Roman"/>
                <w:b/>
                <w:bCs/>
                <w:sz w:val="24"/>
                <w:szCs w:val="24"/>
                <w:lang w:val="en-US" w:eastAsia="en-US"/>
              </w:rPr>
              <w:t>附则</w:t>
            </w:r>
          </w:p>
          <w:p>
            <w:pPr>
              <w:numPr>
                <w:ilvl w:val="0"/>
                <w:numId w:val="0"/>
              </w:numPr>
              <w:ind w:left="480" w:leftChars="0"/>
              <w:rPr>
                <w:rFonts w:hint="eastAsia" w:cs="宋体"/>
                <w:b w:val="0"/>
                <w:bCs/>
                <w:color w:val="000000" w:themeColor="text1"/>
                <w:sz w:val="24"/>
                <w:szCs w:val="24"/>
                <w:u w:val="none"/>
                <w:vertAlign w:val="baseline"/>
                <w:lang w:val="en-US" w:eastAsia="zh-CN"/>
                <w14:textFill>
                  <w14:solidFill>
                    <w14:schemeClr w14:val="tx1"/>
                  </w14:solidFill>
                </w14:textFill>
              </w:rPr>
            </w:pPr>
            <w:r>
              <w:rPr>
                <w:rFonts w:hint="eastAsia" w:ascii="Times New Roman" w:hAnsi="Times New Roman" w:eastAsia="宋体" w:cs="Times New Roman"/>
                <w:b w:val="0"/>
                <w:bCs w:val="0"/>
                <w:sz w:val="24"/>
                <w:szCs w:val="24"/>
                <w:lang w:val="en-US" w:eastAsia="zh-CN"/>
              </w:rPr>
              <w:t>6.1</w:t>
            </w:r>
            <w:r>
              <w:rPr>
                <w:rFonts w:hint="eastAsia" w:cs="宋体"/>
                <w:b w:val="0"/>
                <w:bCs/>
                <w:color w:val="000000" w:themeColor="text1"/>
                <w:sz w:val="24"/>
                <w:szCs w:val="24"/>
                <w:u w:val="none"/>
                <w:vertAlign w:val="baseline"/>
                <w:lang w:val="en-US" w:eastAsia="zh-CN"/>
                <w14:textFill>
                  <w14:solidFill>
                    <w14:schemeClr w14:val="tx1"/>
                  </w14:solidFill>
                </w14:textFill>
              </w:rPr>
              <w:t xml:space="preserve">  品质整改组负责本制度的制定、解释、修改和废止工作。 总经理负责本制度的制定、修改和废止工作的审核。</w:t>
            </w:r>
          </w:p>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firstLine="480" w:firstLineChars="200"/>
              <w:textAlignment w:val="auto"/>
              <w:rPr>
                <w:rFonts w:hint="default"/>
                <w:b w:val="0"/>
                <w:bCs w:val="0"/>
                <w:sz w:val="24"/>
                <w:szCs w:val="24"/>
                <w:u w:val="none" w:color="auto"/>
                <w:vertAlign w:val="baseline"/>
                <w:lang w:val="en-US" w:eastAsia="zh-CN"/>
              </w:rPr>
            </w:pPr>
            <w:r>
              <w:rPr>
                <w:rFonts w:hint="eastAsia" w:ascii="Times New Roman" w:hAnsi="Times New Roman" w:eastAsia="宋体" w:cs="Times New Roman"/>
                <w:b w:val="0"/>
                <w:bCs w:val="0"/>
                <w:sz w:val="24"/>
                <w:szCs w:val="24"/>
                <w:lang w:val="en-US" w:eastAsia="zh-CN"/>
              </w:rPr>
              <w:t>6.2</w:t>
            </w:r>
            <w:r>
              <w:rPr>
                <w:rFonts w:hint="eastAsia" w:ascii="Times New Roman" w:hAnsi="Times New Roman" w:eastAsia="宋体" w:cs="Times New Roman"/>
                <w:b w:val="0"/>
                <w:bCs w:val="0"/>
                <w:sz w:val="24"/>
                <w:szCs w:val="24"/>
                <w:lang w:val="en-US" w:eastAsia="en-US"/>
              </w:rPr>
              <w:t>本制度由</w:t>
            </w:r>
            <w:r>
              <w:rPr>
                <w:rFonts w:hint="eastAsia" w:ascii="Times New Roman" w:hAnsi="Times New Roman" w:eastAsia="宋体" w:cs="Times New Roman"/>
                <w:b w:val="0"/>
                <w:bCs w:val="0"/>
                <w:sz w:val="24"/>
                <w:szCs w:val="24"/>
                <w:lang w:val="en-US" w:eastAsia="zh-CN"/>
              </w:rPr>
              <w:t>总经</w:t>
            </w:r>
            <w:r>
              <w:rPr>
                <w:rFonts w:hint="eastAsia" w:cs="Times New Roman"/>
                <w:b w:val="0"/>
                <w:bCs w:val="0"/>
                <w:sz w:val="24"/>
                <w:szCs w:val="24"/>
                <w:lang w:val="en-US" w:eastAsia="zh-CN"/>
              </w:rPr>
              <w:t>理</w:t>
            </w:r>
            <w:r>
              <w:rPr>
                <w:rFonts w:hint="eastAsia" w:ascii="Times New Roman" w:hAnsi="Times New Roman" w:eastAsia="宋体" w:cs="Times New Roman"/>
                <w:b w:val="0"/>
                <w:bCs w:val="0"/>
                <w:sz w:val="24"/>
                <w:szCs w:val="24"/>
                <w:lang w:val="en-US" w:eastAsia="en-US"/>
              </w:rPr>
              <w:t>审批后生效，自 20</w:t>
            </w:r>
            <w:r>
              <w:rPr>
                <w:rFonts w:hint="eastAsia" w:ascii="Times New Roman" w:hAnsi="Times New Roman" w:eastAsia="宋体" w:cs="Times New Roman"/>
                <w:b w:val="0"/>
                <w:bCs w:val="0"/>
                <w:sz w:val="24"/>
                <w:szCs w:val="24"/>
                <w:lang w:val="en-US" w:eastAsia="zh-CN"/>
              </w:rPr>
              <w:t>25</w:t>
            </w:r>
            <w:r>
              <w:rPr>
                <w:rFonts w:hint="eastAsia" w:ascii="Times New Roman" w:hAnsi="Times New Roman" w:eastAsia="宋体" w:cs="Times New Roman"/>
                <w:b w:val="0"/>
                <w:bCs w:val="0"/>
                <w:sz w:val="24"/>
                <w:szCs w:val="24"/>
                <w:lang w:val="en-US" w:eastAsia="en-US"/>
              </w:rPr>
              <w:t xml:space="preserve"> 年月</w:t>
            </w:r>
            <w:r>
              <w:rPr>
                <w:rFonts w:hint="eastAsia" w:ascii="Times New Roman" w:hAnsi="Times New Roman" w:eastAsia="宋体" w:cs="Times New Roman"/>
                <w:b w:val="0"/>
                <w:bCs w:val="0"/>
                <w:sz w:val="24"/>
                <w:szCs w:val="24"/>
                <w:lang w:val="en-US" w:eastAsia="zh-CN"/>
              </w:rPr>
              <w:t>9</w:t>
            </w:r>
            <w:r>
              <w:rPr>
                <w:rFonts w:hint="eastAsia" w:ascii="Times New Roman" w:hAnsi="Times New Roman" w:eastAsia="宋体" w:cs="Times New Roman"/>
                <w:b w:val="0"/>
                <w:bCs w:val="0"/>
                <w:sz w:val="24"/>
                <w:szCs w:val="24"/>
                <w:lang w:val="en-US" w:eastAsia="en-US"/>
              </w:rPr>
              <w:t xml:space="preserve"> 日 </w:t>
            </w:r>
            <w:r>
              <w:rPr>
                <w:rFonts w:hint="eastAsia" w:ascii="Times New Roman" w:hAnsi="Times New Roman" w:eastAsia="宋体" w:cs="Times New Roman"/>
                <w:b w:val="0"/>
                <w:bCs w:val="0"/>
                <w:sz w:val="24"/>
                <w:szCs w:val="24"/>
                <w:lang w:val="en-US" w:eastAsia="zh-CN"/>
              </w:rPr>
              <w:t>1</w:t>
            </w:r>
            <w:r>
              <w:rPr>
                <w:rFonts w:hint="eastAsia" w:ascii="Times New Roman" w:hAnsi="Times New Roman" w:eastAsia="宋体" w:cs="Times New Roman"/>
                <w:b w:val="0"/>
                <w:bCs w:val="0"/>
                <w:sz w:val="24"/>
                <w:szCs w:val="24"/>
                <w:lang w:val="en-US" w:eastAsia="en-US"/>
              </w:rPr>
              <w:t xml:space="preserve"> 日起实施。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8" w:hRule="atLeast"/>
        </w:trPr>
        <w:tc>
          <w:tcPr>
            <w:tcW w:w="9909" w:type="dxa"/>
            <w:gridSpan w:val="6"/>
            <w:noWrap w:val="0"/>
            <w:vAlign w:val="top"/>
          </w:tcPr>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b w:val="0"/>
                <w:bCs w:val="0"/>
                <w:sz w:val="24"/>
                <w:szCs w:val="24"/>
                <w:lang w:val="en-US" w:eastAsia="zh-CN"/>
              </w:rPr>
            </w:pPr>
            <w:r>
              <w:drawing>
                <wp:inline distT="0" distB="0" distL="114300" distR="114300">
                  <wp:extent cx="6144260" cy="8234680"/>
                  <wp:effectExtent l="0" t="0" r="1270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6144260" cy="823468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8" w:hRule="atLeast"/>
        </w:trPr>
        <w:tc>
          <w:tcPr>
            <w:tcW w:w="9909" w:type="dxa"/>
            <w:gridSpan w:val="6"/>
            <w:noWrap w:val="0"/>
            <w:vAlign w:val="top"/>
          </w:tcPr>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rPr>
                <w:rFonts w:hint="eastAsia" w:eastAsia="宋体"/>
                <w:lang w:eastAsia="zh-CN"/>
              </w:rPr>
            </w:pPr>
            <w:r>
              <w:drawing>
                <wp:inline distT="0" distB="0" distL="114300" distR="114300">
                  <wp:extent cx="6449060" cy="4162425"/>
                  <wp:effectExtent l="0" t="0" r="12700" b="133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6449060" cy="416242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8" w:hRule="atLeast"/>
        </w:trPr>
        <w:tc>
          <w:tcPr>
            <w:tcW w:w="9909" w:type="dxa"/>
            <w:gridSpan w:val="6"/>
            <w:noWrap w:val="0"/>
            <w:vAlign w:val="top"/>
          </w:tcPr>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pPr>
            <w:r>
              <w:drawing>
                <wp:inline distT="0" distB="0" distL="114300" distR="114300">
                  <wp:extent cx="5996940" cy="5715000"/>
                  <wp:effectExtent l="0" t="0" r="762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5996940" cy="57150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8" w:hRule="atLeast"/>
        </w:trPr>
        <w:tc>
          <w:tcPr>
            <w:tcW w:w="9909" w:type="dxa"/>
            <w:gridSpan w:val="6"/>
            <w:noWrap w:val="0"/>
            <w:vAlign w:val="top"/>
          </w:tcPr>
          <w:p>
            <w:pPr>
              <w:keepNext w:val="0"/>
              <w:keepLines w:val="0"/>
              <w:pageBreakBefore w:val="0"/>
              <w:widowControl w:val="0"/>
              <w:numPr>
                <w:ilvl w:val="0"/>
                <w:numId w:val="0"/>
              </w:numPr>
              <w:tabs>
                <w:tab w:val="left" w:pos="589"/>
              </w:tabs>
              <w:kinsoku/>
              <w:wordWrap/>
              <w:overflowPunct/>
              <w:topLinePunct w:val="0"/>
              <w:autoSpaceDE/>
              <w:autoSpaceDN/>
              <w:bidi w:val="0"/>
              <w:adjustRightInd w:val="0"/>
              <w:snapToGrid w:val="0"/>
              <w:spacing w:line="360" w:lineRule="auto"/>
              <w:textAlignment w:val="auto"/>
            </w:pPr>
            <w:r>
              <w:drawing>
                <wp:inline distT="0" distB="0" distL="114300" distR="114300">
                  <wp:extent cx="5852160" cy="5745480"/>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
                          <a:stretch>
                            <a:fillRect/>
                          </a:stretch>
                        </pic:blipFill>
                        <pic:spPr>
                          <a:xfrm>
                            <a:off x="0" y="0"/>
                            <a:ext cx="5852160" cy="5745480"/>
                          </a:xfrm>
                          <a:prstGeom prst="rect">
                            <a:avLst/>
                          </a:prstGeom>
                          <a:noFill/>
                          <a:ln>
                            <a:noFill/>
                          </a:ln>
                        </pic:spPr>
                      </pic:pic>
                    </a:graphicData>
                  </a:graphic>
                </wp:inline>
              </w:drawing>
            </w:r>
          </w:p>
        </w:tc>
      </w:tr>
    </w:tbl>
    <w:p>
      <w:pPr>
        <w:adjustRightInd w:val="0"/>
        <w:snapToGrid w:val="0"/>
        <w:spacing w:line="240" w:lineRule="atLeast"/>
        <w:rPr>
          <w:rFonts w:hint="eastAsia"/>
        </w:rPr>
      </w:pPr>
    </w:p>
    <w:sectPr>
      <w:headerReference r:id="rId4" w:type="first"/>
      <w:headerReference r:id="rId3" w:type="default"/>
      <w:footerReference r:id="rId5" w:type="default"/>
      <w:pgSz w:w="11906" w:h="16838"/>
      <w:pgMar w:top="1247" w:right="926" w:bottom="567" w:left="1134" w:header="1089" w:footer="48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华文行楷">
    <w:altName w:val="微软雅黑"/>
    <w:panose1 w:val="02010800040101010101"/>
    <w:charset w:val="86"/>
    <w:family w:val="auto"/>
    <w:pitch w:val="default"/>
    <w:sig w:usb0="00000000" w:usb1="00000000" w:usb2="00000000" w:usb3="00000000" w:csb0="00040000" w:csb1="00000000"/>
  </w:font>
  <w:font w:name="华文新魏">
    <w:altName w:val="宋体"/>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eastAsia" w:ascii="宋体" w:hAnsi="宋体"/>
        <w:szCs w:val="21"/>
      </w:rPr>
    </w:pPr>
    <w:r>
      <w:rPr>
        <w:rFonts w:ascii="宋体" w:hAnsi="宋体"/>
        <w:szCs w:val="21"/>
      </w:rPr>
      <w:t xml:space="preserve">Form No.: </w:t>
    </w:r>
    <w:r>
      <w:rPr>
        <w:rFonts w:hint="eastAsia" w:ascii="宋体" w:hAnsi="宋体"/>
        <w:szCs w:val="21"/>
      </w:rPr>
      <w:t xml:space="preserve"> </w:t>
    </w:r>
    <w:r>
      <w:rPr>
        <w:rFonts w:hint="eastAsia" w:ascii="宋体" w:hAnsi="宋体"/>
        <w:szCs w:val="21"/>
        <w:lang w:val="en-US" w:eastAsia="zh-CN"/>
      </w:rPr>
      <w:t xml:space="preserve">  </w:t>
    </w:r>
    <w:r>
      <w:rPr>
        <w:rFonts w:hint="eastAsia" w:ascii="宋体" w:hAnsi="宋体"/>
        <w:szCs w:val="21"/>
      </w:rPr>
      <w:t xml:space="preserve">                     </w:t>
    </w:r>
    <w:r>
      <w:rPr>
        <w:rFonts w:hint="eastAsia" w:ascii="宋体" w:hAnsi="宋体"/>
        <w:szCs w:val="21"/>
        <w:lang w:val="en-US" w:eastAsia="zh-CN"/>
      </w:rPr>
      <w:t xml:space="preserve">     </w:t>
    </w:r>
    <w:r>
      <w:rPr>
        <w:rFonts w:hint="eastAsia" w:ascii="宋体" w:hAnsi="宋体"/>
        <w:szCs w:val="21"/>
      </w:rPr>
      <w:t xml:space="preserve">                       </w:t>
    </w:r>
    <w:r>
      <w:rPr>
        <w:rFonts w:ascii="宋体" w:hAnsi="宋体"/>
        <w:szCs w:val="21"/>
      </w:rPr>
      <w:t xml:space="preserve">Page </w:t>
    </w:r>
    <w:r>
      <w:rPr>
        <w:rFonts w:hint="eastAsia" w:ascii="宋体" w:hAnsi="宋体"/>
        <w:szCs w:val="21"/>
        <w:lang w:val="en-US" w:eastAsia="zh-CN"/>
      </w:rPr>
      <w:t xml:space="preserve"> </w:t>
    </w:r>
    <w:r>
      <w:rPr>
        <w:rFonts w:ascii="宋体" w:hAnsi="宋体"/>
        <w:szCs w:val="21"/>
      </w:rPr>
      <w:fldChar w:fldCharType="begin"/>
    </w:r>
    <w:r>
      <w:rPr>
        <w:rFonts w:ascii="宋体" w:hAnsi="宋体"/>
        <w:szCs w:val="21"/>
      </w:rPr>
      <w:instrText xml:space="preserve"> PAGE </w:instrText>
    </w:r>
    <w:r>
      <w:rPr>
        <w:rFonts w:ascii="宋体" w:hAnsi="宋体"/>
        <w:szCs w:val="21"/>
      </w:rPr>
      <w:fldChar w:fldCharType="separate"/>
    </w:r>
    <w:r>
      <w:rPr>
        <w:rFonts w:ascii="宋体" w:hAnsi="宋体"/>
        <w:szCs w:val="21"/>
      </w:rPr>
      <w:t>6</w:t>
    </w:r>
    <w:r>
      <w:rPr>
        <w:rFonts w:ascii="宋体" w:hAnsi="宋体"/>
        <w:szCs w:val="21"/>
      </w:rPr>
      <w:fldChar w:fldCharType="end"/>
    </w:r>
    <w:r>
      <w:rPr>
        <w:rFonts w:ascii="宋体" w:hAnsi="宋体"/>
        <w:szCs w:val="21"/>
      </w:rPr>
      <w:t xml:space="preserve"> of </w:t>
    </w:r>
    <w:r>
      <w:rPr>
        <w:rFonts w:ascii="宋体" w:hAnsi="宋体"/>
        <w:szCs w:val="21"/>
      </w:rPr>
      <w:fldChar w:fldCharType="begin"/>
    </w:r>
    <w:r>
      <w:rPr>
        <w:rFonts w:ascii="宋体" w:hAnsi="宋体"/>
        <w:szCs w:val="21"/>
      </w:rPr>
      <w:instrText xml:space="preserve"> NUMPAGES </w:instrText>
    </w:r>
    <w:r>
      <w:rPr>
        <w:rFonts w:ascii="宋体" w:hAnsi="宋体"/>
        <w:szCs w:val="21"/>
      </w:rPr>
      <w:fldChar w:fldCharType="separate"/>
    </w:r>
    <w:r>
      <w:rPr>
        <w:rFonts w:ascii="宋体" w:hAnsi="宋体"/>
        <w:szCs w:val="21"/>
      </w:rPr>
      <w:t>6</w:t>
    </w:r>
    <w:r>
      <w:rPr>
        <w:rFonts w:ascii="宋体" w:hAnsi="宋体"/>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4595"/>
      <w:gridCol w:w="998"/>
      <w:gridCol w:w="475"/>
      <w:gridCol w:w="1132"/>
      <w:gridCol w:w="115"/>
      <w:gridCol w:w="16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968" w:type="dxa"/>
          <w:gridSpan w:val="4"/>
          <w:vMerge w:val="restart"/>
          <w:noWrap w:val="0"/>
          <w:vAlign w:val="center"/>
        </w:tcPr>
        <w:p>
          <w:pPr>
            <w:pStyle w:val="6"/>
            <w:pBdr>
              <w:bottom w:val="none" w:color="auto" w:sz="0" w:space="0"/>
            </w:pBdr>
            <w:adjustRightInd w:val="0"/>
            <w:spacing w:line="400" w:lineRule="atLeast"/>
            <w:rPr>
              <w:rFonts w:hint="eastAsia" w:ascii="宋体" w:hAnsi="宋体"/>
              <w:sz w:val="30"/>
              <w:szCs w:val="30"/>
            </w:rPr>
          </w:pPr>
          <w:r>
            <w:rPr>
              <w:rFonts w:hint="eastAsia" w:ascii="宋体" w:hAnsi="宋体" w:cs="宋体"/>
              <w:b/>
              <w:bCs/>
              <w:kern w:val="0"/>
              <w:sz w:val="32"/>
              <w:szCs w:val="32"/>
            </w:rPr>
            <w:t>佛山市顺德区</w:t>
          </w:r>
          <w:r>
            <w:rPr>
              <w:rFonts w:hint="eastAsia" w:ascii="宋体" w:hAnsi="宋体" w:cs="宋体"/>
              <w:b/>
              <w:bCs/>
              <w:kern w:val="0"/>
              <w:sz w:val="32"/>
              <w:szCs w:val="32"/>
              <w:lang w:eastAsia="zh-CN"/>
            </w:rPr>
            <w:t>恒领</w:t>
          </w:r>
          <w:r>
            <w:rPr>
              <w:rFonts w:hint="eastAsia" w:ascii="宋体" w:hAnsi="宋体" w:cs="宋体"/>
              <w:b/>
              <w:bCs/>
              <w:kern w:val="0"/>
              <w:sz w:val="32"/>
              <w:szCs w:val="32"/>
            </w:rPr>
            <w:t>电器有限公司</w:t>
          </w:r>
        </w:p>
      </w:tc>
      <w:tc>
        <w:tcPr>
          <w:tcW w:w="1132" w:type="dxa"/>
          <w:noWrap w:val="0"/>
          <w:vAlign w:val="center"/>
        </w:tcPr>
        <w:p>
          <w:pPr>
            <w:widowControl/>
            <w:spacing w:line="400" w:lineRule="atLeast"/>
            <w:ind w:left="-55" w:leftChars="-26" w:right="-107" w:rightChars="-51"/>
            <w:rPr>
              <w:rFonts w:hint="eastAsia" w:ascii="宋体" w:hAnsi="宋体" w:cs="宋体"/>
              <w:kern w:val="0"/>
              <w:sz w:val="24"/>
            </w:rPr>
          </w:pPr>
          <w:r>
            <w:rPr>
              <w:rFonts w:hint="eastAsia" w:ascii="宋体" w:hAnsi="宋体" w:cs="宋体"/>
              <w:kern w:val="0"/>
              <w:sz w:val="24"/>
            </w:rPr>
            <w:t>文件编号</w:t>
          </w:r>
        </w:p>
      </w:tc>
      <w:tc>
        <w:tcPr>
          <w:tcW w:w="1800" w:type="dxa"/>
          <w:gridSpan w:val="2"/>
          <w:noWrap w:val="0"/>
          <w:vAlign w:val="center"/>
        </w:tcPr>
        <w:p>
          <w:pPr>
            <w:widowControl/>
            <w:spacing w:line="400" w:lineRule="atLeast"/>
            <w:ind w:right="-107" w:rightChars="-51"/>
            <w:rPr>
              <w:rFonts w:hint="eastAsia" w:ascii="宋体" w:hAnsi="宋体" w:eastAsia="宋体" w:cs="宋体"/>
              <w:kern w:val="0"/>
              <w:sz w:val="24"/>
              <w:lang w:val="en-US" w:eastAsia="zh-CN"/>
            </w:rPr>
          </w:pPr>
          <w:r>
            <w:rPr>
              <w:rFonts w:hint="eastAsia" w:ascii="宋体" w:hAnsi="宋体" w:eastAsia="宋体" w:cs="宋体"/>
              <w:sz w:val="24"/>
              <w:szCs w:val="24"/>
              <w:lang w:val="en-US" w:eastAsia="zh-CN"/>
            </w:rPr>
            <w:t>HL</w:t>
          </w:r>
          <w:r>
            <w:rPr>
              <w:rFonts w:ascii="宋体" w:hAnsi="宋体" w:eastAsia="宋体" w:cs="宋体"/>
              <w:sz w:val="24"/>
              <w:szCs w:val="24"/>
            </w:rPr>
            <w:t>-</w:t>
          </w:r>
          <w:r>
            <w:rPr>
              <w:rFonts w:hint="eastAsia" w:ascii="宋体" w:hAnsi="宋体" w:eastAsia="宋体" w:cs="宋体"/>
              <w:sz w:val="24"/>
              <w:szCs w:val="24"/>
              <w:lang w:val="en-US" w:eastAsia="zh-CN"/>
            </w:rPr>
            <w:t>ZG</w:t>
          </w:r>
          <w:r>
            <w:rPr>
              <w:rFonts w:ascii="宋体" w:hAnsi="宋体" w:eastAsia="宋体" w:cs="宋体"/>
              <w:sz w:val="24"/>
              <w:szCs w:val="24"/>
            </w:rPr>
            <w:t>-00</w:t>
          </w:r>
          <w:r>
            <w:rPr>
              <w:rFonts w:hint="eastAsia" w:ascii="宋体" w:hAnsi="宋体" w:eastAsia="宋体" w:cs="宋体"/>
              <w:sz w:val="24"/>
              <w:szCs w:val="24"/>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8" w:type="dxa"/>
          <w:gridSpan w:val="4"/>
          <w:vMerge w:val="continue"/>
          <w:noWrap w:val="0"/>
          <w:vAlign w:val="center"/>
        </w:tcPr>
        <w:p>
          <w:pPr>
            <w:widowControl/>
            <w:spacing w:line="400" w:lineRule="atLeast"/>
            <w:rPr>
              <w:rFonts w:hint="eastAsia" w:ascii="宋体" w:hAnsi="宋体" w:cs="宋体"/>
              <w:bCs/>
              <w:color w:val="0000FF"/>
              <w:kern w:val="0"/>
              <w:sz w:val="28"/>
              <w:szCs w:val="28"/>
            </w:rPr>
          </w:pPr>
        </w:p>
      </w:tc>
      <w:tc>
        <w:tcPr>
          <w:tcW w:w="1132" w:type="dxa"/>
          <w:noWrap w:val="0"/>
          <w:vAlign w:val="center"/>
        </w:tcPr>
        <w:p>
          <w:pPr>
            <w:widowControl/>
            <w:spacing w:line="400" w:lineRule="atLeast"/>
            <w:ind w:left="-55" w:leftChars="-26" w:right="-107" w:rightChars="-51"/>
            <w:rPr>
              <w:rFonts w:hint="eastAsia" w:ascii="宋体" w:hAnsi="宋体" w:cs="宋体"/>
              <w:kern w:val="0"/>
              <w:sz w:val="24"/>
            </w:rPr>
          </w:pPr>
          <w:r>
            <w:rPr>
              <w:rFonts w:hint="eastAsia" w:ascii="宋体" w:hAnsi="宋体" w:cs="宋体"/>
              <w:kern w:val="0"/>
              <w:sz w:val="24"/>
            </w:rPr>
            <w:t>版 本 号</w:t>
          </w:r>
        </w:p>
      </w:tc>
      <w:tc>
        <w:tcPr>
          <w:tcW w:w="1800" w:type="dxa"/>
          <w:gridSpan w:val="2"/>
          <w:noWrap w:val="0"/>
          <w:vAlign w:val="center"/>
        </w:tcPr>
        <w:p>
          <w:pPr>
            <w:widowControl/>
            <w:spacing w:line="400" w:lineRule="atLeast"/>
            <w:ind w:right="-107" w:rightChars="-51"/>
            <w:jc w:val="center"/>
            <w:rPr>
              <w:rFonts w:hint="default" w:ascii="宋体" w:hAnsi="宋体" w:eastAsia="宋体" w:cs="宋体"/>
              <w:kern w:val="0"/>
              <w:sz w:val="24"/>
              <w:lang w:val="en-US" w:eastAsia="zh-CN"/>
            </w:rPr>
          </w:pPr>
          <w:r>
            <w:rPr>
              <w:rFonts w:hint="eastAsia" w:ascii="宋体" w:hAnsi="宋体" w:cs="宋体"/>
              <w:kern w:val="0"/>
              <w:sz w:val="24"/>
              <w:lang w:val="en-US" w:eastAsia="zh-CN"/>
            </w:rPr>
            <w:t>A/0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8" w:type="dxa"/>
          <w:gridSpan w:val="4"/>
          <w:noWrap w:val="0"/>
          <w:vAlign w:val="center"/>
        </w:tcPr>
        <w:p>
          <w:pPr>
            <w:widowControl/>
            <w:spacing w:line="400" w:lineRule="atLeast"/>
            <w:rPr>
              <w:rFonts w:hint="eastAsia" w:ascii="宋体" w:hAnsi="宋体" w:eastAsia="宋体" w:cs="宋体"/>
              <w:bCs/>
              <w:color w:val="0000FF"/>
              <w:kern w:val="0"/>
              <w:sz w:val="28"/>
              <w:szCs w:val="28"/>
              <w:lang w:val="en-US" w:eastAsia="zh-CN"/>
            </w:rPr>
          </w:pPr>
          <w:r>
            <w:rPr>
              <w:rFonts w:hint="eastAsia" w:ascii="宋体" w:hAnsi="宋体"/>
              <w:sz w:val="28"/>
              <w:szCs w:val="28"/>
            </w:rPr>
            <w:t>标题：</w:t>
          </w:r>
          <w:r>
            <w:rPr>
              <w:rFonts w:hint="eastAsia" w:cs="宋体"/>
              <w:b w:val="0"/>
              <w:bCs/>
              <w:color w:val="000000" w:themeColor="text1"/>
              <w:sz w:val="28"/>
              <w:szCs w:val="28"/>
              <w:u w:val="none"/>
              <w:vertAlign w:val="baseline"/>
              <w:lang w:val="en-US" w:eastAsia="zh-CN"/>
              <w14:textFill>
                <w14:solidFill>
                  <w14:schemeClr w14:val="tx1"/>
                </w14:solidFill>
              </w14:textFill>
            </w:rPr>
            <w:t>非正常质量成本核算管理制度</w:t>
          </w:r>
        </w:p>
      </w:tc>
      <w:tc>
        <w:tcPr>
          <w:tcW w:w="1132" w:type="dxa"/>
          <w:noWrap w:val="0"/>
          <w:vAlign w:val="center"/>
        </w:tcPr>
        <w:p>
          <w:pPr>
            <w:spacing w:line="400" w:lineRule="atLeast"/>
            <w:ind w:left="-55" w:leftChars="-26" w:right="-107" w:rightChars="-51"/>
            <w:rPr>
              <w:rFonts w:hint="eastAsia" w:ascii="宋体" w:hAnsi="宋体" w:cs="宋体"/>
              <w:kern w:val="0"/>
              <w:sz w:val="24"/>
            </w:rPr>
          </w:pPr>
          <w:r>
            <w:rPr>
              <w:rFonts w:hint="eastAsia" w:ascii="宋体" w:hAnsi="宋体" w:cs="宋体"/>
              <w:kern w:val="0"/>
              <w:sz w:val="24"/>
            </w:rPr>
            <w:t>日    期</w:t>
          </w:r>
        </w:p>
      </w:tc>
      <w:tc>
        <w:tcPr>
          <w:tcW w:w="1800" w:type="dxa"/>
          <w:gridSpan w:val="2"/>
          <w:noWrap w:val="0"/>
          <w:vAlign w:val="center"/>
        </w:tcPr>
        <w:p>
          <w:pPr>
            <w:spacing w:line="400" w:lineRule="atLeast"/>
            <w:ind w:right="-107" w:rightChars="-51"/>
            <w:jc w:val="center"/>
            <w:rPr>
              <w:rFonts w:hint="default" w:ascii="宋体" w:hAnsi="宋体" w:eastAsia="宋体" w:cs="宋体"/>
              <w:kern w:val="0"/>
              <w:sz w:val="24"/>
              <w:lang w:val="en-US" w:eastAsia="zh-CN"/>
            </w:rPr>
          </w:pPr>
          <w:r>
            <w:rPr>
              <w:rFonts w:hint="eastAsia" w:ascii="宋体" w:hAnsi="宋体" w:eastAsia="宋体" w:cs="宋体"/>
              <w:kern w:val="0"/>
              <w:sz w:val="24"/>
              <w:lang w:val="en-US" w:eastAsia="zh-CN"/>
            </w:rPr>
            <w:t>2025-8-30</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57" w:type="dxa"/>
          <w:bottom w:w="0" w:type="dxa"/>
          <w:right w:w="28" w:type="dxa"/>
        </w:tblCellMar>
      </w:tblPrEx>
      <w:trPr>
        <w:trHeight w:val="480" w:hRule="atLeast"/>
      </w:trPr>
      <w:tc>
        <w:tcPr>
          <w:tcW w:w="900" w:type="dxa"/>
          <w:noWrap/>
          <w:vAlign w:val="center"/>
        </w:tcPr>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ascii="宋体" w:hAnsi="宋体" w:cs="宋体"/>
              <w:kern w:val="0"/>
              <w:sz w:val="24"/>
            </w:rPr>
          </w:pPr>
          <w:r>
            <w:rPr>
              <w:rFonts w:hint="eastAsia" w:ascii="宋体" w:hAnsi="宋体" w:cs="宋体"/>
              <w:kern w:val="0"/>
              <w:sz w:val="24"/>
            </w:rPr>
            <w:t>　</w:t>
          </w:r>
        </w:p>
      </w:tc>
      <w:tc>
        <w:tcPr>
          <w:tcW w:w="4595" w:type="dxa"/>
          <w:noWrap w:val="0"/>
          <w:vAlign w:val="center"/>
        </w:tcPr>
        <w:p>
          <w:pPr>
            <w:widowControl/>
            <w:jc w:val="center"/>
            <w:rPr>
              <w:rFonts w:hint="eastAsia" w:ascii="宋体" w:hAnsi="宋体" w:cs="宋体"/>
              <w:kern w:val="0"/>
              <w:sz w:val="24"/>
            </w:rPr>
          </w:pPr>
          <w:r>
            <w:rPr>
              <w:rFonts w:hint="eastAsia" w:ascii="宋体" w:hAnsi="宋体" w:cs="宋体"/>
              <w:kern w:val="0"/>
              <w:sz w:val="24"/>
            </w:rPr>
            <w:t>　</w:t>
          </w: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center"/>
            <w:rPr>
              <w:rFonts w:hint="eastAsia"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hint="eastAsia" w:ascii="宋体" w:hAnsi="宋体" w:cs="宋体"/>
              <w:kern w:val="0"/>
              <w:sz w:val="24"/>
            </w:rPr>
          </w:pPr>
        </w:p>
      </w:tc>
      <w:tc>
        <w:tcPr>
          <w:tcW w:w="998" w:type="dxa"/>
          <w:noWrap w:val="0"/>
          <w:vAlign w:val="center"/>
        </w:tcPr>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hint="eastAsia" w:ascii="宋体" w:hAnsi="宋体" w:cs="宋体"/>
              <w:kern w:val="0"/>
              <w:sz w:val="24"/>
            </w:rPr>
          </w:pPr>
        </w:p>
      </w:tc>
      <w:tc>
        <w:tcPr>
          <w:tcW w:w="475" w:type="dxa"/>
          <w:noWrap/>
          <w:vAlign w:val="top"/>
        </w:tcPr>
        <w:p>
          <w:pPr>
            <w:widowControl/>
            <w:rPr>
              <w:rFonts w:ascii="宋体" w:hAnsi="宋体" w:cs="宋体"/>
              <w:kern w:val="0"/>
              <w:sz w:val="24"/>
            </w:rPr>
          </w:pPr>
          <w:r>
            <w:rPr>
              <w:rFonts w:hint="eastAsia" w:ascii="宋体" w:hAnsi="宋体" w:cs="宋体"/>
              <w:kern w:val="0"/>
              <w:sz w:val="24"/>
            </w:rPr>
            <w:t>　</w:t>
          </w:r>
        </w:p>
      </w:tc>
      <w:tc>
        <w:tcPr>
          <w:tcW w:w="1247" w:type="dxa"/>
          <w:gridSpan w:val="2"/>
          <w:noWrap/>
          <w:vAlign w:val="top"/>
        </w:tcPr>
        <w:p>
          <w:pPr>
            <w:widowControl/>
            <w:rPr>
              <w:rFonts w:ascii="宋体" w:hAnsi="宋体" w:cs="宋体"/>
              <w:kern w:val="0"/>
              <w:sz w:val="24"/>
            </w:rPr>
          </w:pPr>
          <w:r>
            <w:rPr>
              <w:rFonts w:hint="eastAsia" w:ascii="宋体" w:hAnsi="宋体" w:cs="宋体"/>
              <w:kern w:val="0"/>
              <w:sz w:val="24"/>
            </w:rPr>
            <w:t>　</w:t>
          </w:r>
        </w:p>
      </w:tc>
      <w:tc>
        <w:tcPr>
          <w:tcW w:w="1685" w:type="dxa"/>
          <w:noWrap/>
          <w:vAlign w:val="top"/>
        </w:tcPr>
        <w:p>
          <w:pPr>
            <w:widowControl/>
            <w:rPr>
              <w:rFonts w:ascii="宋体" w:hAnsi="宋体" w:cs="宋体"/>
              <w:kern w:val="0"/>
              <w:sz w:val="24"/>
            </w:rPr>
          </w:pPr>
          <w:r>
            <w:rPr>
              <w:rFonts w:hint="eastAsia" w:ascii="宋体" w:hAnsi="宋体" w:cs="宋体"/>
              <w:kern w:val="0"/>
              <w:sz w:val="24"/>
            </w:rPr>
            <w:t>　</w:t>
          </w:r>
        </w:p>
      </w:tc>
    </w:tr>
  </w:tbl>
  <w:p>
    <w:pPr>
      <w:pStyle w:val="6"/>
      <w:rPr>
        <w:rFonts w:hint="eastAsia"/>
        <w:szCs w:val="30"/>
      </w:rPr>
    </w:pPr>
  </w:p>
  <w:p>
    <w:pPr>
      <w:pStyle w:val="6"/>
      <w:rPr>
        <w:rFonts w:hint="eastAsia"/>
        <w:szCs w:val="30"/>
      </w:rPr>
    </w:pPr>
  </w:p>
  <w:p>
    <w:pPr>
      <w:pStyle w:val="6"/>
      <w:rPr>
        <w:rFonts w:hint="eastAsia"/>
        <w:szCs w:val="3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26B7DDA"/>
    <w:multiLevelType w:val="singleLevel"/>
    <w:tmpl w:val="B26B7DDA"/>
    <w:lvl w:ilvl="0" w:tentative="0">
      <w:start w:val="1"/>
      <w:numFmt w:val="decimal"/>
      <w:suff w:val="space"/>
      <w:lvlText w:val="%1."/>
      <w:lvlJc w:val="left"/>
    </w:lvl>
  </w:abstractNum>
  <w:abstractNum w:abstractNumId="1">
    <w:nsid w:val="EE74FBD7"/>
    <w:multiLevelType w:val="singleLevel"/>
    <w:tmpl w:val="EE74FBD7"/>
    <w:lvl w:ilvl="0" w:tentative="0">
      <w:start w:val="1"/>
      <w:numFmt w:val="decimal"/>
      <w:suff w:val="space"/>
      <w:lvlText w:val="%1."/>
      <w:lvlJc w:val="left"/>
      <w:pPr>
        <w:ind w:left="240" w:leftChars="0" w:firstLine="0" w:firstLineChars="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5M2FmMThlNGQzNTJlMGIwODRhNWE3NmRlZmVjNjMifQ=="/>
  </w:docVars>
  <w:rsids>
    <w:rsidRoot w:val="004E339C"/>
    <w:rsid w:val="00000D62"/>
    <w:rsid w:val="000016FA"/>
    <w:rsid w:val="00001E51"/>
    <w:rsid w:val="00004D21"/>
    <w:rsid w:val="00005044"/>
    <w:rsid w:val="00005771"/>
    <w:rsid w:val="00005CC7"/>
    <w:rsid w:val="00005E30"/>
    <w:rsid w:val="00006533"/>
    <w:rsid w:val="000067FD"/>
    <w:rsid w:val="00007529"/>
    <w:rsid w:val="00010805"/>
    <w:rsid w:val="00010C5A"/>
    <w:rsid w:val="00013059"/>
    <w:rsid w:val="00014B79"/>
    <w:rsid w:val="0001680A"/>
    <w:rsid w:val="00020A41"/>
    <w:rsid w:val="000249AF"/>
    <w:rsid w:val="0002517E"/>
    <w:rsid w:val="00025848"/>
    <w:rsid w:val="00026614"/>
    <w:rsid w:val="00031C0E"/>
    <w:rsid w:val="00033922"/>
    <w:rsid w:val="00034251"/>
    <w:rsid w:val="000343D8"/>
    <w:rsid w:val="0003501F"/>
    <w:rsid w:val="0003738C"/>
    <w:rsid w:val="00041495"/>
    <w:rsid w:val="00041B39"/>
    <w:rsid w:val="000426C4"/>
    <w:rsid w:val="00045F81"/>
    <w:rsid w:val="00053A1D"/>
    <w:rsid w:val="00055D5B"/>
    <w:rsid w:val="00060C6C"/>
    <w:rsid w:val="00061B65"/>
    <w:rsid w:val="00062552"/>
    <w:rsid w:val="00063A0E"/>
    <w:rsid w:val="00063D4E"/>
    <w:rsid w:val="0006506D"/>
    <w:rsid w:val="000655B5"/>
    <w:rsid w:val="000655D9"/>
    <w:rsid w:val="000677AD"/>
    <w:rsid w:val="0006780B"/>
    <w:rsid w:val="00071F5D"/>
    <w:rsid w:val="000724D1"/>
    <w:rsid w:val="00073F65"/>
    <w:rsid w:val="00075AD7"/>
    <w:rsid w:val="00080A39"/>
    <w:rsid w:val="000812B4"/>
    <w:rsid w:val="000831FE"/>
    <w:rsid w:val="000835D5"/>
    <w:rsid w:val="00084214"/>
    <w:rsid w:val="00090173"/>
    <w:rsid w:val="00091E13"/>
    <w:rsid w:val="00092920"/>
    <w:rsid w:val="0009333D"/>
    <w:rsid w:val="0009381A"/>
    <w:rsid w:val="00094E81"/>
    <w:rsid w:val="00095515"/>
    <w:rsid w:val="00095B99"/>
    <w:rsid w:val="000A28E4"/>
    <w:rsid w:val="000A34CF"/>
    <w:rsid w:val="000A4CD1"/>
    <w:rsid w:val="000A67ED"/>
    <w:rsid w:val="000B0CEA"/>
    <w:rsid w:val="000C05BC"/>
    <w:rsid w:val="000C10C9"/>
    <w:rsid w:val="000C3936"/>
    <w:rsid w:val="000C61C3"/>
    <w:rsid w:val="000D266F"/>
    <w:rsid w:val="000D42B7"/>
    <w:rsid w:val="000D7FA2"/>
    <w:rsid w:val="000E21FC"/>
    <w:rsid w:val="000E2683"/>
    <w:rsid w:val="000E3A46"/>
    <w:rsid w:val="000E50EB"/>
    <w:rsid w:val="000E61C3"/>
    <w:rsid w:val="000E64A6"/>
    <w:rsid w:val="000E73B6"/>
    <w:rsid w:val="000E73FB"/>
    <w:rsid w:val="000E7632"/>
    <w:rsid w:val="000F2BB6"/>
    <w:rsid w:val="000F4158"/>
    <w:rsid w:val="000F449E"/>
    <w:rsid w:val="000F6053"/>
    <w:rsid w:val="000F60B0"/>
    <w:rsid w:val="00100147"/>
    <w:rsid w:val="00100BB1"/>
    <w:rsid w:val="001029C6"/>
    <w:rsid w:val="001036F3"/>
    <w:rsid w:val="00104DB8"/>
    <w:rsid w:val="001064E1"/>
    <w:rsid w:val="00107C43"/>
    <w:rsid w:val="00110A0B"/>
    <w:rsid w:val="0011184D"/>
    <w:rsid w:val="00114A54"/>
    <w:rsid w:val="00114EA8"/>
    <w:rsid w:val="00115624"/>
    <w:rsid w:val="00117FD7"/>
    <w:rsid w:val="00120294"/>
    <w:rsid w:val="00122FEE"/>
    <w:rsid w:val="00124E62"/>
    <w:rsid w:val="00125381"/>
    <w:rsid w:val="00127E11"/>
    <w:rsid w:val="00131C91"/>
    <w:rsid w:val="00131D3E"/>
    <w:rsid w:val="00131DC5"/>
    <w:rsid w:val="00132417"/>
    <w:rsid w:val="001329FC"/>
    <w:rsid w:val="00135D21"/>
    <w:rsid w:val="00137548"/>
    <w:rsid w:val="001411B1"/>
    <w:rsid w:val="00146EF4"/>
    <w:rsid w:val="00147B97"/>
    <w:rsid w:val="00152AF4"/>
    <w:rsid w:val="00152E49"/>
    <w:rsid w:val="00153CEA"/>
    <w:rsid w:val="001542CB"/>
    <w:rsid w:val="00156745"/>
    <w:rsid w:val="00157C94"/>
    <w:rsid w:val="00157CB4"/>
    <w:rsid w:val="00160927"/>
    <w:rsid w:val="00161103"/>
    <w:rsid w:val="0016336A"/>
    <w:rsid w:val="00163AE0"/>
    <w:rsid w:val="00165945"/>
    <w:rsid w:val="00165C9D"/>
    <w:rsid w:val="001675AC"/>
    <w:rsid w:val="001711FD"/>
    <w:rsid w:val="00171244"/>
    <w:rsid w:val="0017222E"/>
    <w:rsid w:val="001738A0"/>
    <w:rsid w:val="001758E8"/>
    <w:rsid w:val="00177DD1"/>
    <w:rsid w:val="00180290"/>
    <w:rsid w:val="00180CB4"/>
    <w:rsid w:val="00180D50"/>
    <w:rsid w:val="0018180F"/>
    <w:rsid w:val="00183FB2"/>
    <w:rsid w:val="0018629F"/>
    <w:rsid w:val="0018759F"/>
    <w:rsid w:val="00187CAB"/>
    <w:rsid w:val="0019629B"/>
    <w:rsid w:val="00196DF9"/>
    <w:rsid w:val="00197A83"/>
    <w:rsid w:val="001A1DA2"/>
    <w:rsid w:val="001A21F3"/>
    <w:rsid w:val="001A2A24"/>
    <w:rsid w:val="001A435B"/>
    <w:rsid w:val="001A5B95"/>
    <w:rsid w:val="001A6952"/>
    <w:rsid w:val="001A77C4"/>
    <w:rsid w:val="001B1447"/>
    <w:rsid w:val="001B2F77"/>
    <w:rsid w:val="001B632D"/>
    <w:rsid w:val="001B6555"/>
    <w:rsid w:val="001B7615"/>
    <w:rsid w:val="001C10B0"/>
    <w:rsid w:val="001C136A"/>
    <w:rsid w:val="001C1D2A"/>
    <w:rsid w:val="001C3CA1"/>
    <w:rsid w:val="001C563C"/>
    <w:rsid w:val="001C5AF4"/>
    <w:rsid w:val="001D0FF3"/>
    <w:rsid w:val="001D2BC6"/>
    <w:rsid w:val="001D3E52"/>
    <w:rsid w:val="001D4437"/>
    <w:rsid w:val="001D5A34"/>
    <w:rsid w:val="001E03F1"/>
    <w:rsid w:val="001E0BE0"/>
    <w:rsid w:val="001E297B"/>
    <w:rsid w:val="001E432B"/>
    <w:rsid w:val="001E49BF"/>
    <w:rsid w:val="001E4EC8"/>
    <w:rsid w:val="001E7D70"/>
    <w:rsid w:val="001F07D8"/>
    <w:rsid w:val="001F120E"/>
    <w:rsid w:val="001F13AB"/>
    <w:rsid w:val="001F1D15"/>
    <w:rsid w:val="001F1DA6"/>
    <w:rsid w:val="001F4854"/>
    <w:rsid w:val="001F4D72"/>
    <w:rsid w:val="001F704C"/>
    <w:rsid w:val="002004BD"/>
    <w:rsid w:val="00200AC0"/>
    <w:rsid w:val="00202326"/>
    <w:rsid w:val="00202491"/>
    <w:rsid w:val="0020360A"/>
    <w:rsid w:val="0020475D"/>
    <w:rsid w:val="00204CC1"/>
    <w:rsid w:val="00211306"/>
    <w:rsid w:val="00213E57"/>
    <w:rsid w:val="00214588"/>
    <w:rsid w:val="002146CD"/>
    <w:rsid w:val="002164F9"/>
    <w:rsid w:val="00216FCD"/>
    <w:rsid w:val="00221BD6"/>
    <w:rsid w:val="0022320A"/>
    <w:rsid w:val="00223C09"/>
    <w:rsid w:val="00224E79"/>
    <w:rsid w:val="002255E0"/>
    <w:rsid w:val="00225F4B"/>
    <w:rsid w:val="00231BF7"/>
    <w:rsid w:val="00233B64"/>
    <w:rsid w:val="0023583C"/>
    <w:rsid w:val="00237E9B"/>
    <w:rsid w:val="0024021E"/>
    <w:rsid w:val="00240E65"/>
    <w:rsid w:val="00241021"/>
    <w:rsid w:val="0024306D"/>
    <w:rsid w:val="00250A8E"/>
    <w:rsid w:val="00250D34"/>
    <w:rsid w:val="0025347A"/>
    <w:rsid w:val="00257C71"/>
    <w:rsid w:val="00262506"/>
    <w:rsid w:val="00262D1B"/>
    <w:rsid w:val="00263024"/>
    <w:rsid w:val="002649C3"/>
    <w:rsid w:val="00265058"/>
    <w:rsid w:val="00265F86"/>
    <w:rsid w:val="002674E0"/>
    <w:rsid w:val="0027098A"/>
    <w:rsid w:val="00271072"/>
    <w:rsid w:val="00271A82"/>
    <w:rsid w:val="00273F1D"/>
    <w:rsid w:val="0027541E"/>
    <w:rsid w:val="00275871"/>
    <w:rsid w:val="00275D5A"/>
    <w:rsid w:val="0027601E"/>
    <w:rsid w:val="002806A6"/>
    <w:rsid w:val="002810A5"/>
    <w:rsid w:val="00284155"/>
    <w:rsid w:val="0028478E"/>
    <w:rsid w:val="00286793"/>
    <w:rsid w:val="0029044B"/>
    <w:rsid w:val="0029409E"/>
    <w:rsid w:val="00294E15"/>
    <w:rsid w:val="00295148"/>
    <w:rsid w:val="00295A49"/>
    <w:rsid w:val="002A2252"/>
    <w:rsid w:val="002A33CF"/>
    <w:rsid w:val="002A372D"/>
    <w:rsid w:val="002A3B33"/>
    <w:rsid w:val="002A5351"/>
    <w:rsid w:val="002A58B2"/>
    <w:rsid w:val="002A73A9"/>
    <w:rsid w:val="002B0E69"/>
    <w:rsid w:val="002B10A8"/>
    <w:rsid w:val="002B1A38"/>
    <w:rsid w:val="002B1A41"/>
    <w:rsid w:val="002B2673"/>
    <w:rsid w:val="002B2CF2"/>
    <w:rsid w:val="002B367A"/>
    <w:rsid w:val="002B386A"/>
    <w:rsid w:val="002B4E3D"/>
    <w:rsid w:val="002B6664"/>
    <w:rsid w:val="002B6A55"/>
    <w:rsid w:val="002B714D"/>
    <w:rsid w:val="002C0DEC"/>
    <w:rsid w:val="002C186C"/>
    <w:rsid w:val="002C3D05"/>
    <w:rsid w:val="002C3FD0"/>
    <w:rsid w:val="002C6091"/>
    <w:rsid w:val="002C60E9"/>
    <w:rsid w:val="002C674F"/>
    <w:rsid w:val="002C7636"/>
    <w:rsid w:val="002C77BC"/>
    <w:rsid w:val="002D56D4"/>
    <w:rsid w:val="002D7CD6"/>
    <w:rsid w:val="002E0103"/>
    <w:rsid w:val="002E02A8"/>
    <w:rsid w:val="002E0A20"/>
    <w:rsid w:val="002E1213"/>
    <w:rsid w:val="002E36E1"/>
    <w:rsid w:val="002E3A98"/>
    <w:rsid w:val="002E4D3E"/>
    <w:rsid w:val="002E64A7"/>
    <w:rsid w:val="002E64F5"/>
    <w:rsid w:val="002E6C37"/>
    <w:rsid w:val="002E7710"/>
    <w:rsid w:val="002F0216"/>
    <w:rsid w:val="002F0A6D"/>
    <w:rsid w:val="002F2D5A"/>
    <w:rsid w:val="002F36CC"/>
    <w:rsid w:val="002F56F2"/>
    <w:rsid w:val="002F7B5B"/>
    <w:rsid w:val="003026E1"/>
    <w:rsid w:val="0030341A"/>
    <w:rsid w:val="00305152"/>
    <w:rsid w:val="003055F1"/>
    <w:rsid w:val="00306E14"/>
    <w:rsid w:val="00307461"/>
    <w:rsid w:val="00311B97"/>
    <w:rsid w:val="00312D4F"/>
    <w:rsid w:val="003135CD"/>
    <w:rsid w:val="003148D4"/>
    <w:rsid w:val="00315D58"/>
    <w:rsid w:val="00320ECE"/>
    <w:rsid w:val="003234F8"/>
    <w:rsid w:val="003246F1"/>
    <w:rsid w:val="0032679A"/>
    <w:rsid w:val="00332D76"/>
    <w:rsid w:val="003330A6"/>
    <w:rsid w:val="00333DD3"/>
    <w:rsid w:val="003347C9"/>
    <w:rsid w:val="003354C8"/>
    <w:rsid w:val="003360A5"/>
    <w:rsid w:val="0033734D"/>
    <w:rsid w:val="00337923"/>
    <w:rsid w:val="00337AA7"/>
    <w:rsid w:val="00340B26"/>
    <w:rsid w:val="00340BB9"/>
    <w:rsid w:val="0034287F"/>
    <w:rsid w:val="00342E4A"/>
    <w:rsid w:val="0034460E"/>
    <w:rsid w:val="00350473"/>
    <w:rsid w:val="00356523"/>
    <w:rsid w:val="00360F7C"/>
    <w:rsid w:val="00361E0A"/>
    <w:rsid w:val="00362F2F"/>
    <w:rsid w:val="00363DF6"/>
    <w:rsid w:val="00365B28"/>
    <w:rsid w:val="0036689B"/>
    <w:rsid w:val="00367612"/>
    <w:rsid w:val="0037155B"/>
    <w:rsid w:val="003716F3"/>
    <w:rsid w:val="003727D3"/>
    <w:rsid w:val="003731A8"/>
    <w:rsid w:val="0037445A"/>
    <w:rsid w:val="00374BFE"/>
    <w:rsid w:val="00375FF7"/>
    <w:rsid w:val="003779F2"/>
    <w:rsid w:val="00377F95"/>
    <w:rsid w:val="0038092E"/>
    <w:rsid w:val="003819F2"/>
    <w:rsid w:val="00381E8E"/>
    <w:rsid w:val="003820CA"/>
    <w:rsid w:val="003821CD"/>
    <w:rsid w:val="003829B6"/>
    <w:rsid w:val="00383614"/>
    <w:rsid w:val="003852D3"/>
    <w:rsid w:val="00387B98"/>
    <w:rsid w:val="003926AA"/>
    <w:rsid w:val="00392F06"/>
    <w:rsid w:val="00393300"/>
    <w:rsid w:val="00393ED7"/>
    <w:rsid w:val="00393F30"/>
    <w:rsid w:val="00394372"/>
    <w:rsid w:val="00396963"/>
    <w:rsid w:val="003A2180"/>
    <w:rsid w:val="003A24E4"/>
    <w:rsid w:val="003A2945"/>
    <w:rsid w:val="003A46CA"/>
    <w:rsid w:val="003A6331"/>
    <w:rsid w:val="003A6DA2"/>
    <w:rsid w:val="003B00ED"/>
    <w:rsid w:val="003B0A6D"/>
    <w:rsid w:val="003B4250"/>
    <w:rsid w:val="003B44DC"/>
    <w:rsid w:val="003B4608"/>
    <w:rsid w:val="003B4F44"/>
    <w:rsid w:val="003B5C01"/>
    <w:rsid w:val="003C1316"/>
    <w:rsid w:val="003C19BA"/>
    <w:rsid w:val="003C3660"/>
    <w:rsid w:val="003C5D04"/>
    <w:rsid w:val="003C6B64"/>
    <w:rsid w:val="003D02FD"/>
    <w:rsid w:val="003D0FB4"/>
    <w:rsid w:val="003D3DE9"/>
    <w:rsid w:val="003D5044"/>
    <w:rsid w:val="003D6292"/>
    <w:rsid w:val="003D67BA"/>
    <w:rsid w:val="003D7CB4"/>
    <w:rsid w:val="003E2AAF"/>
    <w:rsid w:val="003E58AB"/>
    <w:rsid w:val="003E62A1"/>
    <w:rsid w:val="003F092F"/>
    <w:rsid w:val="003F1E21"/>
    <w:rsid w:val="003F3D93"/>
    <w:rsid w:val="00402976"/>
    <w:rsid w:val="00402BE3"/>
    <w:rsid w:val="00403C91"/>
    <w:rsid w:val="004056FE"/>
    <w:rsid w:val="004078E9"/>
    <w:rsid w:val="004101F3"/>
    <w:rsid w:val="0041153D"/>
    <w:rsid w:val="00414D6C"/>
    <w:rsid w:val="00415490"/>
    <w:rsid w:val="0041562B"/>
    <w:rsid w:val="00417AEC"/>
    <w:rsid w:val="00423A4B"/>
    <w:rsid w:val="00425A2D"/>
    <w:rsid w:val="004304D7"/>
    <w:rsid w:val="004315F7"/>
    <w:rsid w:val="00432263"/>
    <w:rsid w:val="004323AF"/>
    <w:rsid w:val="00435774"/>
    <w:rsid w:val="00435AD3"/>
    <w:rsid w:val="00435CAB"/>
    <w:rsid w:val="00435D63"/>
    <w:rsid w:val="004361BE"/>
    <w:rsid w:val="0043669C"/>
    <w:rsid w:val="004376F0"/>
    <w:rsid w:val="00437D79"/>
    <w:rsid w:val="00442978"/>
    <w:rsid w:val="00443632"/>
    <w:rsid w:val="004445AE"/>
    <w:rsid w:val="00446211"/>
    <w:rsid w:val="00447A9A"/>
    <w:rsid w:val="004534CF"/>
    <w:rsid w:val="00453A80"/>
    <w:rsid w:val="00454DA1"/>
    <w:rsid w:val="00456A8C"/>
    <w:rsid w:val="00457B11"/>
    <w:rsid w:val="00457B4A"/>
    <w:rsid w:val="00457F8D"/>
    <w:rsid w:val="0046639B"/>
    <w:rsid w:val="0047075A"/>
    <w:rsid w:val="00470FF4"/>
    <w:rsid w:val="00471265"/>
    <w:rsid w:val="00471700"/>
    <w:rsid w:val="00471F2C"/>
    <w:rsid w:val="00473612"/>
    <w:rsid w:val="00474E1B"/>
    <w:rsid w:val="00474F35"/>
    <w:rsid w:val="004752E3"/>
    <w:rsid w:val="00480231"/>
    <w:rsid w:val="0048071D"/>
    <w:rsid w:val="00481C08"/>
    <w:rsid w:val="00482C74"/>
    <w:rsid w:val="00482E79"/>
    <w:rsid w:val="00484BBC"/>
    <w:rsid w:val="004856A3"/>
    <w:rsid w:val="00486338"/>
    <w:rsid w:val="00490ED5"/>
    <w:rsid w:val="00493923"/>
    <w:rsid w:val="004943A1"/>
    <w:rsid w:val="00495BB8"/>
    <w:rsid w:val="0049655A"/>
    <w:rsid w:val="00496684"/>
    <w:rsid w:val="004A2D59"/>
    <w:rsid w:val="004A5010"/>
    <w:rsid w:val="004A5773"/>
    <w:rsid w:val="004A6387"/>
    <w:rsid w:val="004A67ED"/>
    <w:rsid w:val="004B054F"/>
    <w:rsid w:val="004B1E36"/>
    <w:rsid w:val="004B30B6"/>
    <w:rsid w:val="004B3E8F"/>
    <w:rsid w:val="004B5937"/>
    <w:rsid w:val="004B6519"/>
    <w:rsid w:val="004C0580"/>
    <w:rsid w:val="004C1007"/>
    <w:rsid w:val="004C2EF4"/>
    <w:rsid w:val="004C421B"/>
    <w:rsid w:val="004C7257"/>
    <w:rsid w:val="004C74D3"/>
    <w:rsid w:val="004C773A"/>
    <w:rsid w:val="004D0156"/>
    <w:rsid w:val="004D340E"/>
    <w:rsid w:val="004D5F30"/>
    <w:rsid w:val="004D6AD4"/>
    <w:rsid w:val="004D6C40"/>
    <w:rsid w:val="004D7747"/>
    <w:rsid w:val="004E339C"/>
    <w:rsid w:val="004E33A2"/>
    <w:rsid w:val="004E47BC"/>
    <w:rsid w:val="004E4DCE"/>
    <w:rsid w:val="004E5CC5"/>
    <w:rsid w:val="004E7420"/>
    <w:rsid w:val="004E7AD3"/>
    <w:rsid w:val="004F1354"/>
    <w:rsid w:val="004F13E5"/>
    <w:rsid w:val="004F16E2"/>
    <w:rsid w:val="004F3D58"/>
    <w:rsid w:val="004F3F99"/>
    <w:rsid w:val="004F4A7A"/>
    <w:rsid w:val="004F4AFE"/>
    <w:rsid w:val="004F58D8"/>
    <w:rsid w:val="004F7C5D"/>
    <w:rsid w:val="00500492"/>
    <w:rsid w:val="005018D4"/>
    <w:rsid w:val="00502313"/>
    <w:rsid w:val="0050374B"/>
    <w:rsid w:val="00504448"/>
    <w:rsid w:val="00504B3B"/>
    <w:rsid w:val="00505CA1"/>
    <w:rsid w:val="0050703A"/>
    <w:rsid w:val="00507405"/>
    <w:rsid w:val="00510F80"/>
    <w:rsid w:val="00512405"/>
    <w:rsid w:val="005130F8"/>
    <w:rsid w:val="00513353"/>
    <w:rsid w:val="0051362E"/>
    <w:rsid w:val="00513F7A"/>
    <w:rsid w:val="00514937"/>
    <w:rsid w:val="005156E0"/>
    <w:rsid w:val="00516082"/>
    <w:rsid w:val="00516BEF"/>
    <w:rsid w:val="005170E7"/>
    <w:rsid w:val="005212ED"/>
    <w:rsid w:val="00521663"/>
    <w:rsid w:val="005238C4"/>
    <w:rsid w:val="00524F5F"/>
    <w:rsid w:val="005254AF"/>
    <w:rsid w:val="0052674C"/>
    <w:rsid w:val="00527A98"/>
    <w:rsid w:val="00530908"/>
    <w:rsid w:val="00532210"/>
    <w:rsid w:val="0054159A"/>
    <w:rsid w:val="005418DB"/>
    <w:rsid w:val="00546A27"/>
    <w:rsid w:val="00546C7C"/>
    <w:rsid w:val="00547779"/>
    <w:rsid w:val="00550995"/>
    <w:rsid w:val="00550E3C"/>
    <w:rsid w:val="005516DC"/>
    <w:rsid w:val="005517C0"/>
    <w:rsid w:val="00551EFF"/>
    <w:rsid w:val="0055223F"/>
    <w:rsid w:val="005543A0"/>
    <w:rsid w:val="00554666"/>
    <w:rsid w:val="0056117A"/>
    <w:rsid w:val="005611A2"/>
    <w:rsid w:val="0056543F"/>
    <w:rsid w:val="005668AF"/>
    <w:rsid w:val="00566C0A"/>
    <w:rsid w:val="00570002"/>
    <w:rsid w:val="005706BA"/>
    <w:rsid w:val="00571850"/>
    <w:rsid w:val="00571E09"/>
    <w:rsid w:val="005723B0"/>
    <w:rsid w:val="00573301"/>
    <w:rsid w:val="00573315"/>
    <w:rsid w:val="00575AF3"/>
    <w:rsid w:val="00580A46"/>
    <w:rsid w:val="00580AD0"/>
    <w:rsid w:val="00581B49"/>
    <w:rsid w:val="005830E3"/>
    <w:rsid w:val="00584389"/>
    <w:rsid w:val="00584884"/>
    <w:rsid w:val="00584DC6"/>
    <w:rsid w:val="0058753B"/>
    <w:rsid w:val="005902D7"/>
    <w:rsid w:val="005907D0"/>
    <w:rsid w:val="005909AC"/>
    <w:rsid w:val="005919BB"/>
    <w:rsid w:val="00591EB8"/>
    <w:rsid w:val="00593AE5"/>
    <w:rsid w:val="005943F7"/>
    <w:rsid w:val="0059595B"/>
    <w:rsid w:val="00596463"/>
    <w:rsid w:val="00596649"/>
    <w:rsid w:val="00597DE2"/>
    <w:rsid w:val="005A04C0"/>
    <w:rsid w:val="005A0E03"/>
    <w:rsid w:val="005A157E"/>
    <w:rsid w:val="005A2A2B"/>
    <w:rsid w:val="005A2A36"/>
    <w:rsid w:val="005A53DE"/>
    <w:rsid w:val="005A719E"/>
    <w:rsid w:val="005B0941"/>
    <w:rsid w:val="005B185C"/>
    <w:rsid w:val="005B2C8E"/>
    <w:rsid w:val="005B79C3"/>
    <w:rsid w:val="005C07FE"/>
    <w:rsid w:val="005C3C30"/>
    <w:rsid w:val="005C4378"/>
    <w:rsid w:val="005C64DF"/>
    <w:rsid w:val="005C6533"/>
    <w:rsid w:val="005C6CE1"/>
    <w:rsid w:val="005C7011"/>
    <w:rsid w:val="005D0DBF"/>
    <w:rsid w:val="005D42F1"/>
    <w:rsid w:val="005D4BE0"/>
    <w:rsid w:val="005D59BF"/>
    <w:rsid w:val="005D5C08"/>
    <w:rsid w:val="005D6131"/>
    <w:rsid w:val="005D7929"/>
    <w:rsid w:val="005E0033"/>
    <w:rsid w:val="005E151A"/>
    <w:rsid w:val="005E3ED3"/>
    <w:rsid w:val="005E4302"/>
    <w:rsid w:val="005E538A"/>
    <w:rsid w:val="005E6DE3"/>
    <w:rsid w:val="005E7B30"/>
    <w:rsid w:val="005F2E02"/>
    <w:rsid w:val="005F3EF5"/>
    <w:rsid w:val="005F491C"/>
    <w:rsid w:val="005F6274"/>
    <w:rsid w:val="005F659E"/>
    <w:rsid w:val="005F6D45"/>
    <w:rsid w:val="00600538"/>
    <w:rsid w:val="006012F9"/>
    <w:rsid w:val="00601E14"/>
    <w:rsid w:val="00601F4D"/>
    <w:rsid w:val="0060255C"/>
    <w:rsid w:val="00603D89"/>
    <w:rsid w:val="0060548F"/>
    <w:rsid w:val="00605496"/>
    <w:rsid w:val="00607DA2"/>
    <w:rsid w:val="00611BB4"/>
    <w:rsid w:val="00611EC2"/>
    <w:rsid w:val="00612E4A"/>
    <w:rsid w:val="00615816"/>
    <w:rsid w:val="00616899"/>
    <w:rsid w:val="00620085"/>
    <w:rsid w:val="006207A6"/>
    <w:rsid w:val="00620CC4"/>
    <w:rsid w:val="00622057"/>
    <w:rsid w:val="006220B5"/>
    <w:rsid w:val="0062280C"/>
    <w:rsid w:val="00623593"/>
    <w:rsid w:val="0062710B"/>
    <w:rsid w:val="00632440"/>
    <w:rsid w:val="0063292D"/>
    <w:rsid w:val="00633AEE"/>
    <w:rsid w:val="00635F71"/>
    <w:rsid w:val="006370C8"/>
    <w:rsid w:val="00641174"/>
    <w:rsid w:val="00641D1B"/>
    <w:rsid w:val="0064452A"/>
    <w:rsid w:val="0064508F"/>
    <w:rsid w:val="006453A4"/>
    <w:rsid w:val="006457EA"/>
    <w:rsid w:val="0064612A"/>
    <w:rsid w:val="0064742C"/>
    <w:rsid w:val="00652870"/>
    <w:rsid w:val="00653360"/>
    <w:rsid w:val="00653D68"/>
    <w:rsid w:val="00654F24"/>
    <w:rsid w:val="00655983"/>
    <w:rsid w:val="006569D5"/>
    <w:rsid w:val="00660D10"/>
    <w:rsid w:val="006612E1"/>
    <w:rsid w:val="006613E4"/>
    <w:rsid w:val="006666FF"/>
    <w:rsid w:val="00666AA8"/>
    <w:rsid w:val="006705F4"/>
    <w:rsid w:val="0067414C"/>
    <w:rsid w:val="006749F2"/>
    <w:rsid w:val="00674AC8"/>
    <w:rsid w:val="0067615E"/>
    <w:rsid w:val="0067624E"/>
    <w:rsid w:val="00684F21"/>
    <w:rsid w:val="00685806"/>
    <w:rsid w:val="00685B2B"/>
    <w:rsid w:val="00685ECD"/>
    <w:rsid w:val="00685FDC"/>
    <w:rsid w:val="0068611B"/>
    <w:rsid w:val="00686737"/>
    <w:rsid w:val="006877B0"/>
    <w:rsid w:val="00690D01"/>
    <w:rsid w:val="0069108F"/>
    <w:rsid w:val="0069443E"/>
    <w:rsid w:val="00695CED"/>
    <w:rsid w:val="00696916"/>
    <w:rsid w:val="00696A01"/>
    <w:rsid w:val="00697876"/>
    <w:rsid w:val="006A00C6"/>
    <w:rsid w:val="006A3A6C"/>
    <w:rsid w:val="006A483A"/>
    <w:rsid w:val="006A4BC1"/>
    <w:rsid w:val="006A4CF1"/>
    <w:rsid w:val="006A522E"/>
    <w:rsid w:val="006A5A26"/>
    <w:rsid w:val="006A68B8"/>
    <w:rsid w:val="006B40B5"/>
    <w:rsid w:val="006B4B82"/>
    <w:rsid w:val="006B6CE2"/>
    <w:rsid w:val="006B6D1D"/>
    <w:rsid w:val="006B6D79"/>
    <w:rsid w:val="006B7239"/>
    <w:rsid w:val="006B7A62"/>
    <w:rsid w:val="006C0730"/>
    <w:rsid w:val="006C230A"/>
    <w:rsid w:val="006C27D9"/>
    <w:rsid w:val="006D0770"/>
    <w:rsid w:val="006D0C21"/>
    <w:rsid w:val="006D10D4"/>
    <w:rsid w:val="006D2AC3"/>
    <w:rsid w:val="006D4332"/>
    <w:rsid w:val="006D52CF"/>
    <w:rsid w:val="006D6BEF"/>
    <w:rsid w:val="006D6C63"/>
    <w:rsid w:val="006D6D74"/>
    <w:rsid w:val="006D7111"/>
    <w:rsid w:val="006D7DDC"/>
    <w:rsid w:val="006E05BE"/>
    <w:rsid w:val="006E10D9"/>
    <w:rsid w:val="006E16BF"/>
    <w:rsid w:val="006E1D04"/>
    <w:rsid w:val="006E1F85"/>
    <w:rsid w:val="006E221B"/>
    <w:rsid w:val="006E2D3C"/>
    <w:rsid w:val="006E521A"/>
    <w:rsid w:val="006E606B"/>
    <w:rsid w:val="006E639A"/>
    <w:rsid w:val="006F243D"/>
    <w:rsid w:val="006F596E"/>
    <w:rsid w:val="006F7B6A"/>
    <w:rsid w:val="0070001A"/>
    <w:rsid w:val="0070019C"/>
    <w:rsid w:val="0070074C"/>
    <w:rsid w:val="00700D1A"/>
    <w:rsid w:val="00701640"/>
    <w:rsid w:val="0070197F"/>
    <w:rsid w:val="007035A7"/>
    <w:rsid w:val="00703F9A"/>
    <w:rsid w:val="00704580"/>
    <w:rsid w:val="00705466"/>
    <w:rsid w:val="00711461"/>
    <w:rsid w:val="00711F0E"/>
    <w:rsid w:val="00712650"/>
    <w:rsid w:val="00712C82"/>
    <w:rsid w:val="007130B5"/>
    <w:rsid w:val="00713DEB"/>
    <w:rsid w:val="007144CA"/>
    <w:rsid w:val="00714AD1"/>
    <w:rsid w:val="00716288"/>
    <w:rsid w:val="00716A64"/>
    <w:rsid w:val="00723239"/>
    <w:rsid w:val="0072434F"/>
    <w:rsid w:val="00724679"/>
    <w:rsid w:val="0072638B"/>
    <w:rsid w:val="007274F3"/>
    <w:rsid w:val="00727F96"/>
    <w:rsid w:val="007308E7"/>
    <w:rsid w:val="00732A35"/>
    <w:rsid w:val="00734903"/>
    <w:rsid w:val="007358B4"/>
    <w:rsid w:val="00740A4B"/>
    <w:rsid w:val="0074190D"/>
    <w:rsid w:val="0074345E"/>
    <w:rsid w:val="0074476B"/>
    <w:rsid w:val="00745DD5"/>
    <w:rsid w:val="00751E0D"/>
    <w:rsid w:val="00752422"/>
    <w:rsid w:val="0075440B"/>
    <w:rsid w:val="0075625A"/>
    <w:rsid w:val="007562D4"/>
    <w:rsid w:val="007566F1"/>
    <w:rsid w:val="00761181"/>
    <w:rsid w:val="00761368"/>
    <w:rsid w:val="00761FE3"/>
    <w:rsid w:val="00765C4D"/>
    <w:rsid w:val="00765D11"/>
    <w:rsid w:val="00765D79"/>
    <w:rsid w:val="00766802"/>
    <w:rsid w:val="00767085"/>
    <w:rsid w:val="00767730"/>
    <w:rsid w:val="00767F83"/>
    <w:rsid w:val="00771A60"/>
    <w:rsid w:val="00772CAE"/>
    <w:rsid w:val="0077433E"/>
    <w:rsid w:val="00774439"/>
    <w:rsid w:val="00774D4D"/>
    <w:rsid w:val="00775067"/>
    <w:rsid w:val="0077550B"/>
    <w:rsid w:val="00775EBE"/>
    <w:rsid w:val="007810A6"/>
    <w:rsid w:val="00783940"/>
    <w:rsid w:val="00783A50"/>
    <w:rsid w:val="00791386"/>
    <w:rsid w:val="007935E4"/>
    <w:rsid w:val="007964E9"/>
    <w:rsid w:val="007965C0"/>
    <w:rsid w:val="00797A63"/>
    <w:rsid w:val="00797DFA"/>
    <w:rsid w:val="007A0117"/>
    <w:rsid w:val="007A0252"/>
    <w:rsid w:val="007A3B26"/>
    <w:rsid w:val="007A4B74"/>
    <w:rsid w:val="007A4FE9"/>
    <w:rsid w:val="007A6184"/>
    <w:rsid w:val="007B1265"/>
    <w:rsid w:val="007B1819"/>
    <w:rsid w:val="007B2B37"/>
    <w:rsid w:val="007B3F54"/>
    <w:rsid w:val="007B61D8"/>
    <w:rsid w:val="007B6C15"/>
    <w:rsid w:val="007B6C40"/>
    <w:rsid w:val="007B7CDE"/>
    <w:rsid w:val="007C0E67"/>
    <w:rsid w:val="007C2351"/>
    <w:rsid w:val="007C308C"/>
    <w:rsid w:val="007C41E8"/>
    <w:rsid w:val="007C43E0"/>
    <w:rsid w:val="007C49AA"/>
    <w:rsid w:val="007C5F2E"/>
    <w:rsid w:val="007C61E4"/>
    <w:rsid w:val="007D06D2"/>
    <w:rsid w:val="007D1012"/>
    <w:rsid w:val="007D2389"/>
    <w:rsid w:val="007D28C6"/>
    <w:rsid w:val="007D2934"/>
    <w:rsid w:val="007D321B"/>
    <w:rsid w:val="007D33A8"/>
    <w:rsid w:val="007D42BF"/>
    <w:rsid w:val="007E0436"/>
    <w:rsid w:val="007E241E"/>
    <w:rsid w:val="007E4CDB"/>
    <w:rsid w:val="007E4ED7"/>
    <w:rsid w:val="007E5690"/>
    <w:rsid w:val="007E5754"/>
    <w:rsid w:val="007E6E0F"/>
    <w:rsid w:val="007F032C"/>
    <w:rsid w:val="007F046F"/>
    <w:rsid w:val="007F284E"/>
    <w:rsid w:val="007F4B23"/>
    <w:rsid w:val="007F500B"/>
    <w:rsid w:val="007F5293"/>
    <w:rsid w:val="007F579E"/>
    <w:rsid w:val="007F663C"/>
    <w:rsid w:val="00801EDE"/>
    <w:rsid w:val="00802560"/>
    <w:rsid w:val="00805B05"/>
    <w:rsid w:val="008065BF"/>
    <w:rsid w:val="00812637"/>
    <w:rsid w:val="00814C33"/>
    <w:rsid w:val="0081586B"/>
    <w:rsid w:val="00815D7E"/>
    <w:rsid w:val="00817E40"/>
    <w:rsid w:val="008210CD"/>
    <w:rsid w:val="0082382F"/>
    <w:rsid w:val="008247C2"/>
    <w:rsid w:val="00826FA1"/>
    <w:rsid w:val="00827940"/>
    <w:rsid w:val="00833C17"/>
    <w:rsid w:val="008345A2"/>
    <w:rsid w:val="00834969"/>
    <w:rsid w:val="0083533B"/>
    <w:rsid w:val="00835B85"/>
    <w:rsid w:val="008373A5"/>
    <w:rsid w:val="008374B6"/>
    <w:rsid w:val="008402C9"/>
    <w:rsid w:val="008402F8"/>
    <w:rsid w:val="008406FC"/>
    <w:rsid w:val="00840958"/>
    <w:rsid w:val="00840D88"/>
    <w:rsid w:val="00841768"/>
    <w:rsid w:val="00841A8A"/>
    <w:rsid w:val="00841CD7"/>
    <w:rsid w:val="008426C2"/>
    <w:rsid w:val="008442E3"/>
    <w:rsid w:val="008449B6"/>
    <w:rsid w:val="00845F5B"/>
    <w:rsid w:val="00846178"/>
    <w:rsid w:val="008469DA"/>
    <w:rsid w:val="008470B0"/>
    <w:rsid w:val="00847314"/>
    <w:rsid w:val="00847623"/>
    <w:rsid w:val="008512A0"/>
    <w:rsid w:val="0085248E"/>
    <w:rsid w:val="008539D3"/>
    <w:rsid w:val="00853D5C"/>
    <w:rsid w:val="008568F0"/>
    <w:rsid w:val="00857A54"/>
    <w:rsid w:val="00857F1F"/>
    <w:rsid w:val="00857F35"/>
    <w:rsid w:val="0086069A"/>
    <w:rsid w:val="0086098F"/>
    <w:rsid w:val="0086113B"/>
    <w:rsid w:val="00864218"/>
    <w:rsid w:val="008644D8"/>
    <w:rsid w:val="00864FF3"/>
    <w:rsid w:val="008656DC"/>
    <w:rsid w:val="00866948"/>
    <w:rsid w:val="00866957"/>
    <w:rsid w:val="00866CBC"/>
    <w:rsid w:val="0086724E"/>
    <w:rsid w:val="00867623"/>
    <w:rsid w:val="008677D1"/>
    <w:rsid w:val="00867A0D"/>
    <w:rsid w:val="008727D3"/>
    <w:rsid w:val="00872EF6"/>
    <w:rsid w:val="0087533C"/>
    <w:rsid w:val="008758FF"/>
    <w:rsid w:val="00875E90"/>
    <w:rsid w:val="00877AEC"/>
    <w:rsid w:val="00881BAD"/>
    <w:rsid w:val="00882FC8"/>
    <w:rsid w:val="0088384E"/>
    <w:rsid w:val="00884DF4"/>
    <w:rsid w:val="0088690D"/>
    <w:rsid w:val="00887886"/>
    <w:rsid w:val="00890C7D"/>
    <w:rsid w:val="0089284F"/>
    <w:rsid w:val="008934B4"/>
    <w:rsid w:val="0089379F"/>
    <w:rsid w:val="008942E3"/>
    <w:rsid w:val="0089467F"/>
    <w:rsid w:val="00894B0C"/>
    <w:rsid w:val="008A2792"/>
    <w:rsid w:val="008A2D5D"/>
    <w:rsid w:val="008A3519"/>
    <w:rsid w:val="008A3E83"/>
    <w:rsid w:val="008A40FE"/>
    <w:rsid w:val="008A447C"/>
    <w:rsid w:val="008B0779"/>
    <w:rsid w:val="008B1BE3"/>
    <w:rsid w:val="008B2B90"/>
    <w:rsid w:val="008B4488"/>
    <w:rsid w:val="008B72A6"/>
    <w:rsid w:val="008C556B"/>
    <w:rsid w:val="008C5F7D"/>
    <w:rsid w:val="008D09DC"/>
    <w:rsid w:val="008D4232"/>
    <w:rsid w:val="008D6753"/>
    <w:rsid w:val="008D6BE1"/>
    <w:rsid w:val="008E1B20"/>
    <w:rsid w:val="008E2D4B"/>
    <w:rsid w:val="008E43C0"/>
    <w:rsid w:val="008F0FBE"/>
    <w:rsid w:val="008F25E5"/>
    <w:rsid w:val="008F2994"/>
    <w:rsid w:val="008F2A9B"/>
    <w:rsid w:val="008F6DD0"/>
    <w:rsid w:val="008F762F"/>
    <w:rsid w:val="008F78CF"/>
    <w:rsid w:val="009022B9"/>
    <w:rsid w:val="009023A0"/>
    <w:rsid w:val="0090283D"/>
    <w:rsid w:val="009030C9"/>
    <w:rsid w:val="00903350"/>
    <w:rsid w:val="0090444C"/>
    <w:rsid w:val="0090589F"/>
    <w:rsid w:val="00905E5E"/>
    <w:rsid w:val="00905F7D"/>
    <w:rsid w:val="009060C2"/>
    <w:rsid w:val="0090786D"/>
    <w:rsid w:val="00910875"/>
    <w:rsid w:val="00911424"/>
    <w:rsid w:val="009130B4"/>
    <w:rsid w:val="00913707"/>
    <w:rsid w:val="009143AD"/>
    <w:rsid w:val="009146FC"/>
    <w:rsid w:val="00917515"/>
    <w:rsid w:val="0092071B"/>
    <w:rsid w:val="009218B3"/>
    <w:rsid w:val="00921959"/>
    <w:rsid w:val="00921C01"/>
    <w:rsid w:val="00923925"/>
    <w:rsid w:val="0092458C"/>
    <w:rsid w:val="00924917"/>
    <w:rsid w:val="00925BE8"/>
    <w:rsid w:val="0092667C"/>
    <w:rsid w:val="00926E8A"/>
    <w:rsid w:val="009307D6"/>
    <w:rsid w:val="00930C81"/>
    <w:rsid w:val="009316B7"/>
    <w:rsid w:val="00935D3E"/>
    <w:rsid w:val="009425BB"/>
    <w:rsid w:val="009428D8"/>
    <w:rsid w:val="00943850"/>
    <w:rsid w:val="00944219"/>
    <w:rsid w:val="00944EA2"/>
    <w:rsid w:val="00945FFB"/>
    <w:rsid w:val="00946792"/>
    <w:rsid w:val="00952B3F"/>
    <w:rsid w:val="00953780"/>
    <w:rsid w:val="0095385F"/>
    <w:rsid w:val="0095387E"/>
    <w:rsid w:val="00953E51"/>
    <w:rsid w:val="009569F7"/>
    <w:rsid w:val="00957E07"/>
    <w:rsid w:val="009600BA"/>
    <w:rsid w:val="00960B7C"/>
    <w:rsid w:val="00960FFE"/>
    <w:rsid w:val="00962070"/>
    <w:rsid w:val="00962866"/>
    <w:rsid w:val="00964727"/>
    <w:rsid w:val="009648CF"/>
    <w:rsid w:val="00964B9E"/>
    <w:rsid w:val="00965B19"/>
    <w:rsid w:val="009702B9"/>
    <w:rsid w:val="009711A2"/>
    <w:rsid w:val="009718D9"/>
    <w:rsid w:val="00973CE8"/>
    <w:rsid w:val="00975101"/>
    <w:rsid w:val="00976A4F"/>
    <w:rsid w:val="00976F83"/>
    <w:rsid w:val="00976FF0"/>
    <w:rsid w:val="00977A8B"/>
    <w:rsid w:val="009801DB"/>
    <w:rsid w:val="00981DB2"/>
    <w:rsid w:val="009845AA"/>
    <w:rsid w:val="0098543E"/>
    <w:rsid w:val="009873C7"/>
    <w:rsid w:val="00987851"/>
    <w:rsid w:val="0099087E"/>
    <w:rsid w:val="009928FF"/>
    <w:rsid w:val="009931E0"/>
    <w:rsid w:val="00994C27"/>
    <w:rsid w:val="00997132"/>
    <w:rsid w:val="00997EF1"/>
    <w:rsid w:val="009A0AD2"/>
    <w:rsid w:val="009A147C"/>
    <w:rsid w:val="009A279D"/>
    <w:rsid w:val="009A2EE3"/>
    <w:rsid w:val="009A3170"/>
    <w:rsid w:val="009A6BBC"/>
    <w:rsid w:val="009A6E52"/>
    <w:rsid w:val="009A7F06"/>
    <w:rsid w:val="009B097E"/>
    <w:rsid w:val="009B1B2D"/>
    <w:rsid w:val="009B4F7C"/>
    <w:rsid w:val="009B63E0"/>
    <w:rsid w:val="009B77FE"/>
    <w:rsid w:val="009B7A60"/>
    <w:rsid w:val="009C131B"/>
    <w:rsid w:val="009C15EC"/>
    <w:rsid w:val="009C3F71"/>
    <w:rsid w:val="009C596E"/>
    <w:rsid w:val="009C5B8E"/>
    <w:rsid w:val="009C68D1"/>
    <w:rsid w:val="009C775D"/>
    <w:rsid w:val="009C7B96"/>
    <w:rsid w:val="009C7E8B"/>
    <w:rsid w:val="009D2626"/>
    <w:rsid w:val="009D2F6F"/>
    <w:rsid w:val="009D424F"/>
    <w:rsid w:val="009D4313"/>
    <w:rsid w:val="009D50FA"/>
    <w:rsid w:val="009D5528"/>
    <w:rsid w:val="009D5C87"/>
    <w:rsid w:val="009D6129"/>
    <w:rsid w:val="009E174A"/>
    <w:rsid w:val="009E198A"/>
    <w:rsid w:val="009E3885"/>
    <w:rsid w:val="009E4CC7"/>
    <w:rsid w:val="009E571A"/>
    <w:rsid w:val="009E5B5A"/>
    <w:rsid w:val="009E7910"/>
    <w:rsid w:val="009F10F4"/>
    <w:rsid w:val="009F36CE"/>
    <w:rsid w:val="009F47ED"/>
    <w:rsid w:val="009F7183"/>
    <w:rsid w:val="00A0075C"/>
    <w:rsid w:val="00A05D2E"/>
    <w:rsid w:val="00A07507"/>
    <w:rsid w:val="00A10760"/>
    <w:rsid w:val="00A1195D"/>
    <w:rsid w:val="00A14203"/>
    <w:rsid w:val="00A15510"/>
    <w:rsid w:val="00A17705"/>
    <w:rsid w:val="00A17A74"/>
    <w:rsid w:val="00A17B78"/>
    <w:rsid w:val="00A20636"/>
    <w:rsid w:val="00A20EB5"/>
    <w:rsid w:val="00A216F0"/>
    <w:rsid w:val="00A218E3"/>
    <w:rsid w:val="00A22BC1"/>
    <w:rsid w:val="00A259D0"/>
    <w:rsid w:val="00A3420F"/>
    <w:rsid w:val="00A344D4"/>
    <w:rsid w:val="00A3545B"/>
    <w:rsid w:val="00A355D9"/>
    <w:rsid w:val="00A35FAE"/>
    <w:rsid w:val="00A37868"/>
    <w:rsid w:val="00A405F6"/>
    <w:rsid w:val="00A40E32"/>
    <w:rsid w:val="00A43659"/>
    <w:rsid w:val="00A43811"/>
    <w:rsid w:val="00A447B1"/>
    <w:rsid w:val="00A466A7"/>
    <w:rsid w:val="00A473A5"/>
    <w:rsid w:val="00A52AE8"/>
    <w:rsid w:val="00A53513"/>
    <w:rsid w:val="00A54BFF"/>
    <w:rsid w:val="00A54D31"/>
    <w:rsid w:val="00A56610"/>
    <w:rsid w:val="00A60E34"/>
    <w:rsid w:val="00A60FC0"/>
    <w:rsid w:val="00A6120A"/>
    <w:rsid w:val="00A62DBB"/>
    <w:rsid w:val="00A65251"/>
    <w:rsid w:val="00A715D1"/>
    <w:rsid w:val="00A71976"/>
    <w:rsid w:val="00A72062"/>
    <w:rsid w:val="00A722E7"/>
    <w:rsid w:val="00A81F67"/>
    <w:rsid w:val="00A824EF"/>
    <w:rsid w:val="00A836BE"/>
    <w:rsid w:val="00A84775"/>
    <w:rsid w:val="00A85CD4"/>
    <w:rsid w:val="00A8716E"/>
    <w:rsid w:val="00A87708"/>
    <w:rsid w:val="00A87B03"/>
    <w:rsid w:val="00A9448B"/>
    <w:rsid w:val="00A945C3"/>
    <w:rsid w:val="00A95898"/>
    <w:rsid w:val="00A96618"/>
    <w:rsid w:val="00AA14F0"/>
    <w:rsid w:val="00AA2883"/>
    <w:rsid w:val="00AA48F2"/>
    <w:rsid w:val="00AA5891"/>
    <w:rsid w:val="00AA59B9"/>
    <w:rsid w:val="00AA67D2"/>
    <w:rsid w:val="00AA6FDD"/>
    <w:rsid w:val="00AB142F"/>
    <w:rsid w:val="00AB2286"/>
    <w:rsid w:val="00AC0650"/>
    <w:rsid w:val="00AC21AE"/>
    <w:rsid w:val="00AC2AE5"/>
    <w:rsid w:val="00AC5E31"/>
    <w:rsid w:val="00AC6058"/>
    <w:rsid w:val="00AC654B"/>
    <w:rsid w:val="00AD1EA0"/>
    <w:rsid w:val="00AD66A7"/>
    <w:rsid w:val="00AD78F1"/>
    <w:rsid w:val="00AD7B63"/>
    <w:rsid w:val="00AE5BD4"/>
    <w:rsid w:val="00AF1A93"/>
    <w:rsid w:val="00AF1D9E"/>
    <w:rsid w:val="00AF29B9"/>
    <w:rsid w:val="00AF35EB"/>
    <w:rsid w:val="00AF439E"/>
    <w:rsid w:val="00AF566A"/>
    <w:rsid w:val="00AF6003"/>
    <w:rsid w:val="00AF6FDB"/>
    <w:rsid w:val="00B00F75"/>
    <w:rsid w:val="00B01119"/>
    <w:rsid w:val="00B03C81"/>
    <w:rsid w:val="00B041B1"/>
    <w:rsid w:val="00B068A7"/>
    <w:rsid w:val="00B07198"/>
    <w:rsid w:val="00B10828"/>
    <w:rsid w:val="00B1095E"/>
    <w:rsid w:val="00B1098E"/>
    <w:rsid w:val="00B12126"/>
    <w:rsid w:val="00B1330B"/>
    <w:rsid w:val="00B13CEB"/>
    <w:rsid w:val="00B14C5F"/>
    <w:rsid w:val="00B14CD1"/>
    <w:rsid w:val="00B152A3"/>
    <w:rsid w:val="00B15FE6"/>
    <w:rsid w:val="00B16A84"/>
    <w:rsid w:val="00B208A5"/>
    <w:rsid w:val="00B209FD"/>
    <w:rsid w:val="00B20BA5"/>
    <w:rsid w:val="00B2257A"/>
    <w:rsid w:val="00B238CF"/>
    <w:rsid w:val="00B2708D"/>
    <w:rsid w:val="00B27652"/>
    <w:rsid w:val="00B31327"/>
    <w:rsid w:val="00B31413"/>
    <w:rsid w:val="00B316C3"/>
    <w:rsid w:val="00B31771"/>
    <w:rsid w:val="00B3385B"/>
    <w:rsid w:val="00B35126"/>
    <w:rsid w:val="00B36805"/>
    <w:rsid w:val="00B36C25"/>
    <w:rsid w:val="00B37AD4"/>
    <w:rsid w:val="00B4163A"/>
    <w:rsid w:val="00B44FBE"/>
    <w:rsid w:val="00B45481"/>
    <w:rsid w:val="00B45D9F"/>
    <w:rsid w:val="00B462E2"/>
    <w:rsid w:val="00B50DCB"/>
    <w:rsid w:val="00B5302C"/>
    <w:rsid w:val="00B56B11"/>
    <w:rsid w:val="00B57966"/>
    <w:rsid w:val="00B6020D"/>
    <w:rsid w:val="00B60684"/>
    <w:rsid w:val="00B62A7A"/>
    <w:rsid w:val="00B65193"/>
    <w:rsid w:val="00B66FA4"/>
    <w:rsid w:val="00B70C05"/>
    <w:rsid w:val="00B72144"/>
    <w:rsid w:val="00B72468"/>
    <w:rsid w:val="00B7271F"/>
    <w:rsid w:val="00B728D7"/>
    <w:rsid w:val="00B72D79"/>
    <w:rsid w:val="00B73847"/>
    <w:rsid w:val="00B7389D"/>
    <w:rsid w:val="00B73B04"/>
    <w:rsid w:val="00B75194"/>
    <w:rsid w:val="00B7544E"/>
    <w:rsid w:val="00B75B33"/>
    <w:rsid w:val="00B75C86"/>
    <w:rsid w:val="00B7617F"/>
    <w:rsid w:val="00B8020B"/>
    <w:rsid w:val="00B832FD"/>
    <w:rsid w:val="00B86DEF"/>
    <w:rsid w:val="00B8764F"/>
    <w:rsid w:val="00B90E5F"/>
    <w:rsid w:val="00B90E83"/>
    <w:rsid w:val="00B910E9"/>
    <w:rsid w:val="00B91A25"/>
    <w:rsid w:val="00B92533"/>
    <w:rsid w:val="00B93139"/>
    <w:rsid w:val="00B9523A"/>
    <w:rsid w:val="00B95565"/>
    <w:rsid w:val="00B96D70"/>
    <w:rsid w:val="00B972D6"/>
    <w:rsid w:val="00BA166D"/>
    <w:rsid w:val="00BA2355"/>
    <w:rsid w:val="00BA34C3"/>
    <w:rsid w:val="00BA4D01"/>
    <w:rsid w:val="00BA5160"/>
    <w:rsid w:val="00BA6E6B"/>
    <w:rsid w:val="00BB1A2B"/>
    <w:rsid w:val="00BB1D98"/>
    <w:rsid w:val="00BB42DF"/>
    <w:rsid w:val="00BB440F"/>
    <w:rsid w:val="00BB6B65"/>
    <w:rsid w:val="00BB6EA2"/>
    <w:rsid w:val="00BB74F3"/>
    <w:rsid w:val="00BB7863"/>
    <w:rsid w:val="00BC0160"/>
    <w:rsid w:val="00BC0484"/>
    <w:rsid w:val="00BC0676"/>
    <w:rsid w:val="00BC1C36"/>
    <w:rsid w:val="00BC34FF"/>
    <w:rsid w:val="00BC3E75"/>
    <w:rsid w:val="00BC3EFF"/>
    <w:rsid w:val="00BC3FD3"/>
    <w:rsid w:val="00BC4B80"/>
    <w:rsid w:val="00BC5945"/>
    <w:rsid w:val="00BC5CAC"/>
    <w:rsid w:val="00BC624C"/>
    <w:rsid w:val="00BC6357"/>
    <w:rsid w:val="00BC7252"/>
    <w:rsid w:val="00BC7DF5"/>
    <w:rsid w:val="00BD1C9A"/>
    <w:rsid w:val="00BD2BDF"/>
    <w:rsid w:val="00BD479D"/>
    <w:rsid w:val="00BD4F1D"/>
    <w:rsid w:val="00BD59D8"/>
    <w:rsid w:val="00BD5A34"/>
    <w:rsid w:val="00BD5C18"/>
    <w:rsid w:val="00BD5DD2"/>
    <w:rsid w:val="00BE02C9"/>
    <w:rsid w:val="00BE174F"/>
    <w:rsid w:val="00BE214F"/>
    <w:rsid w:val="00BE2219"/>
    <w:rsid w:val="00BE31B5"/>
    <w:rsid w:val="00BE37AC"/>
    <w:rsid w:val="00BE3ED3"/>
    <w:rsid w:val="00BE4B0D"/>
    <w:rsid w:val="00BE6142"/>
    <w:rsid w:val="00BE7EE7"/>
    <w:rsid w:val="00BF07AF"/>
    <w:rsid w:val="00BF0A1A"/>
    <w:rsid w:val="00BF0C95"/>
    <w:rsid w:val="00BF21F9"/>
    <w:rsid w:val="00BF50EB"/>
    <w:rsid w:val="00C01614"/>
    <w:rsid w:val="00C028D2"/>
    <w:rsid w:val="00C06E5E"/>
    <w:rsid w:val="00C07B80"/>
    <w:rsid w:val="00C10DE1"/>
    <w:rsid w:val="00C12088"/>
    <w:rsid w:val="00C12357"/>
    <w:rsid w:val="00C145B0"/>
    <w:rsid w:val="00C14A2E"/>
    <w:rsid w:val="00C16149"/>
    <w:rsid w:val="00C162BD"/>
    <w:rsid w:val="00C16781"/>
    <w:rsid w:val="00C17BAB"/>
    <w:rsid w:val="00C20611"/>
    <w:rsid w:val="00C2243D"/>
    <w:rsid w:val="00C22719"/>
    <w:rsid w:val="00C230E4"/>
    <w:rsid w:val="00C23A0A"/>
    <w:rsid w:val="00C23ACA"/>
    <w:rsid w:val="00C23CB3"/>
    <w:rsid w:val="00C24AA8"/>
    <w:rsid w:val="00C267FC"/>
    <w:rsid w:val="00C27EB9"/>
    <w:rsid w:val="00C318D0"/>
    <w:rsid w:val="00C31C2B"/>
    <w:rsid w:val="00C320A0"/>
    <w:rsid w:val="00C33361"/>
    <w:rsid w:val="00C36D50"/>
    <w:rsid w:val="00C37887"/>
    <w:rsid w:val="00C40EE0"/>
    <w:rsid w:val="00C42FB5"/>
    <w:rsid w:val="00C434EC"/>
    <w:rsid w:val="00C45BE1"/>
    <w:rsid w:val="00C50D5D"/>
    <w:rsid w:val="00C50F82"/>
    <w:rsid w:val="00C51590"/>
    <w:rsid w:val="00C52016"/>
    <w:rsid w:val="00C522C9"/>
    <w:rsid w:val="00C5530C"/>
    <w:rsid w:val="00C55370"/>
    <w:rsid w:val="00C55C85"/>
    <w:rsid w:val="00C56B25"/>
    <w:rsid w:val="00C572D2"/>
    <w:rsid w:val="00C6049D"/>
    <w:rsid w:val="00C62516"/>
    <w:rsid w:val="00C6449C"/>
    <w:rsid w:val="00C647C4"/>
    <w:rsid w:val="00C6653C"/>
    <w:rsid w:val="00C66B01"/>
    <w:rsid w:val="00C6701A"/>
    <w:rsid w:val="00C673F0"/>
    <w:rsid w:val="00C67C75"/>
    <w:rsid w:val="00C7044D"/>
    <w:rsid w:val="00C710A3"/>
    <w:rsid w:val="00C738CE"/>
    <w:rsid w:val="00C768E2"/>
    <w:rsid w:val="00C774BD"/>
    <w:rsid w:val="00C77609"/>
    <w:rsid w:val="00C80808"/>
    <w:rsid w:val="00C80AE3"/>
    <w:rsid w:val="00C81DB4"/>
    <w:rsid w:val="00C81EC7"/>
    <w:rsid w:val="00C82830"/>
    <w:rsid w:val="00C833C2"/>
    <w:rsid w:val="00C83872"/>
    <w:rsid w:val="00C85873"/>
    <w:rsid w:val="00C87125"/>
    <w:rsid w:val="00C90E62"/>
    <w:rsid w:val="00C915E4"/>
    <w:rsid w:val="00C92F1B"/>
    <w:rsid w:val="00C93218"/>
    <w:rsid w:val="00C93574"/>
    <w:rsid w:val="00C94473"/>
    <w:rsid w:val="00C94A4F"/>
    <w:rsid w:val="00C94FCE"/>
    <w:rsid w:val="00C956B5"/>
    <w:rsid w:val="00C9591A"/>
    <w:rsid w:val="00C95D9A"/>
    <w:rsid w:val="00C966D4"/>
    <w:rsid w:val="00C96F49"/>
    <w:rsid w:val="00CA1530"/>
    <w:rsid w:val="00CA31FF"/>
    <w:rsid w:val="00CA540A"/>
    <w:rsid w:val="00CA59E9"/>
    <w:rsid w:val="00CA5F72"/>
    <w:rsid w:val="00CA60FB"/>
    <w:rsid w:val="00CA7CE5"/>
    <w:rsid w:val="00CA7D67"/>
    <w:rsid w:val="00CB0008"/>
    <w:rsid w:val="00CB0A41"/>
    <w:rsid w:val="00CB191A"/>
    <w:rsid w:val="00CB2330"/>
    <w:rsid w:val="00CB3404"/>
    <w:rsid w:val="00CB4C4A"/>
    <w:rsid w:val="00CB62F0"/>
    <w:rsid w:val="00CB75C0"/>
    <w:rsid w:val="00CC099F"/>
    <w:rsid w:val="00CC1439"/>
    <w:rsid w:val="00CC2242"/>
    <w:rsid w:val="00CC2859"/>
    <w:rsid w:val="00CC2896"/>
    <w:rsid w:val="00CC2C7F"/>
    <w:rsid w:val="00CC2E5F"/>
    <w:rsid w:val="00CC4BE9"/>
    <w:rsid w:val="00CC615A"/>
    <w:rsid w:val="00CD04BB"/>
    <w:rsid w:val="00CD1481"/>
    <w:rsid w:val="00CD1EF9"/>
    <w:rsid w:val="00CD2EE4"/>
    <w:rsid w:val="00CD6D21"/>
    <w:rsid w:val="00CD7049"/>
    <w:rsid w:val="00CD72E4"/>
    <w:rsid w:val="00CE1787"/>
    <w:rsid w:val="00CE2B0C"/>
    <w:rsid w:val="00CE2D1A"/>
    <w:rsid w:val="00CE2E1F"/>
    <w:rsid w:val="00CE4924"/>
    <w:rsid w:val="00CE4F26"/>
    <w:rsid w:val="00CE559E"/>
    <w:rsid w:val="00CF3079"/>
    <w:rsid w:val="00CF4E88"/>
    <w:rsid w:val="00CF6903"/>
    <w:rsid w:val="00D0096A"/>
    <w:rsid w:val="00D01E36"/>
    <w:rsid w:val="00D02CB6"/>
    <w:rsid w:val="00D06A12"/>
    <w:rsid w:val="00D06D4A"/>
    <w:rsid w:val="00D07A4A"/>
    <w:rsid w:val="00D10E6A"/>
    <w:rsid w:val="00D119F5"/>
    <w:rsid w:val="00D14074"/>
    <w:rsid w:val="00D15E8D"/>
    <w:rsid w:val="00D1615D"/>
    <w:rsid w:val="00D21C56"/>
    <w:rsid w:val="00D21EC8"/>
    <w:rsid w:val="00D22F96"/>
    <w:rsid w:val="00D23071"/>
    <w:rsid w:val="00D2435D"/>
    <w:rsid w:val="00D251CD"/>
    <w:rsid w:val="00D25BDD"/>
    <w:rsid w:val="00D25ECE"/>
    <w:rsid w:val="00D26598"/>
    <w:rsid w:val="00D266CA"/>
    <w:rsid w:val="00D26B9F"/>
    <w:rsid w:val="00D30D49"/>
    <w:rsid w:val="00D328AA"/>
    <w:rsid w:val="00D33161"/>
    <w:rsid w:val="00D33283"/>
    <w:rsid w:val="00D3357C"/>
    <w:rsid w:val="00D33CAF"/>
    <w:rsid w:val="00D34074"/>
    <w:rsid w:val="00D35370"/>
    <w:rsid w:val="00D36572"/>
    <w:rsid w:val="00D36A95"/>
    <w:rsid w:val="00D3719F"/>
    <w:rsid w:val="00D37500"/>
    <w:rsid w:val="00D375E2"/>
    <w:rsid w:val="00D40EAA"/>
    <w:rsid w:val="00D4307A"/>
    <w:rsid w:val="00D45133"/>
    <w:rsid w:val="00D4610E"/>
    <w:rsid w:val="00D462BF"/>
    <w:rsid w:val="00D534C3"/>
    <w:rsid w:val="00D56B0C"/>
    <w:rsid w:val="00D572A1"/>
    <w:rsid w:val="00D62A1C"/>
    <w:rsid w:val="00D62E2C"/>
    <w:rsid w:val="00D649E7"/>
    <w:rsid w:val="00D6611B"/>
    <w:rsid w:val="00D674BF"/>
    <w:rsid w:val="00D70B01"/>
    <w:rsid w:val="00D7127A"/>
    <w:rsid w:val="00D724FA"/>
    <w:rsid w:val="00D73456"/>
    <w:rsid w:val="00D73D25"/>
    <w:rsid w:val="00D7665B"/>
    <w:rsid w:val="00D76BAA"/>
    <w:rsid w:val="00D85751"/>
    <w:rsid w:val="00D86CD1"/>
    <w:rsid w:val="00D8779C"/>
    <w:rsid w:val="00D879FE"/>
    <w:rsid w:val="00D91204"/>
    <w:rsid w:val="00D941C7"/>
    <w:rsid w:val="00D946E8"/>
    <w:rsid w:val="00D94E8D"/>
    <w:rsid w:val="00D96674"/>
    <w:rsid w:val="00D96E21"/>
    <w:rsid w:val="00DA19E5"/>
    <w:rsid w:val="00DA3A43"/>
    <w:rsid w:val="00DA4FAD"/>
    <w:rsid w:val="00DA502E"/>
    <w:rsid w:val="00DA5486"/>
    <w:rsid w:val="00DA5A0A"/>
    <w:rsid w:val="00DA5E39"/>
    <w:rsid w:val="00DA700C"/>
    <w:rsid w:val="00DA7597"/>
    <w:rsid w:val="00DB4601"/>
    <w:rsid w:val="00DB695E"/>
    <w:rsid w:val="00DB7B91"/>
    <w:rsid w:val="00DC0637"/>
    <w:rsid w:val="00DC2103"/>
    <w:rsid w:val="00DC3939"/>
    <w:rsid w:val="00DC596F"/>
    <w:rsid w:val="00DC6268"/>
    <w:rsid w:val="00DC6C20"/>
    <w:rsid w:val="00DC6D9D"/>
    <w:rsid w:val="00DC7520"/>
    <w:rsid w:val="00DD119B"/>
    <w:rsid w:val="00DD1662"/>
    <w:rsid w:val="00DD25BD"/>
    <w:rsid w:val="00DD41DA"/>
    <w:rsid w:val="00DD5D0B"/>
    <w:rsid w:val="00DE10DA"/>
    <w:rsid w:val="00DE288C"/>
    <w:rsid w:val="00DE3064"/>
    <w:rsid w:val="00DE641A"/>
    <w:rsid w:val="00DE6FA2"/>
    <w:rsid w:val="00DF2087"/>
    <w:rsid w:val="00DF44A9"/>
    <w:rsid w:val="00DF4D81"/>
    <w:rsid w:val="00DF4E32"/>
    <w:rsid w:val="00E00E44"/>
    <w:rsid w:val="00E030CF"/>
    <w:rsid w:val="00E03975"/>
    <w:rsid w:val="00E046B0"/>
    <w:rsid w:val="00E05ED6"/>
    <w:rsid w:val="00E073C6"/>
    <w:rsid w:val="00E10B3F"/>
    <w:rsid w:val="00E12094"/>
    <w:rsid w:val="00E144E7"/>
    <w:rsid w:val="00E14804"/>
    <w:rsid w:val="00E205B5"/>
    <w:rsid w:val="00E21657"/>
    <w:rsid w:val="00E23CC2"/>
    <w:rsid w:val="00E23D94"/>
    <w:rsid w:val="00E23DB4"/>
    <w:rsid w:val="00E23F64"/>
    <w:rsid w:val="00E25771"/>
    <w:rsid w:val="00E26200"/>
    <w:rsid w:val="00E266B9"/>
    <w:rsid w:val="00E305F9"/>
    <w:rsid w:val="00E32545"/>
    <w:rsid w:val="00E3438C"/>
    <w:rsid w:val="00E37025"/>
    <w:rsid w:val="00E3723C"/>
    <w:rsid w:val="00E37A39"/>
    <w:rsid w:val="00E37BA0"/>
    <w:rsid w:val="00E37EA0"/>
    <w:rsid w:val="00E4016C"/>
    <w:rsid w:val="00E413CC"/>
    <w:rsid w:val="00E41D47"/>
    <w:rsid w:val="00E41E23"/>
    <w:rsid w:val="00E4241D"/>
    <w:rsid w:val="00E4397E"/>
    <w:rsid w:val="00E43DE5"/>
    <w:rsid w:val="00E44822"/>
    <w:rsid w:val="00E46763"/>
    <w:rsid w:val="00E5389D"/>
    <w:rsid w:val="00E54515"/>
    <w:rsid w:val="00E555EB"/>
    <w:rsid w:val="00E61916"/>
    <w:rsid w:val="00E6337F"/>
    <w:rsid w:val="00E634BF"/>
    <w:rsid w:val="00E6363A"/>
    <w:rsid w:val="00E67593"/>
    <w:rsid w:val="00E67A3C"/>
    <w:rsid w:val="00E67F34"/>
    <w:rsid w:val="00E737AB"/>
    <w:rsid w:val="00E74106"/>
    <w:rsid w:val="00E7415B"/>
    <w:rsid w:val="00E74AE3"/>
    <w:rsid w:val="00E816D6"/>
    <w:rsid w:val="00E83D54"/>
    <w:rsid w:val="00E84834"/>
    <w:rsid w:val="00E86E28"/>
    <w:rsid w:val="00E87124"/>
    <w:rsid w:val="00E9177D"/>
    <w:rsid w:val="00E91A2C"/>
    <w:rsid w:val="00E92281"/>
    <w:rsid w:val="00E942AE"/>
    <w:rsid w:val="00E94EAB"/>
    <w:rsid w:val="00E96F33"/>
    <w:rsid w:val="00E97668"/>
    <w:rsid w:val="00E9767B"/>
    <w:rsid w:val="00E97920"/>
    <w:rsid w:val="00EA004C"/>
    <w:rsid w:val="00EA033E"/>
    <w:rsid w:val="00EA1B98"/>
    <w:rsid w:val="00EA31BA"/>
    <w:rsid w:val="00EA3B8C"/>
    <w:rsid w:val="00EA419F"/>
    <w:rsid w:val="00EA4DB7"/>
    <w:rsid w:val="00EA62FA"/>
    <w:rsid w:val="00EB1487"/>
    <w:rsid w:val="00EB18D8"/>
    <w:rsid w:val="00EB25F8"/>
    <w:rsid w:val="00EB2F11"/>
    <w:rsid w:val="00EB5922"/>
    <w:rsid w:val="00EC1781"/>
    <w:rsid w:val="00EC2046"/>
    <w:rsid w:val="00EC57AE"/>
    <w:rsid w:val="00EC6D49"/>
    <w:rsid w:val="00EC7947"/>
    <w:rsid w:val="00EC7AEB"/>
    <w:rsid w:val="00ED0917"/>
    <w:rsid w:val="00ED3B77"/>
    <w:rsid w:val="00ED3C0C"/>
    <w:rsid w:val="00ED69AE"/>
    <w:rsid w:val="00ED6CB7"/>
    <w:rsid w:val="00ED6FBD"/>
    <w:rsid w:val="00ED7084"/>
    <w:rsid w:val="00EE05C0"/>
    <w:rsid w:val="00EE4993"/>
    <w:rsid w:val="00EE6312"/>
    <w:rsid w:val="00EF0A00"/>
    <w:rsid w:val="00EF3E9A"/>
    <w:rsid w:val="00EF4A5F"/>
    <w:rsid w:val="00EF71CD"/>
    <w:rsid w:val="00F00115"/>
    <w:rsid w:val="00F00B0E"/>
    <w:rsid w:val="00F02B18"/>
    <w:rsid w:val="00F03ADD"/>
    <w:rsid w:val="00F047E5"/>
    <w:rsid w:val="00F04B84"/>
    <w:rsid w:val="00F05052"/>
    <w:rsid w:val="00F051CA"/>
    <w:rsid w:val="00F05A51"/>
    <w:rsid w:val="00F069E6"/>
    <w:rsid w:val="00F071FF"/>
    <w:rsid w:val="00F12422"/>
    <w:rsid w:val="00F13352"/>
    <w:rsid w:val="00F15297"/>
    <w:rsid w:val="00F15FB5"/>
    <w:rsid w:val="00F16D6E"/>
    <w:rsid w:val="00F1706D"/>
    <w:rsid w:val="00F177BD"/>
    <w:rsid w:val="00F1783C"/>
    <w:rsid w:val="00F17DD0"/>
    <w:rsid w:val="00F20694"/>
    <w:rsid w:val="00F2425B"/>
    <w:rsid w:val="00F328BA"/>
    <w:rsid w:val="00F32DC9"/>
    <w:rsid w:val="00F332B3"/>
    <w:rsid w:val="00F35164"/>
    <w:rsid w:val="00F36A57"/>
    <w:rsid w:val="00F371E1"/>
    <w:rsid w:val="00F3744C"/>
    <w:rsid w:val="00F41A25"/>
    <w:rsid w:val="00F50EE9"/>
    <w:rsid w:val="00F52190"/>
    <w:rsid w:val="00F52E35"/>
    <w:rsid w:val="00F52EA3"/>
    <w:rsid w:val="00F540C9"/>
    <w:rsid w:val="00F54655"/>
    <w:rsid w:val="00F60BBF"/>
    <w:rsid w:val="00F62614"/>
    <w:rsid w:val="00F62C42"/>
    <w:rsid w:val="00F63DAA"/>
    <w:rsid w:val="00F64CE9"/>
    <w:rsid w:val="00F70EFE"/>
    <w:rsid w:val="00F717EC"/>
    <w:rsid w:val="00F74633"/>
    <w:rsid w:val="00F749C1"/>
    <w:rsid w:val="00F74D3C"/>
    <w:rsid w:val="00F75544"/>
    <w:rsid w:val="00F76602"/>
    <w:rsid w:val="00F77AB6"/>
    <w:rsid w:val="00F77BF8"/>
    <w:rsid w:val="00F77DD0"/>
    <w:rsid w:val="00F8039A"/>
    <w:rsid w:val="00F809CD"/>
    <w:rsid w:val="00F80E6B"/>
    <w:rsid w:val="00F839EC"/>
    <w:rsid w:val="00F83F54"/>
    <w:rsid w:val="00F8658F"/>
    <w:rsid w:val="00F909D4"/>
    <w:rsid w:val="00F93BEC"/>
    <w:rsid w:val="00F96081"/>
    <w:rsid w:val="00F96DA5"/>
    <w:rsid w:val="00F975B9"/>
    <w:rsid w:val="00F9797A"/>
    <w:rsid w:val="00FA2274"/>
    <w:rsid w:val="00FA290E"/>
    <w:rsid w:val="00FA3D87"/>
    <w:rsid w:val="00FA4274"/>
    <w:rsid w:val="00FA4D81"/>
    <w:rsid w:val="00FA599B"/>
    <w:rsid w:val="00FA6DCA"/>
    <w:rsid w:val="00FA776C"/>
    <w:rsid w:val="00FB27B8"/>
    <w:rsid w:val="00FB5B75"/>
    <w:rsid w:val="00FB7338"/>
    <w:rsid w:val="00FC19F2"/>
    <w:rsid w:val="00FC29FD"/>
    <w:rsid w:val="00FC46E8"/>
    <w:rsid w:val="00FC4C00"/>
    <w:rsid w:val="00FC5780"/>
    <w:rsid w:val="00FC7945"/>
    <w:rsid w:val="00FD2C5F"/>
    <w:rsid w:val="00FD4D01"/>
    <w:rsid w:val="00FD6800"/>
    <w:rsid w:val="00FD716A"/>
    <w:rsid w:val="00FD7401"/>
    <w:rsid w:val="00FD7E1A"/>
    <w:rsid w:val="00FE1265"/>
    <w:rsid w:val="00FE4CF4"/>
    <w:rsid w:val="00FF0785"/>
    <w:rsid w:val="00FF1E6D"/>
    <w:rsid w:val="00FF3195"/>
    <w:rsid w:val="00FF4E4B"/>
    <w:rsid w:val="00FF5EE3"/>
    <w:rsid w:val="00FF7114"/>
    <w:rsid w:val="01113E86"/>
    <w:rsid w:val="01191182"/>
    <w:rsid w:val="024B0D7C"/>
    <w:rsid w:val="08DE5DEC"/>
    <w:rsid w:val="08FC0713"/>
    <w:rsid w:val="095B55B9"/>
    <w:rsid w:val="09C01FBF"/>
    <w:rsid w:val="0A362BD2"/>
    <w:rsid w:val="0C6C6367"/>
    <w:rsid w:val="0EF54CF1"/>
    <w:rsid w:val="143E35E2"/>
    <w:rsid w:val="17FD65AC"/>
    <w:rsid w:val="18AD1264"/>
    <w:rsid w:val="1B265B34"/>
    <w:rsid w:val="1B4C1E1A"/>
    <w:rsid w:val="1E1E6B8E"/>
    <w:rsid w:val="20977C6D"/>
    <w:rsid w:val="20B82307"/>
    <w:rsid w:val="22BF0482"/>
    <w:rsid w:val="279C58E3"/>
    <w:rsid w:val="281E2820"/>
    <w:rsid w:val="2A20473E"/>
    <w:rsid w:val="2A574D77"/>
    <w:rsid w:val="2F1510F4"/>
    <w:rsid w:val="2F1F521C"/>
    <w:rsid w:val="3118459C"/>
    <w:rsid w:val="35DF601C"/>
    <w:rsid w:val="37F66580"/>
    <w:rsid w:val="3A7E1E38"/>
    <w:rsid w:val="3AFB11D2"/>
    <w:rsid w:val="3B9C3CF6"/>
    <w:rsid w:val="3DB7781E"/>
    <w:rsid w:val="3EE66965"/>
    <w:rsid w:val="3F6850A4"/>
    <w:rsid w:val="40220ADF"/>
    <w:rsid w:val="4364309C"/>
    <w:rsid w:val="4929464F"/>
    <w:rsid w:val="4937303A"/>
    <w:rsid w:val="49B55F4A"/>
    <w:rsid w:val="4A3E4E3B"/>
    <w:rsid w:val="500153F3"/>
    <w:rsid w:val="50897E78"/>
    <w:rsid w:val="5275440F"/>
    <w:rsid w:val="536C098A"/>
    <w:rsid w:val="548F5521"/>
    <w:rsid w:val="562C5E09"/>
    <w:rsid w:val="59434CC0"/>
    <w:rsid w:val="5B1A04C8"/>
    <w:rsid w:val="5B6C4E32"/>
    <w:rsid w:val="5D373386"/>
    <w:rsid w:val="60542E48"/>
    <w:rsid w:val="615C5A4F"/>
    <w:rsid w:val="61B875A9"/>
    <w:rsid w:val="6225615D"/>
    <w:rsid w:val="63D84F93"/>
    <w:rsid w:val="64492BE6"/>
    <w:rsid w:val="66251A98"/>
    <w:rsid w:val="67D94944"/>
    <w:rsid w:val="683F7F39"/>
    <w:rsid w:val="697E73F5"/>
    <w:rsid w:val="6A5B510D"/>
    <w:rsid w:val="6AB05B7D"/>
    <w:rsid w:val="6B6611C9"/>
    <w:rsid w:val="6F797FFF"/>
    <w:rsid w:val="6FA71EC7"/>
    <w:rsid w:val="6FAB2D31"/>
    <w:rsid w:val="714B30C6"/>
    <w:rsid w:val="73667774"/>
    <w:rsid w:val="740D1C1E"/>
    <w:rsid w:val="751D2A5C"/>
    <w:rsid w:val="765A4145"/>
    <w:rsid w:val="76937B96"/>
    <w:rsid w:val="7F442DA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before="100" w:beforeAutospacing="1" w:after="100" w:afterAutospacing="1"/>
      <w:jc w:val="left"/>
      <w:outlineLvl w:val="0"/>
    </w:pPr>
    <w:rPr>
      <w:rFonts w:hint="eastAsia" w:ascii="宋体" w:hAnsi="宋体" w:eastAsia="宋体" w:cs="宋体"/>
      <w:b/>
      <w:kern w:val="44"/>
      <w:sz w:val="48"/>
      <w:szCs w:val="48"/>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qFormat/>
    <w:uiPriority w:val="0"/>
    <w:pPr>
      <w:spacing w:line="0" w:lineRule="atLeast"/>
    </w:pPr>
    <w:rPr>
      <w:rFonts w:eastAsia="楷体_GB2312"/>
      <w:szCs w:val="20"/>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2"/>
    <w:basedOn w:val="1"/>
    <w:qFormat/>
    <w:uiPriority w:val="0"/>
    <w:pPr>
      <w:spacing w:line="0" w:lineRule="atLeast"/>
      <w:jc w:val="center"/>
    </w:pPr>
    <w:rPr>
      <w:rFonts w:eastAsia="楷体_GB2312"/>
      <w:szCs w:val="20"/>
    </w:rPr>
  </w:style>
  <w:style w:type="paragraph" w:styleId="8">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FollowedHyperlink"/>
    <w:basedOn w:val="11"/>
    <w:qFormat/>
    <w:uiPriority w:val="0"/>
    <w:rPr>
      <w:color w:val="800080"/>
      <w:u w:val="single"/>
    </w:rPr>
  </w:style>
  <w:style w:type="character" w:styleId="14">
    <w:name w:val="Hyperlink"/>
    <w:basedOn w:val="11"/>
    <w:qFormat/>
    <w:uiPriority w:val="0"/>
    <w:rPr>
      <w:color w:val="0000FF"/>
      <w:u w:val="single"/>
    </w:rPr>
  </w:style>
  <w:style w:type="character" w:customStyle="1" w:styleId="15">
    <w:name w:val="word"/>
    <w:basedOn w:val="11"/>
    <w:qFormat/>
    <w:uiPriority w:val="0"/>
  </w:style>
  <w:style w:type="paragraph" w:customStyle="1" w:styleId="16">
    <w:name w:val="Table Paragraph"/>
    <w:qFormat/>
    <w:uiPriority w:val="1"/>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DONGLING</Company>
  <Pages>9</Pages>
  <Words>2751</Words>
  <Characters>2935</Characters>
  <Lines>15</Lines>
  <Paragraphs>4</Paragraphs>
  <TotalTime>1</TotalTime>
  <ScaleCrop>false</ScaleCrop>
  <LinksUpToDate>false</LinksUpToDate>
  <CharactersWithSpaces>3033</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2006-04-16T07:34:00Z</dcterms:created>
  <dc:creator>IT</dc:creator>
  <cp:lastModifiedBy>英子</cp:lastModifiedBy>
  <cp:lastPrinted>2023-09-12T03:18:00Z</cp:lastPrinted>
  <dcterms:modified xsi:type="dcterms:W3CDTF">2025-09-22T06:16:56Z</dcterms:modified>
  <dc:title> </dc:title>
  <cp:revision>1644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E720ABBE3E5E4F6C84EA86545FD6E24D_13</vt:lpwstr>
  </property>
  <property fmtid="{D5CDD505-2E9C-101B-9397-08002B2CF9AE}" pid="4" name="KSOTemplateDocerSaveRecord">
    <vt:lpwstr>eyJoZGlkIjoiM2U1NDg1YzNjNTNmYjk4ZjdlYzUyNDc4MTExNmQ0OWQifQ==</vt:lpwstr>
  </property>
</Properties>
</file>