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bookmarkStart ns0:id="9" ns0:name="alt-text-for-figures-and-tables"/>
    <ns0:p>
      <ns0:pPr>
        <ns0:pStyle ns0:val="Heading1"/>
      </ns0:pPr>
      <ns0:r>
        <ns0:t xml:space="preserve">Alt Text for Figures and Tables</ns0:t>
      </ns0:r>
    </ns0:p>
    <ns0:p>
      <ns0:pPr>
        <ns0:pStyle ns0:val="FirstParagraph"/>
      </ns0:pPr>
      <ns0:r>
        <ns0:t xml:space="preserve">Manuscript: Hierarchical Bayesian calibration of mesoscopic models for ultrasound contrast agents from force spectroscopy and acoustic data.</ns0:t>
      </ns0:r>
    </ns0:p>
    <ns0:p>
      <ns0:pPr>
        <ns0:pStyle ns0:val="Heading2"/>
      </ns0:pPr>
      <ns0:r>
        <ns0:t xml:space="preserve">Main manuscript</ns0:t>
      </ns0:r>
    </ns0:p>
    <ns0:p>
      <ns0:pPr>
        <ns0:pStyle ns0:val="BodyText"/>
      </ns0:pPr>
      <ns0:r>
        <ns0:t xml:space="preserve">Figure 1: Four-part overview of the multiscale workflow. Mechanical force-displacement data and acoustic frequency data inform a mesoscopic particle model. DPD simulations generate mechanical and acoustic responses, which are represented by DNN and polynomial surrogates for hierarchical Bayesian calibration. The inferred parameter distributions produce a data-informed encapsulated-microbubble model whose deformation and frequency responses are checked against experiments.</ns0:t>
      </ns0:r>
    </ns0:p>
    <ns0:p>
      <ns0:pPr>
        <ns0:pStyle ns0:val="BodyText"/>
      </ns0:pPr>
      <ns0:r>
        <ns0:t xml:space="preserve">Figure 2: Detailed calibration workflow for six diameter-specific bubble models. The upper branch represents three Definity compression models and the lower branch three SonoVue indentation models. DPD training data feed DNN mechanical surrogates and polynomial acoustic surrogates. Sensitivity analysis motivates removal of the weak nonlinear terms; independent mechanical inference is followed by hierarchical inference that also uses acoustic observations. The resulting reduced-model parameters are returned to the DPD models for validation against the experiments.</ns0:t>
      </ns0:r>
    </ns0:p>
    <ns0:p>
      <ns0:pPr>
        <ns0:pStyle ns0:val="BodyText"/>
      </ns0:pPr>
      <ns0:r>
        <ns0:t xml:space="preserve">Figure 3: Particle-based representations of the two mechanical loading protocols. In SonoVue indentation, equal and opposite axial forces deform the upper and lower poles of a bubble. In Definity compression, a bubble is confined between two parallel particle-based plates that move toward each other.</ns0:t>
      </ns0:r>
    </ns0:p>
    <ns0:p>
      <ns0:pPr>
        <ns0:pStyle ns0:val="BodyText"/>
      </ns0:pPr>
      <ns0:r>
        <ns0:t xml:space="preserve">Figure 4: Validation of the DNN mechanical surrogates on complete DPD curves excluded from training. Representative Definity and SonoVue predictions closely follow the held-out DPD points. Across the six diameters, median relative L2 errors range from 0.92 to 2.55 percent, while the 90th-percentile errors remain below about 4.8 percent.</ns0:t>
      </ns0:r>
    </ns0:p>
    <ns0:p>
      <ns0:pPr>
        <ns0:pStyle ns0:val="BodyText"/>
      </ns0:pPr>
      <ns0:r>
        <ns0:t xml:space="preserve">Figure 5: First-order Sobol sensitivity indices for representative Definity and SonoVue mechanical surrogates. The stretching stiffness k_a and bending stiffness k_b account for nearly all resolved response variance, whereas the four nonlinear elastic coefficients have indices near zero. This supports reducing the inferred membrane model to k_a and k_b in the retained loading regime.</ns0:t>
      </ns0:r>
    </ns0:p>
    <ns0:p>
      <ns0:pPr>
        <ns0:pStyle ns0:val="BodyText"/>
      </ns0:pPr>
      <ns0:r>
        <ns0:t xml:space="preserve">Figure 6: Leave-one-out validation of the polynomial acoustic surrogates. The upper panels compare held-out squared DPD resonance frequencies with polynomial predictions for representative Definity and SonoVue diameters. The lower panels summarize diameter-specific median and 90th-percentile relative errors at all diameters associated with retained acoustic measurements; errors range from 0.9 to 4.9 percent for Definity and from 0.3 to 0.5 percent for SonoVue.</ns0:t>
      </ns0:r>
    </ns0:p>
    <ns0:p>
      <ns0:pPr>
        <ns0:pStyle ns0:val="BodyText"/>
      </ns0:pPr>
      <ns0:r>
        <ns0:t xml:space="preserve">Figure 7: Joint k_a-k_b posterior samples and their one-dimensional marginal densities for Definity and SonoVue. Pale grey spectroscopy-only samples form broad curved ridges, showing that the mechanical data admit many parameter combinations. Colored samples from the hierarchy conditioned on both force spectroscopy and acoustic data cover shorter, more concentrated portions of those ridges while retaining distinct distributions for the three diameters of each agent.</ns0:t>
      </ns0:r>
    </ns0:p>
    <ns0:p>
      <ns0:pPr>
        <ns0:pStyle ns0:val="BodyText"/>
      </ns0:pPr>
      <ns0:r>
        <ns0:t xml:space="preserve">Figure 8: Posterior predictive propagation for the six reduced models. In the upper row, posterior median curves and 90 percent predictive bands remain compatible with the retained linear force spectroscopy data for Definity compression and SonoVue indentation. In the lower row, predicted acoustic frequencies and their intervals are compared with the Definity and SonoVue frequency observations. The Definity predictions are reported at the smaller mechanically calibrated diameters through the shared hierarchy.</ns0:t>
      </ns0:r>
    </ns0:p>
    <ns0:p>
      <ns0:pPr>
        <ns0:pStyle ns0:val="BodyText"/>
      </ns0:pPr>
      <ns0:r>
        <ns0:t xml:space="preserve">Figure 9: Direct DPD consistency checks at the reduced-model maximum-a-posteriori parameter values. The upper panels show that direct Definity compression and SonoVue indentation simulations follow the corresponding experimental data in the retained linear regime. The lower panels compare direct DPD acoustic frequencies for the three diameters of each agent with the available frequency observations, confirming that the calibrated parameter sets retain the intended mechanical and acoustic behavior.</ns0:t>
      </ns0:r>
    </ns0:p>
    <ns0:p>
      <ns0:pPr>
        <ns0:pStyle ns0:val="BodyText"/>
      </ns0:pPr>
      <ns0:r>
        <ns0:t xml:space="preserve">Figure 10: Spectroscopy-only comparison between full- and reduced-model maximum-a-posteriori mechanical responses. Symbols from the full model nearly overlap the reduced-model curves for all three Definity and all three SonoVue diameters, showing that the nonlinear elastic terms make little difference to the fitted response in the present quasi-static linear regime.</ns0:t>
      </ns0:r>
    </ns0:p>
    <ns0:p>
      <ns0:pPr>
        <ns0:pStyle ns0:val="BodyText"/>
      </ns0:pPr>
      <ns0:r>
        <ns0:t xml:space="preserve">Table I: Reduced hierarchical maximum-a-posteriori values of k_a and k_b for the six diameter-specific models. The inferred stretching stiffnesses range from approximately 8,971 to 17,786, while the bending stiffnesses vary more strongly across bubble type and diameter, from approximately 145 to 26,823.</ns0:t>
      </ns0:r>
    </ns0:p>
    <ns0:p>
      <ns0:pPr>
        <ns0:pStyle ns0:val="Heading2"/>
      </ns0:pPr>
      <ns0:r>
        <ns0:t xml:space="preserve">Supplementary material</ns0:t>
      </ns0:r>
    </ns0:p>
    <ns0:p>
      <ns0:pPr>
        <ns0:pStyle ns0:val="BodyText"/>
      </ns0:pPr>
      <ns0:r>
        <ns0:t xml:space="preserve">Figure S1: Experimental force spectroscopy curves used as calibration targets. Three Definity compression datasets report force versus displacement, and three SonoVue indentation datasets report displacement versus force. The curves show the distinct loading ranges retained for the six bubble diameters.</ns0:t>
      </ns0:r>
    </ns0:p>
    <ns0:p>
      <ns0:pPr>
        <ns0:pStyle ns0:val="BodyText"/>
      </ns0:pPr>
      <ns0:r>
        <ns0:t xml:space="preserve">Figure S2: Grouped-holdout validation examples for all six DNN mechanical surrogates. In each panel, the surrogate curve closely tracks a complete DPD curve excluded from training. The agreement holds for the three Definity compression models and the three SonoVue indentation models over their respective loading ranges.</ns0:t>
      </ns0:r>
    </ns0:p>
    <ns0:p>
      <ns0:pPr>
        <ns0:pStyle ns0:val="BodyText"/>
      </ns0:pPr>
      <ns0:r>
        <ns0:t xml:space="preserve">Figure S3: Representative acoustic surrogate construction for Definity and SonoVue. Panels (a) and (b) compare DPD radius-relaxation samples with damped-sine fits. Panels (c) and (d) show the corresponding squared resonance frequencies as functions of k_a together with the quadratic polynomial surrogates and leave-one-out errors.</ns0:t>
      </ns0:r>
    </ns0:p>
    <ns0:p>
      <ns0:pPr>
        <ns0:pStyle ns0:val="BodyText"/>
      </ns0:pPr>
      <ns0:r>
        <ns0:t xml:space="preserve">Table S1: Acoustic observations used in the hierarchy. It contains three SonoVue measurements between 2.6 and 4.0 micrometers and fourteen Definity measurements between 4.68 and 11.20 micrometers. Frequencies generally decrease with increasing diameter, from 3.10 to 1.60 megahertz for SonoVue and from approximately 1.70 to 0.58 megahertz across the Definity range.</ns0:t>
      </ns0:r>
    </ns0:p>
    <ns0:p>
      <ns0:pPr>
        <ns0:pStyle ns0:val="BodyText"/>
      </ns0:pPr>
      <ns0:r>
        <ns0:t xml:space="preserve">Table S2: Grouped-holdout validation errors for all six DNN mechanical surrogates. Median relative L2 errors are 0.92 to 2.09 percent for Definity compression and 1.55 to 2.55 percent for SonoVue indentation, supporting use of the surrogates during inference.</ns0:t>
      </ns0:r>
    </ns0:p>
    <ns0:p>
      <ns0:pPr>
        <ns0:pStyle ns0:val="BodyText"/>
      </ns0:pPr>
      <ns0:r>
        <ns0:t xml:space="preserve">Table S3: Experimental force spectroscopy datasets used for inference. One published curve is retained for each diameter after preprocessing. The likelihood uses 14 to 24 points for the three Definity compression curves and 19 to 29 points for the three SonoVue indentation curves.</ns0:t>
      </ns0:r>
    </ns0:p>
    <ns0:p>
      <ns0:pPr>
        <ns0:pStyle ns0:val="BodyText"/>
      </ns0:pPr>
      <ns0:r>
        <ns0:t xml:space="preserve">Table S4: Prior and hyperprior ranges for the spectroscopy-only full and reduced workflows and for the reduced hierarchy conditioned on mechanical and acoustic observations. The table distinguishes Definity and SonoVue parameter ranges and reports the allowed ranges for elastic parameters, calibration offsets, nonlinear terms where active, and mechanical and acoustic noise amplitudes.</ns0:t>
      </ns0:r>
    </ns0:p>
    <ns0:p>
      <ns0:pPr>
        <ns0:pStyle ns0:val="BodyText"/>
      </ns0:pPr>
      <ns0:r>
        <ns0:t xml:space="preserve">Table S5: Curve-averaged posterior predictive continuous ranked probability scores for spectroscopy-only full and reduced models. Across all six datasets, the two formulations have similar scores; neither formulation is uniformly better for every diameter.</ns0:t>
      </ns0:r>
    </ns0:p>
    <ns0:p>
      <ns0:pPr>
        <ns0:pStyle ns0:val="BodyText"/>
      </ns0:pPr>
      <ns0:r>
        <ns0:t xml:space="preserve">Table S6: Pointwise 90 percent posterior predictive coverage for the spectroscopy-only full and reduced workflows. Coverage is high for every dataset, ranging from 90.9 to 100 percent for Definity and from 93.1 to 96.6 percent for SonoVue.</ns0:t>
      </ns0:r>
    </ns0:p>
    <ns0:p>
      <ns0:pPr>
        <ns0:pStyle ns0:val="BodyText"/>
      </ns0:pPr>
      <ns0:r>
        <ns0:t xml:space="preserve">Table S7: Comparison of natural frequencies obtained from relaxation fits and principal component analysis at all six reduced-model maximum-a-posteriori parameter sets. Absolute relative differences range from 0.5 to 5.9 percent, providing an independent check of the relaxation-based frequency extraction.</ns0:t>
      </ns0:r>
    </ns0:p>
    <ns0:bookmarkEnd ns0:id="9"/>
    <ns0:sectPr>
      <ns0:footnotePr>
        <ns0:numRestart ns0:val="eachSect"/>
      </ns0:footnotePr>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 Text for Figures and Tables</dc:title>
  <dc:creator/>
  <cp:keywords>accessibility; alt text</cp:keywords>
  <dcterms:created xsi:type="dcterms:W3CDTF">2026-06-05T12:22:36Z</dcterms:created>
  <dcterms:modified xsi:type="dcterms:W3CDTF">2026-07-31T09:30:00Z</dcterms:modified>
</cp:coreProperties>
</file>

<file path=docProps/custom.xml><?xml version="1.0" encoding="utf-8"?>
<Properties xmlns="http://schemas.openxmlformats.org/officeDocument/2006/custom-properties" xmlns:vt="http://schemas.openxmlformats.org/officeDocument/2006/docPropsVTypes"/>
</file>