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Microsoft JhengHei" w:hAnsi="Microsoft JhengHei"/>
          <w:b/>
          <w:color w:val="1B365D"/>
          <w:sz w:val="40"/>
        </w:rPr>
        <w:t>橘郡異常事件現場流行病學調查報告書</w:t>
      </w:r>
    </w:p>
    <w:p>
      <w:pPr>
        <w:spacing w:after="280"/>
        <w:jc w:val="center"/>
      </w:pPr>
      <w:r>
        <w:rPr>
          <w:rFonts w:ascii="Microsoft JhengHei" w:hAnsi="Microsoft JhengHei"/>
          <w:b/>
          <w:color w:val="2980B9"/>
          <w:sz w:val="24"/>
        </w:rPr>
        <w:t>Epidemiological Investigation Report on Orange County Outbreak Event</w:t>
      </w:r>
    </w:p>
    <w:tbl>
      <w:tblPr>
        <w:tblW w:type="auto" w:w="0"/>
        <w:jc w:val="center"/>
        <w:tblLook w:firstColumn="1" w:firstRow="1" w:lastColumn="0" w:lastRow="0" w:noHBand="0" w:noVBand="1" w:val="04A0"/>
      </w:tblPr>
      <w:tblGrid>
        <w:gridCol w:w="2257"/>
        <w:gridCol w:w="2257"/>
        <w:gridCol w:w="2257"/>
        <w:gridCol w:w="2257"/>
      </w:tblGrid>
      <w:tr>
        <w:tc>
          <w:tcPr>
            <w:tcW w:type="dxa" w:w="2257"/>
            <w:tcMar>
              <w:top w:w="80" w:type="dxa"/>
              <w:bottom w:w="80" w:type="dxa"/>
              <w:left w:w="100" w:type="dxa"/>
              <w:right w:w="100" w:type="dxa"/>
            </w:tcMar>
            <w:shd w:fill="EAECEE"/>
          </w:tcPr>
          <w:p>
            <w:pPr>
              <w:spacing w:after="0"/>
              <w:jc w:val="right"/>
            </w:pPr>
            <w:r>
              <w:rPr>
                <w:rFonts w:ascii="Microsoft JhengHei" w:hAnsi="Microsoft JhengHei"/>
                <w:b/>
                <w:color w:val="1B365D"/>
                <w:sz w:val="18"/>
              </w:rPr>
              <w:t>通報辦公室</w:t>
            </w:r>
          </w:p>
        </w:tc>
        <w:tc>
          <w:tcPr>
            <w:tcW w:type="dxa" w:w="2257"/>
            <w:tcMar>
              <w:top w:w="80" w:type="dxa"/>
              <w:bottom w:w="80" w:type="dxa"/>
              <w:left w:w="100" w:type="dxa"/>
              <w:right w:w="100" w:type="dxa"/>
            </w:tcMar>
            <w:shd w:fill="F8F9FA"/>
          </w:tcPr>
          <w:p>
            <w:pPr>
              <w:spacing w:after="0"/>
              <w:jc w:val="left"/>
            </w:pPr>
            <w:r>
              <w:rPr>
                <w:rFonts w:ascii="Microsoft JhengHei" w:hAnsi="Microsoft JhengHei"/>
                <w:sz w:val="18"/>
              </w:rPr>
              <w:t>流行病學調查辦公室 / 疾管指揮中心</w:t>
            </w:r>
          </w:p>
        </w:tc>
        <w:tc>
          <w:tcPr>
            <w:tcW w:type="dxa" w:w="2257"/>
            <w:tcMar>
              <w:top w:w="80" w:type="dxa"/>
              <w:bottom w:w="80" w:type="dxa"/>
              <w:left w:w="100" w:type="dxa"/>
              <w:right w:w="100" w:type="dxa"/>
            </w:tcMar>
            <w:shd w:fill="EAECEE"/>
          </w:tcPr>
          <w:p>
            <w:pPr>
              <w:spacing w:after="0"/>
              <w:jc w:val="right"/>
            </w:pPr>
            <w:r>
              <w:rPr>
                <w:rFonts w:ascii="Microsoft JhengHei" w:hAnsi="Microsoft JhengHei"/>
                <w:b/>
                <w:color w:val="1B365D"/>
                <w:sz w:val="18"/>
              </w:rPr>
              <w:t>調查日期</w:t>
            </w:r>
          </w:p>
        </w:tc>
        <w:tc>
          <w:tcPr>
            <w:tcW w:type="dxa" w:w="2257"/>
            <w:tcMar>
              <w:top w:w="80" w:type="dxa"/>
              <w:bottom w:w="80" w:type="dxa"/>
              <w:left w:w="100" w:type="dxa"/>
              <w:right w:w="100" w:type="dxa"/>
            </w:tcMar>
            <w:shd w:fill="F8F9FA"/>
          </w:tcPr>
          <w:p>
            <w:pPr>
              <w:spacing w:after="0"/>
              <w:jc w:val="left"/>
            </w:pPr>
            <w:r>
              <w:rPr>
                <w:rFonts w:ascii="Microsoft JhengHei" w:hAnsi="Microsoft JhengHei"/>
                <w:sz w:val="18"/>
              </w:rPr>
              <w:t>2026年10月22日</w:t>
            </w:r>
          </w:p>
        </w:tc>
      </w:tr>
      <w:tr>
        <w:tc>
          <w:tcPr>
            <w:tcW w:type="dxa" w:w="2257"/>
            <w:tcMar>
              <w:top w:w="80" w:type="dxa"/>
              <w:bottom w:w="80" w:type="dxa"/>
              <w:left w:w="100" w:type="dxa"/>
              <w:right w:w="100" w:type="dxa"/>
            </w:tcMar>
            <w:shd w:fill="EAECEE"/>
          </w:tcPr>
          <w:p>
            <w:pPr>
              <w:spacing w:after="0"/>
              <w:jc w:val="right"/>
            </w:pPr>
            <w:r>
              <w:rPr>
                <w:rFonts w:ascii="Microsoft JhengHei" w:hAnsi="Microsoft JhengHei"/>
                <w:b/>
                <w:color w:val="1B365D"/>
                <w:sz w:val="18"/>
              </w:rPr>
              <w:t>主辦調查員</w:t>
            </w:r>
          </w:p>
        </w:tc>
        <w:tc>
          <w:tcPr>
            <w:tcW w:type="dxa" w:w="2257"/>
            <w:tcMar>
              <w:top w:w="80" w:type="dxa"/>
              <w:bottom w:w="80" w:type="dxa"/>
              <w:left w:w="100" w:type="dxa"/>
              <w:right w:w="100" w:type="dxa"/>
            </w:tcMar>
            <w:shd w:fill="F8F9FA"/>
          </w:tcPr>
          <w:p>
            <w:pPr>
              <w:spacing w:after="0"/>
              <w:jc w:val="left"/>
            </w:pPr>
            <w:r>
              <w:rPr>
                <w:rFonts w:ascii="Microsoft JhengHei" w:hAnsi="Microsoft JhengHei"/>
                <w:sz w:val="18"/>
              </w:rPr>
              <w:t>專案流行病學調查組 特約調查員</w:t>
            </w:r>
          </w:p>
        </w:tc>
        <w:tc>
          <w:tcPr>
            <w:tcW w:type="dxa" w:w="2257"/>
            <w:tcMar>
              <w:top w:w="80" w:type="dxa"/>
              <w:bottom w:w="80" w:type="dxa"/>
              <w:left w:w="100" w:type="dxa"/>
              <w:right w:w="100" w:type="dxa"/>
            </w:tcMar>
            <w:shd w:fill="EAECEE"/>
          </w:tcPr>
          <w:p>
            <w:pPr>
              <w:spacing w:after="0"/>
              <w:jc w:val="right"/>
            </w:pPr>
            <w:r>
              <w:rPr>
                <w:rFonts w:ascii="Microsoft JhengHei" w:hAnsi="Microsoft JhengHei"/>
                <w:b/>
                <w:color w:val="1B365D"/>
                <w:sz w:val="18"/>
              </w:rPr>
              <w:t>事件代號</w:t>
            </w:r>
          </w:p>
        </w:tc>
        <w:tc>
          <w:tcPr>
            <w:tcW w:type="dxa" w:w="2257"/>
            <w:tcMar>
              <w:top w:w="80" w:type="dxa"/>
              <w:bottom w:w="80" w:type="dxa"/>
              <w:left w:w="100" w:type="dxa"/>
              <w:right w:w="100" w:type="dxa"/>
            </w:tcMar>
            <w:shd w:fill="F8F9FA"/>
          </w:tcPr>
          <w:p>
            <w:pPr>
              <w:spacing w:after="0"/>
              <w:jc w:val="left"/>
            </w:pPr>
            <w:r>
              <w:rPr>
                <w:rFonts w:ascii="Microsoft JhengHei" w:hAnsi="Microsoft JhengHei"/>
                <w:sz w:val="18"/>
              </w:rPr>
              <w:t>OC-20261022-EPID</w:t>
            </w:r>
          </w:p>
        </w:tc>
      </w:tr>
      <w:tr>
        <w:tc>
          <w:tcPr>
            <w:tcW w:type="dxa" w:w="2257"/>
            <w:tcMar>
              <w:top w:w="80" w:type="dxa"/>
              <w:bottom w:w="80" w:type="dxa"/>
              <w:left w:w="100" w:type="dxa"/>
              <w:right w:w="100" w:type="dxa"/>
            </w:tcMar>
            <w:shd w:fill="EAECEE"/>
          </w:tcPr>
          <w:p>
            <w:pPr>
              <w:spacing w:after="0"/>
              <w:jc w:val="right"/>
            </w:pPr>
            <w:r>
              <w:rPr>
                <w:rFonts w:ascii="Microsoft JhengHei" w:hAnsi="Microsoft JhengHei"/>
                <w:b/>
                <w:color w:val="1B365D"/>
                <w:sz w:val="18"/>
              </w:rPr>
              <w:t>調查地點</w:t>
            </w:r>
          </w:p>
        </w:tc>
        <w:tc>
          <w:tcPr>
            <w:tcW w:type="dxa" w:w="2257"/>
            <w:tcMar>
              <w:top w:w="80" w:type="dxa"/>
              <w:bottom w:w="80" w:type="dxa"/>
              <w:left w:w="100" w:type="dxa"/>
              <w:right w:w="100" w:type="dxa"/>
            </w:tcMar>
            <w:shd w:fill="F8F9FA"/>
          </w:tcPr>
          <w:p>
            <w:pPr>
              <w:spacing w:after="0"/>
              <w:jc w:val="left"/>
            </w:pPr>
            <w:r>
              <w:rPr>
                <w:rFonts w:ascii="Microsoft JhengHei" w:hAnsi="Microsoft JhengHei"/>
                <w:sz w:val="18"/>
              </w:rPr>
              <w:t>橘郡（Orange County）受災社區</w:t>
            </w:r>
          </w:p>
        </w:tc>
        <w:tc>
          <w:tcPr>
            <w:tcW w:type="dxa" w:w="2257"/>
            <w:tcMar>
              <w:top w:w="80" w:type="dxa"/>
              <w:bottom w:w="80" w:type="dxa"/>
              <w:left w:w="100" w:type="dxa"/>
              <w:right w:w="100" w:type="dxa"/>
            </w:tcMar>
            <w:shd w:fill="EAECEE"/>
          </w:tcPr>
          <w:p>
            <w:pPr>
              <w:spacing w:after="0"/>
              <w:jc w:val="right"/>
            </w:pPr>
            <w:r>
              <w:rPr>
                <w:rFonts w:ascii="Microsoft JhengHei" w:hAnsi="Microsoft JhengHei"/>
                <w:b/>
                <w:color w:val="1B365D"/>
                <w:sz w:val="18"/>
              </w:rPr>
              <w:t>案件密等</w:t>
            </w:r>
          </w:p>
        </w:tc>
        <w:tc>
          <w:tcPr>
            <w:tcW w:type="dxa" w:w="2257"/>
            <w:tcMar>
              <w:top w:w="80" w:type="dxa"/>
              <w:bottom w:w="80" w:type="dxa"/>
              <w:left w:w="100" w:type="dxa"/>
              <w:right w:w="100" w:type="dxa"/>
            </w:tcMar>
            <w:shd w:fill="F8F9FA"/>
          </w:tcPr>
          <w:p>
            <w:pPr>
              <w:spacing w:after="0"/>
              <w:jc w:val="left"/>
            </w:pPr>
            <w:r>
              <w:rPr>
                <w:rFonts w:ascii="Microsoft JhengHei" w:hAnsi="Microsoft JhengHei"/>
                <w:sz w:val="18"/>
              </w:rPr>
              <w:t>極機密 / 公衛緊急事件</w:t>
            </w:r>
          </w:p>
        </w:tc>
      </w:tr>
      <w:tr>
        <w:tc>
          <w:tcPr>
            <w:tcW w:type="dxa" w:w="2257"/>
            <w:tcMar>
              <w:top w:w="80" w:type="dxa"/>
              <w:bottom w:w="80" w:type="dxa"/>
              <w:left w:w="100" w:type="dxa"/>
              <w:right w:w="100" w:type="dxa"/>
            </w:tcMar>
            <w:shd w:fill="EAECEE"/>
          </w:tcPr>
          <w:p>
            <w:pPr>
              <w:spacing w:after="0"/>
              <w:jc w:val="right"/>
            </w:pPr>
            <w:r>
              <w:rPr>
                <w:rFonts w:ascii="Microsoft JhengHei" w:hAnsi="Microsoft JhengHei"/>
                <w:b/>
                <w:color w:val="1B365D"/>
                <w:sz w:val="18"/>
              </w:rPr>
              <w:t>受查總人數</w:t>
            </w:r>
          </w:p>
        </w:tc>
        <w:tc>
          <w:tcPr>
            <w:tcW w:type="dxa" w:w="2257"/>
            <w:tcMar>
              <w:top w:w="80" w:type="dxa"/>
              <w:bottom w:w="80" w:type="dxa"/>
              <w:left w:w="100" w:type="dxa"/>
              <w:right w:w="100" w:type="dxa"/>
            </w:tcMar>
            <w:shd w:fill="F8F9FA"/>
          </w:tcPr>
          <w:p>
            <w:pPr>
              <w:spacing w:after="0"/>
              <w:jc w:val="left"/>
            </w:pPr>
            <w:r>
              <w:rPr>
                <w:rFonts w:ascii="Microsoft JhengHei" w:hAnsi="Microsoft JhengHei"/>
                <w:sz w:val="18"/>
              </w:rPr>
              <w:t>669 人（全數完成流行病學個案追蹤）</w:t>
            </w:r>
          </w:p>
        </w:tc>
        <w:tc>
          <w:tcPr>
            <w:tcW w:type="dxa" w:w="2257"/>
            <w:tcMar>
              <w:top w:w="80" w:type="dxa"/>
              <w:bottom w:w="80" w:type="dxa"/>
              <w:left w:w="100" w:type="dxa"/>
              <w:right w:w="100" w:type="dxa"/>
            </w:tcMar>
            <w:shd w:fill="EAECEE"/>
          </w:tcPr>
          <w:p>
            <w:pPr>
              <w:spacing w:after="0"/>
              <w:jc w:val="right"/>
            </w:pPr>
            <w:r>
              <w:rPr>
                <w:rFonts w:ascii="Microsoft JhengHei" w:hAnsi="Microsoft JhengHei"/>
                <w:b/>
                <w:color w:val="1B365D"/>
                <w:sz w:val="18"/>
              </w:rPr>
              <w:t>調查狀態</w:t>
            </w:r>
          </w:p>
        </w:tc>
        <w:tc>
          <w:tcPr>
            <w:tcW w:type="dxa" w:w="2257"/>
            <w:tcMar>
              <w:top w:w="80" w:type="dxa"/>
              <w:bottom w:w="80" w:type="dxa"/>
              <w:left w:w="100" w:type="dxa"/>
              <w:right w:w="100" w:type="dxa"/>
            </w:tcMar>
            <w:shd w:fill="F8F9FA"/>
          </w:tcPr>
          <w:p>
            <w:pPr>
              <w:spacing w:after="0"/>
              <w:jc w:val="left"/>
            </w:pPr>
            <w:r>
              <w:rPr>
                <w:rFonts w:ascii="Microsoft JhengHei" w:hAnsi="Microsoft JhengHei"/>
                <w:sz w:val="18"/>
              </w:rPr>
              <w:t>第一階段完成，致病因鎖定並呈報</w:t>
            </w:r>
          </w:p>
        </w:tc>
      </w:tr>
    </w:tbl>
    <w:p>
      <w:pPr>
        <w:spacing w:after="120"/>
      </w:pPr>
    </w:p>
    <w:p>
      <w:pPr>
        <w:spacing w:after="160" w:line="312" w:lineRule="auto"/>
      </w:pPr>
      <w:r>
        <w:rPr>
          <w:b/>
          <w:color w:val="1B365D"/>
          <w:sz w:val="22"/>
        </w:rPr>
        <w:t>【調查員回報辦公室受文簡述】</w:t>
        <w:br/>
      </w:r>
      <w:r>
        <w:t>報告長官：</w:t>
        <w:br/>
        <w:t>職受命前往橘郡（Orange County）展開不明致死性疾病異常事件之現場流行病學調查。本專案共計追蹤調查全區受影響居民 669 名，現已全數完成流行病學個案訪談、水源暴露史調查、疾病嚴重程度判定及生存結局確認。經資料庫建立與生物統計學推論分析，目前已完全掌握疫情之關鍵致命根源。以下謹將 5 大核心數據指標，以及包含卡方檢定（Chi-Square Test）、風險比（Risk Ratio, RR）與勝算比（Odds Ratio, OR）之因果推論實證報告呈報辦公室，以供緊急公衛決策與源頭斷源作為之依據。</w:t>
      </w:r>
    </w:p>
    <w:p>
      <w:pPr>
        <w:spacing w:before="80" w:after="200"/>
      </w:pPr>
    </w:p>
    <w:tbl>
      <w:tblPr>
        <w:tblW w:type="auto" w:w="0"/>
        <w:jc w:val="center"/>
        <w:tblLook w:firstColumn="1" w:firstRow="1" w:lastColumn="0" w:lastRow="0" w:noHBand="0" w:noVBand="1" w:val="04A0"/>
      </w:tblPr>
      <w:tblGrid>
        <w:gridCol w:w="9029"/>
      </w:tblGrid>
      <w:tr>
        <w:tc>
          <w:tcPr>
            <w:tcW w:type="dxa" w:w="9029"/>
            <w:shd w:fill="F2F4F4"/>
            <w:tcMar>
              <w:top w:w="140" w:type="dxa"/>
              <w:bottom w:w="140" w:type="dxa"/>
              <w:left w:w="180" w:type="dxa"/>
              <w:right w:w="180" w:type="dxa"/>
            </w:tcMar>
          </w:tcPr>
          <w:p>
            <w:pPr>
              <w:spacing w:after="0"/>
            </w:pPr>
            <w:r>
              <w:rPr>
                <w:b/>
                <w:color w:val="C0392B"/>
                <w:sz w:val="22"/>
              </w:rPr>
              <w:t>★ 調查員緊急回報辦公室：5 大核心數據速查摘要</w:t>
              <w:br/>
            </w:r>
            <w:r>
              <w:rPr>
                <w:b/>
                <w:color w:val="2C3E50"/>
              </w:rPr>
              <w:t>1. 患病比例：</w:t>
            </w:r>
            <w:r>
              <w:rPr>
                <w:color w:val="323232"/>
              </w:rPr>
              <w:t>76.98%（總計 515 / 669 人患病；其中輕度患病佔 30.94%，重度患病佔 46.04%）。</w:t>
              <w:br/>
            </w:r>
            <w:r>
              <w:rPr>
                <w:b/>
                <w:color w:val="2C3E50"/>
              </w:rPr>
              <w:t>2. 飲用水來源種類比例：</w:t>
            </w:r>
            <w:r>
              <w:rPr>
                <w:color w:val="323232"/>
              </w:rPr>
              <w:t>深井水（Deep well）佔 75.04%（502人）、淺井水（shallow well）佔 17.19%（115人）、自來水（Top water）佔 7.77%（52人）。</w:t>
              <w:br/>
            </w:r>
            <w:r>
              <w:rPr>
                <w:b/>
                <w:color w:val="2C3E50"/>
              </w:rPr>
              <w:t>3. 患病嚴重程度分布：</w:t>
            </w:r>
            <w:r>
              <w:rPr>
                <w:color w:val="323232"/>
              </w:rPr>
              <w:t>健康無病（Healthy）佔 23.02%（154人）、輕度病況（minor）佔 30.94%（207人）、重度病況（severe）佔 46.04%（308人）。</w:t>
              <w:br/>
            </w:r>
            <w:r>
              <w:rPr>
                <w:b/>
                <w:color w:val="2C3E50"/>
              </w:rPr>
              <w:t>4. 疾病死亡率：</w:t>
            </w:r>
            <w:r>
              <w:rPr>
                <w:color w:val="323232"/>
              </w:rPr>
              <w:t>全體居民總粗死亡率為 76.98%（515 / 669 人死亡）；患病者致死率（Case Fatality Rate）高達 100.00%（515 / 515 人，只要患病全數死亡！）。</w:t>
              <w:br/>
            </w:r>
            <w:r>
              <w:rPr>
                <w:b/>
                <w:color w:val="2C3E50"/>
              </w:rPr>
              <w:t>5. 性別比例：</w:t>
            </w:r>
            <w:r>
              <w:rPr>
                <w:color w:val="323232"/>
              </w:rPr>
              <w:t>女性佔 61.14%（409人）、男性佔 38.86%（260人）；男女比例為 0.636 : 1（即女男比例 1.573 : 1）。</w:t>
            </w:r>
          </w:p>
        </w:tc>
      </w:tr>
    </w:tbl>
    <w:p>
      <w:pPr>
        <w:keepNext/>
        <w:spacing w:before="280" w:after="120"/>
      </w:pPr>
      <w:r>
        <w:rPr>
          <w:rFonts w:ascii="Microsoft JhengHei" w:hAnsi="Microsoft JhengHei"/>
          <w:b/>
          <w:color w:val="1B365D"/>
          <w:sz w:val="28"/>
        </w:rPr>
        <w:t>第一部分：橘郡居民人口學與健康狀況描述性統計分析</w:t>
      </w:r>
    </w:p>
    <w:p>
      <w:r>
        <w:t>本階段調查以橘郡異常事件爆發區域之全部 669 位居民為分析母群體（Cohort）。調查指標涵蓋性別、年齡、飲用水來源、疾病臨床發病嚴重程度以及最終生命結局（存活或死亡）。各項指標分佈經嚴格核算，彙整如【表 1】所示：</w:t>
      </w:r>
    </w:p>
    <w:tbl>
      <w:tblPr>
        <w:tblW w:type="auto" w:w="0"/>
        <w:jc w:val="center"/>
        <w:tblLook w:firstColumn="1" w:firstRow="1" w:lastColumn="0" w:lastRow="0" w:noHBand="0" w:noVBand="1" w:val="04A0"/>
        <w:tblBorders>
          <w:top w:val="single" w:sz="12" w:space="0" w:color="1B365D"/>
          <w:bottom w:val="single" w:sz="12" w:space="0" w:color="1B365D"/>
          <w:left w:val="none"/>
          <w:right w:val="none"/>
          <w:insideH w:val="single" w:sz="4" w:space="0" w:color="D5D8DC"/>
          <w:insideV w:val="none"/>
        </w:tblBorders>
      </w:tblPr>
      <w:tblGrid>
        <w:gridCol w:w="1806"/>
        <w:gridCol w:w="1806"/>
        <w:gridCol w:w="1806"/>
        <w:gridCol w:w="1806"/>
        <w:gridCol w:w="1806"/>
      </w:tblGrid>
      <w:tr>
        <w:tc>
          <w:tcPr>
            <w:tcW w:type="dxa" w:w="2592"/>
            <w:shd w:fill="1B365D"/>
            <w:tcMar>
              <w:top w:w="140" w:type="dxa"/>
              <w:bottom w:w="140" w:type="dxa"/>
              <w:left w:w="150" w:type="dxa"/>
              <w:right w:w="150" w:type="dxa"/>
            </w:tcMar>
            <w:vAlign w:val="center"/>
          </w:tcPr>
          <w:p>
            <w:pPr>
              <w:jc w:val="center"/>
            </w:pPr>
            <w:r>
              <w:rPr>
                <w:rFonts w:ascii="Microsoft JhengHei" w:hAnsi="Microsoft JhengHei"/>
                <w:b/>
                <w:color w:val="FFFFFF"/>
                <w:sz w:val="19"/>
              </w:rPr>
              <w:t>分析變項</w:t>
            </w:r>
          </w:p>
        </w:tc>
        <w:tc>
          <w:tcPr>
            <w:tcW w:type="dxa" w:w="2880"/>
            <w:shd w:fill="1B365D"/>
            <w:tcMar>
              <w:top w:w="140" w:type="dxa"/>
              <w:bottom w:w="140" w:type="dxa"/>
              <w:left w:w="150" w:type="dxa"/>
              <w:right w:w="150" w:type="dxa"/>
            </w:tcMar>
            <w:vAlign w:val="center"/>
          </w:tcPr>
          <w:p>
            <w:pPr>
              <w:jc w:val="center"/>
            </w:pPr>
            <w:r>
              <w:rPr>
                <w:rFonts w:ascii="Microsoft JhengHei" w:hAnsi="Microsoft JhengHei"/>
                <w:b/>
                <w:color w:val="FFFFFF"/>
                <w:sz w:val="19"/>
              </w:rPr>
              <w:t>分組類別</w:t>
            </w:r>
          </w:p>
        </w:tc>
        <w:tc>
          <w:tcPr>
            <w:tcW w:type="dxa" w:w="1584"/>
            <w:shd w:fill="1B365D"/>
            <w:tcMar>
              <w:top w:w="140" w:type="dxa"/>
              <w:bottom w:w="140" w:type="dxa"/>
              <w:left w:w="150" w:type="dxa"/>
              <w:right w:w="150" w:type="dxa"/>
            </w:tcMar>
            <w:vAlign w:val="center"/>
          </w:tcPr>
          <w:p>
            <w:pPr>
              <w:jc w:val="center"/>
            </w:pPr>
            <w:r>
              <w:rPr>
                <w:rFonts w:ascii="Microsoft JhengHei" w:hAnsi="Microsoft JhengHei"/>
                <w:b/>
                <w:color w:val="FFFFFF"/>
                <w:sz w:val="19"/>
              </w:rPr>
              <w:t>人數 (N)</w:t>
            </w:r>
          </w:p>
        </w:tc>
        <w:tc>
          <w:tcPr>
            <w:tcW w:type="dxa" w:w="1584"/>
            <w:shd w:fill="1B365D"/>
            <w:tcMar>
              <w:top w:w="140" w:type="dxa"/>
              <w:bottom w:w="140" w:type="dxa"/>
              <w:left w:w="150" w:type="dxa"/>
              <w:right w:w="150" w:type="dxa"/>
            </w:tcMar>
            <w:vAlign w:val="center"/>
          </w:tcPr>
          <w:p>
            <w:pPr>
              <w:jc w:val="center"/>
            </w:pPr>
            <w:r>
              <w:rPr>
                <w:rFonts w:ascii="Microsoft JhengHei" w:hAnsi="Microsoft JhengHei"/>
                <w:b/>
                <w:color w:val="FFFFFF"/>
                <w:sz w:val="19"/>
              </w:rPr>
              <w:t>佔總體比例 (%)</w:t>
            </w:r>
          </w:p>
        </w:tc>
        <w:tc>
          <w:tcPr>
            <w:tcW w:type="dxa" w:w="1728"/>
            <w:shd w:fill="1B365D"/>
            <w:tcMar>
              <w:top w:w="140" w:type="dxa"/>
              <w:bottom w:w="140" w:type="dxa"/>
              <w:left w:w="150" w:type="dxa"/>
              <w:right w:w="150" w:type="dxa"/>
            </w:tcMar>
            <w:vAlign w:val="center"/>
          </w:tcPr>
          <w:p>
            <w:pPr>
              <w:jc w:val="center"/>
            </w:pPr>
            <w:r>
              <w:rPr>
                <w:rFonts w:ascii="Microsoft JhengHei" w:hAnsi="Microsoft JhengHei"/>
                <w:b/>
                <w:color w:val="FFFFFF"/>
                <w:sz w:val="19"/>
              </w:rPr>
              <w:t>備註說明</w:t>
            </w:r>
          </w:p>
        </w:tc>
      </w:tr>
      <w:tr>
        <w:tc>
          <w:tcPr>
            <w:tcW w:type="dxa" w:w="2592"/>
            <w:shd w:fill="F9FBFC"/>
            <w:tcMar>
              <w:top w:w="100" w:type="dxa"/>
              <w:bottom w:w="100" w:type="dxa"/>
              <w:left w:w="150" w:type="dxa"/>
              <w:right w:w="150" w:type="dxa"/>
            </w:tcMar>
            <w:vAlign w:val="center"/>
          </w:tcPr>
          <w:p>
            <w:pPr>
              <w:spacing w:after="0" w:before="0"/>
              <w:jc w:val="left"/>
            </w:pPr>
            <w:r>
              <w:rPr>
                <w:rFonts w:ascii="Microsoft JhengHei" w:hAnsi="Microsoft JhengHei"/>
                <w:sz w:val="19"/>
              </w:rPr>
              <w:t>患病狀態</w:t>
            </w:r>
          </w:p>
        </w:tc>
        <w:tc>
          <w:tcPr>
            <w:tcW w:type="dxa" w:w="2880"/>
            <w:shd w:fill="F9FBFC"/>
            <w:tcMar>
              <w:top w:w="100" w:type="dxa"/>
              <w:bottom w:w="100" w:type="dxa"/>
              <w:left w:w="150" w:type="dxa"/>
              <w:right w:w="150" w:type="dxa"/>
            </w:tcMar>
            <w:vAlign w:val="center"/>
          </w:tcPr>
          <w:p>
            <w:pPr>
              <w:spacing w:after="0" w:before="0"/>
              <w:jc w:val="center"/>
            </w:pPr>
            <w:r>
              <w:rPr>
                <w:rFonts w:ascii="Microsoft JhengHei" w:hAnsi="Microsoft JhengHei"/>
                <w:sz w:val="19"/>
              </w:rPr>
              <w:t>健康無病 (Healthy)</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154</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23.02%</w:t>
            </w:r>
          </w:p>
        </w:tc>
        <w:tc>
          <w:tcPr>
            <w:tcW w:type="dxa" w:w="1728"/>
            <w:shd w:fill="F9FBFC"/>
            <w:tcMar>
              <w:top w:w="100" w:type="dxa"/>
              <w:bottom w:w="100" w:type="dxa"/>
              <w:left w:w="150" w:type="dxa"/>
              <w:right w:w="150" w:type="dxa"/>
            </w:tcMar>
            <w:vAlign w:val="center"/>
          </w:tcPr>
          <w:p>
            <w:pPr>
              <w:spacing w:after="0" w:before="0"/>
              <w:jc w:val="center"/>
            </w:pPr>
            <w:r>
              <w:rPr>
                <w:rFonts w:ascii="Microsoft JhengHei" w:hAnsi="Microsoft JhengHei"/>
                <w:sz w:val="19"/>
              </w:rPr>
              <w:t>全數存活</w:t>
            </w:r>
          </w:p>
        </w:tc>
      </w:tr>
      <w:tr>
        <w:tc>
          <w:tcPr>
            <w:tcW w:type="dxa" w:w="2592"/>
            <w:shd w:fill="FFFFFF"/>
            <w:tcMar>
              <w:top w:w="100" w:type="dxa"/>
              <w:bottom w:w="100" w:type="dxa"/>
              <w:left w:w="150" w:type="dxa"/>
              <w:right w:w="150" w:type="dxa"/>
            </w:tcMar>
            <w:vAlign w:val="center"/>
          </w:tcPr>
          <w:p>
            <w:pPr>
              <w:spacing w:after="0" w:before="0"/>
              <w:jc w:val="left"/>
            </w:pPr>
            <w:r>
              <w:rPr>
                <w:rFonts w:ascii="Microsoft JhengHei" w:hAnsi="Microsoft JhengHei"/>
                <w:sz w:val="19"/>
              </w:rPr>
            </w:r>
          </w:p>
        </w:tc>
        <w:tc>
          <w:tcPr>
            <w:tcW w:type="dxa" w:w="2880"/>
            <w:shd w:fill="FFFFFF"/>
            <w:tcMar>
              <w:top w:w="100" w:type="dxa"/>
              <w:bottom w:w="100" w:type="dxa"/>
              <w:left w:w="150" w:type="dxa"/>
              <w:right w:w="150" w:type="dxa"/>
            </w:tcMar>
            <w:vAlign w:val="center"/>
          </w:tcPr>
          <w:p>
            <w:pPr>
              <w:spacing w:after="0" w:before="0"/>
              <w:jc w:val="center"/>
            </w:pPr>
            <w:r>
              <w:rPr>
                <w:rFonts w:ascii="Microsoft JhengHei" w:hAnsi="Microsoft JhengHei"/>
                <w:sz w:val="19"/>
              </w:rPr>
              <w:t>患病 (輕度 minor + 重度 severe)</w:t>
            </w:r>
          </w:p>
        </w:tc>
        <w:tc>
          <w:tcPr>
            <w:tcW w:type="dxa" w:w="1584"/>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515</w:t>
            </w:r>
          </w:p>
        </w:tc>
        <w:tc>
          <w:tcPr>
            <w:tcW w:type="dxa" w:w="1584"/>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76.98%</w:t>
            </w:r>
          </w:p>
        </w:tc>
        <w:tc>
          <w:tcPr>
            <w:tcW w:type="dxa" w:w="1728"/>
            <w:shd w:fill="FFFFFF"/>
            <w:tcMar>
              <w:top w:w="100" w:type="dxa"/>
              <w:bottom w:w="100" w:type="dxa"/>
              <w:left w:w="150" w:type="dxa"/>
              <w:right w:w="150" w:type="dxa"/>
            </w:tcMar>
            <w:vAlign w:val="center"/>
          </w:tcPr>
          <w:p>
            <w:pPr>
              <w:spacing w:after="0" w:before="0"/>
              <w:jc w:val="center"/>
            </w:pPr>
            <w:r>
              <w:rPr>
                <w:rFonts w:ascii="Microsoft JhengHei" w:hAnsi="Microsoft JhengHei"/>
                <w:sz w:val="19"/>
              </w:rPr>
              <w:t>全體罹患率 (Attack Rate)</w:t>
            </w:r>
          </w:p>
        </w:tc>
      </w:tr>
      <w:tr>
        <w:tc>
          <w:tcPr>
            <w:tcW w:type="dxa" w:w="2592"/>
            <w:shd w:fill="F9FBFC"/>
            <w:tcMar>
              <w:top w:w="100" w:type="dxa"/>
              <w:bottom w:w="100" w:type="dxa"/>
              <w:left w:w="150" w:type="dxa"/>
              <w:right w:w="150" w:type="dxa"/>
            </w:tcMar>
            <w:vAlign w:val="center"/>
          </w:tcPr>
          <w:p>
            <w:pPr>
              <w:spacing w:after="0" w:before="0"/>
              <w:jc w:val="left"/>
            </w:pPr>
            <w:r>
              <w:rPr>
                <w:rFonts w:ascii="Microsoft JhengHei" w:hAnsi="Microsoft JhengHei"/>
                <w:sz w:val="19"/>
              </w:rPr>
              <w:t>飲用水來源種類</w:t>
            </w:r>
          </w:p>
        </w:tc>
        <w:tc>
          <w:tcPr>
            <w:tcW w:type="dxa" w:w="2880"/>
            <w:shd w:fill="F9FBFC"/>
            <w:tcMar>
              <w:top w:w="100" w:type="dxa"/>
              <w:bottom w:w="100" w:type="dxa"/>
              <w:left w:w="150" w:type="dxa"/>
              <w:right w:w="150" w:type="dxa"/>
            </w:tcMar>
            <w:vAlign w:val="center"/>
          </w:tcPr>
          <w:p>
            <w:pPr>
              <w:spacing w:after="0" w:before="0"/>
              <w:jc w:val="center"/>
            </w:pPr>
            <w:r>
              <w:rPr>
                <w:rFonts w:ascii="Microsoft JhengHei" w:hAnsi="Microsoft JhengHei"/>
                <w:sz w:val="19"/>
              </w:rPr>
              <w:t>深井水 (Deep well)</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502</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75.04%</w:t>
            </w:r>
          </w:p>
        </w:tc>
        <w:tc>
          <w:tcPr>
            <w:tcW w:type="dxa" w:w="1728"/>
            <w:shd w:fill="F9FBFC"/>
            <w:tcMar>
              <w:top w:w="100" w:type="dxa"/>
              <w:bottom w:w="100" w:type="dxa"/>
              <w:left w:w="150" w:type="dxa"/>
              <w:right w:w="150" w:type="dxa"/>
            </w:tcMar>
            <w:vAlign w:val="center"/>
          </w:tcPr>
          <w:p>
            <w:pPr>
              <w:spacing w:after="0" w:before="0"/>
              <w:jc w:val="center"/>
            </w:pPr>
            <w:r>
              <w:rPr>
                <w:rFonts w:ascii="Microsoft JhengHei" w:hAnsi="Microsoft JhengHei"/>
                <w:sz w:val="19"/>
              </w:rPr>
              <w:t>主要供水來源 (高危水源)</w:t>
            </w:r>
          </w:p>
        </w:tc>
      </w:tr>
      <w:tr>
        <w:tc>
          <w:tcPr>
            <w:tcW w:type="dxa" w:w="2592"/>
            <w:shd w:fill="FFFFFF"/>
            <w:tcMar>
              <w:top w:w="100" w:type="dxa"/>
              <w:bottom w:w="100" w:type="dxa"/>
              <w:left w:w="150" w:type="dxa"/>
              <w:right w:w="150" w:type="dxa"/>
            </w:tcMar>
            <w:vAlign w:val="center"/>
          </w:tcPr>
          <w:p>
            <w:pPr>
              <w:spacing w:after="0" w:before="0"/>
              <w:jc w:val="left"/>
            </w:pPr>
            <w:r>
              <w:rPr>
                <w:rFonts w:ascii="Microsoft JhengHei" w:hAnsi="Microsoft JhengHei"/>
                <w:sz w:val="19"/>
              </w:rPr>
            </w:r>
          </w:p>
        </w:tc>
        <w:tc>
          <w:tcPr>
            <w:tcW w:type="dxa" w:w="2880"/>
            <w:shd w:fill="FFFFFF"/>
            <w:tcMar>
              <w:top w:w="100" w:type="dxa"/>
              <w:bottom w:w="100" w:type="dxa"/>
              <w:left w:w="150" w:type="dxa"/>
              <w:right w:w="150" w:type="dxa"/>
            </w:tcMar>
            <w:vAlign w:val="center"/>
          </w:tcPr>
          <w:p>
            <w:pPr>
              <w:spacing w:after="0" w:before="0"/>
              <w:jc w:val="center"/>
            </w:pPr>
            <w:r>
              <w:rPr>
                <w:rFonts w:ascii="Microsoft JhengHei" w:hAnsi="Microsoft JhengHei"/>
                <w:sz w:val="19"/>
              </w:rPr>
              <w:t>淺井水 (shallow well)</w:t>
            </w:r>
          </w:p>
        </w:tc>
        <w:tc>
          <w:tcPr>
            <w:tcW w:type="dxa" w:w="1584"/>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115</w:t>
            </w:r>
          </w:p>
        </w:tc>
        <w:tc>
          <w:tcPr>
            <w:tcW w:type="dxa" w:w="1584"/>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17.19%</w:t>
            </w:r>
          </w:p>
        </w:tc>
        <w:tc>
          <w:tcPr>
            <w:tcW w:type="dxa" w:w="1728"/>
            <w:shd w:fill="FFFFFF"/>
            <w:tcMar>
              <w:top w:w="100" w:type="dxa"/>
              <w:bottom w:w="100" w:type="dxa"/>
              <w:left w:w="150" w:type="dxa"/>
              <w:right w:w="150" w:type="dxa"/>
            </w:tcMar>
            <w:vAlign w:val="center"/>
          </w:tcPr>
          <w:p>
            <w:pPr>
              <w:spacing w:after="0" w:before="0"/>
              <w:jc w:val="center"/>
            </w:pPr>
            <w:r>
              <w:rPr>
                <w:rFonts w:ascii="Microsoft JhengHei" w:hAnsi="Microsoft JhengHei"/>
                <w:sz w:val="19"/>
              </w:rPr>
              <w:t>次要供水來源 (低危水源)</w:t>
            </w:r>
          </w:p>
        </w:tc>
      </w:tr>
      <w:tr>
        <w:tc>
          <w:tcPr>
            <w:tcW w:type="dxa" w:w="2592"/>
            <w:shd w:fill="F9FBFC"/>
            <w:tcMar>
              <w:top w:w="100" w:type="dxa"/>
              <w:bottom w:w="100" w:type="dxa"/>
              <w:left w:w="150" w:type="dxa"/>
              <w:right w:w="150" w:type="dxa"/>
            </w:tcMar>
            <w:vAlign w:val="center"/>
          </w:tcPr>
          <w:p>
            <w:pPr>
              <w:spacing w:after="0" w:before="0"/>
              <w:jc w:val="left"/>
            </w:pPr>
            <w:r>
              <w:rPr>
                <w:rFonts w:ascii="Microsoft JhengHei" w:hAnsi="Microsoft JhengHei"/>
                <w:sz w:val="19"/>
              </w:rPr>
            </w:r>
          </w:p>
        </w:tc>
        <w:tc>
          <w:tcPr>
            <w:tcW w:type="dxa" w:w="2880"/>
            <w:shd w:fill="F9FBFC"/>
            <w:tcMar>
              <w:top w:w="100" w:type="dxa"/>
              <w:bottom w:w="100" w:type="dxa"/>
              <w:left w:w="150" w:type="dxa"/>
              <w:right w:w="150" w:type="dxa"/>
            </w:tcMar>
            <w:vAlign w:val="center"/>
          </w:tcPr>
          <w:p>
            <w:pPr>
              <w:spacing w:after="0" w:before="0"/>
              <w:jc w:val="center"/>
            </w:pPr>
            <w:r>
              <w:rPr>
                <w:rFonts w:ascii="Microsoft JhengHei" w:hAnsi="Microsoft JhengHei"/>
                <w:sz w:val="19"/>
              </w:rPr>
              <w:t>自來水 (Top water)</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52</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7.77%</w:t>
            </w:r>
          </w:p>
        </w:tc>
        <w:tc>
          <w:tcPr>
            <w:tcW w:type="dxa" w:w="1728"/>
            <w:shd w:fill="F9FBFC"/>
            <w:tcMar>
              <w:top w:w="100" w:type="dxa"/>
              <w:bottom w:w="100" w:type="dxa"/>
              <w:left w:w="150" w:type="dxa"/>
              <w:right w:w="150" w:type="dxa"/>
            </w:tcMar>
            <w:vAlign w:val="center"/>
          </w:tcPr>
          <w:p>
            <w:pPr>
              <w:spacing w:after="0" w:before="0"/>
              <w:jc w:val="center"/>
            </w:pPr>
            <w:r>
              <w:rPr>
                <w:rFonts w:ascii="Microsoft JhengHei" w:hAnsi="Microsoft JhengHei"/>
                <w:sz w:val="19"/>
              </w:rPr>
              <w:t>安全乾淨水源 (零患病)</w:t>
            </w:r>
          </w:p>
        </w:tc>
      </w:tr>
      <w:tr>
        <w:tc>
          <w:tcPr>
            <w:tcW w:type="dxa" w:w="2592"/>
            <w:shd w:fill="FFFFFF"/>
            <w:tcMar>
              <w:top w:w="100" w:type="dxa"/>
              <w:bottom w:w="100" w:type="dxa"/>
              <w:left w:w="150" w:type="dxa"/>
              <w:right w:w="150" w:type="dxa"/>
            </w:tcMar>
            <w:vAlign w:val="center"/>
          </w:tcPr>
          <w:p>
            <w:pPr>
              <w:spacing w:after="0" w:before="0"/>
              <w:jc w:val="left"/>
            </w:pPr>
            <w:r>
              <w:rPr>
                <w:rFonts w:ascii="Microsoft JhengHei" w:hAnsi="Microsoft JhengHei"/>
                <w:sz w:val="19"/>
              </w:rPr>
              <w:t>患病嚴重程度分佈</w:t>
            </w:r>
          </w:p>
        </w:tc>
        <w:tc>
          <w:tcPr>
            <w:tcW w:type="dxa" w:w="2880"/>
            <w:shd w:fill="FFFFFF"/>
            <w:tcMar>
              <w:top w:w="100" w:type="dxa"/>
              <w:bottom w:w="100" w:type="dxa"/>
              <w:left w:w="150" w:type="dxa"/>
              <w:right w:w="150" w:type="dxa"/>
            </w:tcMar>
            <w:vAlign w:val="center"/>
          </w:tcPr>
          <w:p>
            <w:pPr>
              <w:spacing w:after="0" w:before="0"/>
              <w:jc w:val="center"/>
            </w:pPr>
            <w:r>
              <w:rPr>
                <w:rFonts w:ascii="Microsoft JhengHei" w:hAnsi="Microsoft JhengHei"/>
                <w:sz w:val="19"/>
              </w:rPr>
              <w:t>健康無病 (Healthy)</w:t>
            </w:r>
          </w:p>
        </w:tc>
        <w:tc>
          <w:tcPr>
            <w:tcW w:type="dxa" w:w="1584"/>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154</w:t>
            </w:r>
          </w:p>
        </w:tc>
        <w:tc>
          <w:tcPr>
            <w:tcW w:type="dxa" w:w="1584"/>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23.02%</w:t>
            </w:r>
          </w:p>
        </w:tc>
        <w:tc>
          <w:tcPr>
            <w:tcW w:type="dxa" w:w="1728"/>
            <w:shd w:fill="FFFFFF"/>
            <w:tcMar>
              <w:top w:w="100" w:type="dxa"/>
              <w:bottom w:w="100" w:type="dxa"/>
              <w:left w:w="150" w:type="dxa"/>
              <w:right w:w="150" w:type="dxa"/>
            </w:tcMar>
            <w:vAlign w:val="center"/>
          </w:tcPr>
          <w:p>
            <w:pPr>
              <w:spacing w:after="0" w:before="0"/>
              <w:jc w:val="center"/>
            </w:pPr>
            <w:r>
              <w:rPr>
                <w:rFonts w:ascii="Microsoft JhengHei" w:hAnsi="Microsoft JhengHei"/>
                <w:sz w:val="19"/>
              </w:rPr>
              <w:t>臨床無症狀</w:t>
            </w:r>
          </w:p>
        </w:tc>
      </w:tr>
      <w:tr>
        <w:tc>
          <w:tcPr>
            <w:tcW w:type="dxa" w:w="2592"/>
            <w:shd w:fill="F9FBFC"/>
            <w:tcMar>
              <w:top w:w="100" w:type="dxa"/>
              <w:bottom w:w="100" w:type="dxa"/>
              <w:left w:w="150" w:type="dxa"/>
              <w:right w:w="150" w:type="dxa"/>
            </w:tcMar>
            <w:vAlign w:val="center"/>
          </w:tcPr>
          <w:p>
            <w:pPr>
              <w:spacing w:after="0" w:before="0"/>
              <w:jc w:val="left"/>
            </w:pPr>
            <w:r>
              <w:rPr>
                <w:rFonts w:ascii="Microsoft JhengHei" w:hAnsi="Microsoft JhengHei"/>
                <w:sz w:val="19"/>
              </w:rPr>
            </w:r>
          </w:p>
        </w:tc>
        <w:tc>
          <w:tcPr>
            <w:tcW w:type="dxa" w:w="2880"/>
            <w:shd w:fill="F9FBFC"/>
            <w:tcMar>
              <w:top w:w="100" w:type="dxa"/>
              <w:bottom w:w="100" w:type="dxa"/>
              <w:left w:w="150" w:type="dxa"/>
              <w:right w:w="150" w:type="dxa"/>
            </w:tcMar>
            <w:vAlign w:val="center"/>
          </w:tcPr>
          <w:p>
            <w:pPr>
              <w:spacing w:after="0" w:before="0"/>
              <w:jc w:val="center"/>
            </w:pPr>
            <w:r>
              <w:rPr>
                <w:rFonts w:ascii="Microsoft JhengHei" w:hAnsi="Microsoft JhengHei"/>
                <w:sz w:val="19"/>
              </w:rPr>
              <w:t>輕度患病 (minor)</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207</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30.94%</w:t>
            </w:r>
          </w:p>
        </w:tc>
        <w:tc>
          <w:tcPr>
            <w:tcW w:type="dxa" w:w="1728"/>
            <w:shd w:fill="F9FBFC"/>
            <w:tcMar>
              <w:top w:w="100" w:type="dxa"/>
              <w:bottom w:w="100" w:type="dxa"/>
              <w:left w:w="150" w:type="dxa"/>
              <w:right w:w="150" w:type="dxa"/>
            </w:tcMar>
            <w:vAlign w:val="center"/>
          </w:tcPr>
          <w:p>
            <w:pPr>
              <w:spacing w:after="0" w:before="0"/>
              <w:jc w:val="center"/>
            </w:pPr>
            <w:r>
              <w:rPr>
                <w:rFonts w:ascii="Microsoft JhengHei" w:hAnsi="Microsoft JhengHei"/>
                <w:sz w:val="19"/>
              </w:rPr>
              <w:t>佔患病者之 40.19%</w:t>
            </w:r>
          </w:p>
        </w:tc>
      </w:tr>
      <w:tr>
        <w:tc>
          <w:tcPr>
            <w:tcW w:type="dxa" w:w="2592"/>
            <w:shd w:fill="FFFFFF"/>
            <w:tcMar>
              <w:top w:w="100" w:type="dxa"/>
              <w:bottom w:w="100" w:type="dxa"/>
              <w:left w:w="150" w:type="dxa"/>
              <w:right w:w="150" w:type="dxa"/>
            </w:tcMar>
            <w:vAlign w:val="center"/>
          </w:tcPr>
          <w:p>
            <w:pPr>
              <w:spacing w:after="0" w:before="0"/>
              <w:jc w:val="left"/>
            </w:pPr>
            <w:r>
              <w:rPr>
                <w:rFonts w:ascii="Microsoft JhengHei" w:hAnsi="Microsoft JhengHei"/>
                <w:sz w:val="19"/>
              </w:rPr>
            </w:r>
          </w:p>
        </w:tc>
        <w:tc>
          <w:tcPr>
            <w:tcW w:type="dxa" w:w="2880"/>
            <w:shd w:fill="FFFFFF"/>
            <w:tcMar>
              <w:top w:w="100" w:type="dxa"/>
              <w:bottom w:w="100" w:type="dxa"/>
              <w:left w:w="150" w:type="dxa"/>
              <w:right w:w="150" w:type="dxa"/>
            </w:tcMar>
            <w:vAlign w:val="center"/>
          </w:tcPr>
          <w:p>
            <w:pPr>
              <w:spacing w:after="0" w:before="0"/>
              <w:jc w:val="center"/>
            </w:pPr>
            <w:r>
              <w:rPr>
                <w:rFonts w:ascii="Microsoft JhengHei" w:hAnsi="Microsoft JhengHei"/>
                <w:sz w:val="19"/>
              </w:rPr>
              <w:t>重度患病 (severe)</w:t>
            </w:r>
          </w:p>
        </w:tc>
        <w:tc>
          <w:tcPr>
            <w:tcW w:type="dxa" w:w="1584"/>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308</w:t>
            </w:r>
          </w:p>
        </w:tc>
        <w:tc>
          <w:tcPr>
            <w:tcW w:type="dxa" w:w="1584"/>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46.04%</w:t>
            </w:r>
          </w:p>
        </w:tc>
        <w:tc>
          <w:tcPr>
            <w:tcW w:type="dxa" w:w="1728"/>
            <w:shd w:fill="FFFFFF"/>
            <w:tcMar>
              <w:top w:w="100" w:type="dxa"/>
              <w:bottom w:w="100" w:type="dxa"/>
              <w:left w:w="150" w:type="dxa"/>
              <w:right w:w="150" w:type="dxa"/>
            </w:tcMar>
            <w:vAlign w:val="center"/>
          </w:tcPr>
          <w:p>
            <w:pPr>
              <w:spacing w:after="0" w:before="0"/>
              <w:jc w:val="center"/>
            </w:pPr>
            <w:r>
              <w:rPr>
                <w:rFonts w:ascii="Microsoft JhengHei" w:hAnsi="Microsoft JhengHei"/>
                <w:sz w:val="19"/>
              </w:rPr>
              <w:t>佔患病者之 59.81%</w:t>
            </w:r>
          </w:p>
        </w:tc>
      </w:tr>
      <w:tr>
        <w:tc>
          <w:tcPr>
            <w:tcW w:type="dxa" w:w="2592"/>
            <w:shd w:fill="F9FBFC"/>
            <w:tcMar>
              <w:top w:w="100" w:type="dxa"/>
              <w:bottom w:w="100" w:type="dxa"/>
              <w:left w:w="150" w:type="dxa"/>
              <w:right w:w="150" w:type="dxa"/>
            </w:tcMar>
            <w:vAlign w:val="center"/>
          </w:tcPr>
          <w:p>
            <w:pPr>
              <w:spacing w:after="0" w:before="0"/>
              <w:jc w:val="left"/>
            </w:pPr>
            <w:r>
              <w:rPr>
                <w:rFonts w:ascii="Microsoft JhengHei" w:hAnsi="Microsoft JhengHei"/>
                <w:sz w:val="19"/>
              </w:rPr>
              <w:t>生存結局與死亡率</w:t>
            </w:r>
          </w:p>
        </w:tc>
        <w:tc>
          <w:tcPr>
            <w:tcW w:type="dxa" w:w="2880"/>
            <w:shd w:fill="F9FBFC"/>
            <w:tcMar>
              <w:top w:w="100" w:type="dxa"/>
              <w:bottom w:w="100" w:type="dxa"/>
              <w:left w:w="150" w:type="dxa"/>
              <w:right w:w="150" w:type="dxa"/>
            </w:tcMar>
            <w:vAlign w:val="center"/>
          </w:tcPr>
          <w:p>
            <w:pPr>
              <w:spacing w:after="0" w:before="0"/>
              <w:jc w:val="center"/>
            </w:pPr>
            <w:r>
              <w:rPr>
                <w:rFonts w:ascii="Microsoft JhengHei" w:hAnsi="Microsoft JhengHei"/>
                <w:sz w:val="19"/>
              </w:rPr>
              <w:t>存活 (alive)</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154</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23.02%</w:t>
            </w:r>
          </w:p>
        </w:tc>
        <w:tc>
          <w:tcPr>
            <w:tcW w:type="dxa" w:w="1728"/>
            <w:shd w:fill="F9FBFC"/>
            <w:tcMar>
              <w:top w:w="100" w:type="dxa"/>
              <w:bottom w:w="100" w:type="dxa"/>
              <w:left w:w="150" w:type="dxa"/>
              <w:right w:w="150" w:type="dxa"/>
            </w:tcMar>
            <w:vAlign w:val="center"/>
          </w:tcPr>
          <w:p>
            <w:pPr>
              <w:spacing w:after="0" w:before="0"/>
              <w:jc w:val="center"/>
            </w:pPr>
            <w:r>
              <w:rPr>
                <w:rFonts w:ascii="Microsoft JhengHei" w:hAnsi="Microsoft JhengHei"/>
                <w:sz w:val="19"/>
              </w:rPr>
              <w:t>存活者全數為健康人+1深井</w:t>
            </w:r>
          </w:p>
        </w:tc>
      </w:tr>
      <w:tr>
        <w:tc>
          <w:tcPr>
            <w:tcW w:type="dxa" w:w="2592"/>
            <w:shd w:fill="FFFFFF"/>
            <w:tcMar>
              <w:top w:w="100" w:type="dxa"/>
              <w:bottom w:w="100" w:type="dxa"/>
              <w:left w:w="150" w:type="dxa"/>
              <w:right w:w="150" w:type="dxa"/>
            </w:tcMar>
            <w:vAlign w:val="center"/>
          </w:tcPr>
          <w:p>
            <w:pPr>
              <w:spacing w:after="0" w:before="0"/>
              <w:jc w:val="left"/>
            </w:pPr>
            <w:r>
              <w:rPr>
                <w:rFonts w:ascii="Microsoft JhengHei" w:hAnsi="Microsoft JhengHei"/>
                <w:sz w:val="19"/>
              </w:rPr>
            </w:r>
          </w:p>
        </w:tc>
        <w:tc>
          <w:tcPr>
            <w:tcW w:type="dxa" w:w="2880"/>
            <w:shd w:fill="FFFFFF"/>
            <w:tcMar>
              <w:top w:w="100" w:type="dxa"/>
              <w:bottom w:w="100" w:type="dxa"/>
              <w:left w:w="150" w:type="dxa"/>
              <w:right w:w="150" w:type="dxa"/>
            </w:tcMar>
            <w:vAlign w:val="center"/>
          </w:tcPr>
          <w:p>
            <w:pPr>
              <w:spacing w:after="0" w:before="0"/>
              <w:jc w:val="center"/>
            </w:pPr>
            <w:r>
              <w:rPr>
                <w:rFonts w:ascii="Microsoft JhengHei" w:hAnsi="Microsoft JhengHei"/>
                <w:sz w:val="19"/>
              </w:rPr>
              <w:t>死亡 (Dead)</w:t>
            </w:r>
          </w:p>
        </w:tc>
        <w:tc>
          <w:tcPr>
            <w:tcW w:type="dxa" w:w="1584"/>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515</w:t>
            </w:r>
          </w:p>
        </w:tc>
        <w:tc>
          <w:tcPr>
            <w:tcW w:type="dxa" w:w="1584"/>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76.98%</w:t>
            </w:r>
          </w:p>
        </w:tc>
        <w:tc>
          <w:tcPr>
            <w:tcW w:type="dxa" w:w="1728"/>
            <w:shd w:fill="FFFFFF"/>
            <w:tcMar>
              <w:top w:w="100" w:type="dxa"/>
              <w:bottom w:w="100" w:type="dxa"/>
              <w:left w:w="150" w:type="dxa"/>
              <w:right w:w="150" w:type="dxa"/>
            </w:tcMar>
            <w:vAlign w:val="center"/>
          </w:tcPr>
          <w:p>
            <w:pPr>
              <w:spacing w:after="0" w:before="0"/>
              <w:jc w:val="center"/>
            </w:pPr>
            <w:r>
              <w:rPr>
                <w:rFonts w:ascii="Microsoft JhengHei" w:hAnsi="Microsoft JhengHei"/>
                <w:sz w:val="19"/>
              </w:rPr>
              <w:t>全體粗死亡率 (Mortality)</w:t>
            </w:r>
          </w:p>
        </w:tc>
      </w:tr>
      <w:tr>
        <w:tc>
          <w:tcPr>
            <w:tcW w:type="dxa" w:w="2592"/>
            <w:shd w:fill="F9FBFC"/>
            <w:tcMar>
              <w:top w:w="100" w:type="dxa"/>
              <w:bottom w:w="100" w:type="dxa"/>
              <w:left w:w="150" w:type="dxa"/>
              <w:right w:w="150" w:type="dxa"/>
            </w:tcMar>
            <w:vAlign w:val="center"/>
          </w:tcPr>
          <w:p>
            <w:pPr>
              <w:spacing w:after="0" w:before="0"/>
              <w:jc w:val="left"/>
            </w:pPr>
            <w:r>
              <w:rPr>
                <w:rFonts w:ascii="Microsoft JhengHei" w:hAnsi="Microsoft JhengHei"/>
                <w:sz w:val="19"/>
              </w:rPr>
            </w:r>
          </w:p>
        </w:tc>
        <w:tc>
          <w:tcPr>
            <w:tcW w:type="dxa" w:w="2880"/>
            <w:shd w:fill="F9FBFC"/>
            <w:tcMar>
              <w:top w:w="100" w:type="dxa"/>
              <w:bottom w:w="100" w:type="dxa"/>
              <w:left w:w="150" w:type="dxa"/>
              <w:right w:w="150" w:type="dxa"/>
            </w:tcMar>
            <w:vAlign w:val="center"/>
          </w:tcPr>
          <w:p>
            <w:pPr>
              <w:spacing w:after="0" w:before="0"/>
              <w:jc w:val="center"/>
            </w:pPr>
            <w:r>
              <w:rPr>
                <w:rFonts w:ascii="Microsoft JhengHei" w:hAnsi="Microsoft JhengHei"/>
                <w:sz w:val="19"/>
              </w:rPr>
              <w:t>患病者病死率 (Case Fatality)</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515 / 515</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100.00%</w:t>
            </w:r>
          </w:p>
        </w:tc>
        <w:tc>
          <w:tcPr>
            <w:tcW w:type="dxa" w:w="1728"/>
            <w:shd w:fill="F9FBFC"/>
            <w:tcMar>
              <w:top w:w="100" w:type="dxa"/>
              <w:bottom w:w="100" w:type="dxa"/>
              <w:left w:w="150" w:type="dxa"/>
              <w:right w:w="150" w:type="dxa"/>
            </w:tcMar>
            <w:vAlign w:val="center"/>
          </w:tcPr>
          <w:p>
            <w:pPr>
              <w:spacing w:after="0" w:before="0"/>
              <w:jc w:val="center"/>
            </w:pPr>
            <w:r>
              <w:rPr>
                <w:rFonts w:ascii="Microsoft JhengHei" w:hAnsi="Microsoft JhengHei"/>
                <w:sz w:val="19"/>
              </w:rPr>
              <w:t>患病個案致死率極端兇猛</w:t>
            </w:r>
          </w:p>
        </w:tc>
      </w:tr>
      <w:tr>
        <w:tc>
          <w:tcPr>
            <w:tcW w:type="dxa" w:w="2592"/>
            <w:shd w:fill="FFFFFF"/>
            <w:tcMar>
              <w:top w:w="100" w:type="dxa"/>
              <w:bottom w:w="100" w:type="dxa"/>
              <w:left w:w="150" w:type="dxa"/>
              <w:right w:w="150" w:type="dxa"/>
            </w:tcMar>
            <w:vAlign w:val="center"/>
          </w:tcPr>
          <w:p>
            <w:pPr>
              <w:spacing w:after="0" w:before="0"/>
              <w:jc w:val="left"/>
            </w:pPr>
            <w:r>
              <w:rPr>
                <w:rFonts w:ascii="Microsoft JhengHei" w:hAnsi="Microsoft JhengHei"/>
                <w:sz w:val="19"/>
              </w:rPr>
              <w:t>性別分佈</w:t>
            </w:r>
          </w:p>
        </w:tc>
        <w:tc>
          <w:tcPr>
            <w:tcW w:type="dxa" w:w="2880"/>
            <w:shd w:fill="FFFFFF"/>
            <w:tcMar>
              <w:top w:w="100" w:type="dxa"/>
              <w:bottom w:w="100" w:type="dxa"/>
              <w:left w:w="150" w:type="dxa"/>
              <w:right w:w="150" w:type="dxa"/>
            </w:tcMar>
            <w:vAlign w:val="center"/>
          </w:tcPr>
          <w:p>
            <w:pPr>
              <w:spacing w:after="0" w:before="0"/>
              <w:jc w:val="center"/>
            </w:pPr>
            <w:r>
              <w:rPr>
                <w:rFonts w:ascii="Microsoft JhengHei" w:hAnsi="Microsoft JhengHei"/>
                <w:sz w:val="19"/>
              </w:rPr>
              <w:t>女性 (Female, F)</w:t>
            </w:r>
          </w:p>
        </w:tc>
        <w:tc>
          <w:tcPr>
            <w:tcW w:type="dxa" w:w="1584"/>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409</w:t>
            </w:r>
          </w:p>
        </w:tc>
        <w:tc>
          <w:tcPr>
            <w:tcW w:type="dxa" w:w="1584"/>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61.14%</w:t>
            </w:r>
          </w:p>
        </w:tc>
        <w:tc>
          <w:tcPr>
            <w:tcW w:type="dxa" w:w="1728"/>
            <w:shd w:fill="FFFFFF"/>
            <w:tcMar>
              <w:top w:w="100" w:type="dxa"/>
              <w:bottom w:w="100" w:type="dxa"/>
              <w:left w:w="150" w:type="dxa"/>
              <w:right w:w="150" w:type="dxa"/>
            </w:tcMar>
            <w:vAlign w:val="center"/>
          </w:tcPr>
          <w:p>
            <w:pPr>
              <w:spacing w:after="0" w:before="0"/>
              <w:jc w:val="center"/>
            </w:pPr>
            <w:r>
              <w:rPr>
                <w:rFonts w:ascii="Microsoft JhengHei" w:hAnsi="Microsoft JhengHei"/>
                <w:sz w:val="19"/>
              </w:rPr>
              <w:t>女男比 1.573 : 1</w:t>
            </w:r>
          </w:p>
        </w:tc>
      </w:tr>
      <w:tr>
        <w:tc>
          <w:tcPr>
            <w:tcW w:type="dxa" w:w="2592"/>
            <w:shd w:fill="F9FBFC"/>
            <w:tcMar>
              <w:top w:w="100" w:type="dxa"/>
              <w:bottom w:w="100" w:type="dxa"/>
              <w:left w:w="150" w:type="dxa"/>
              <w:right w:w="150" w:type="dxa"/>
            </w:tcMar>
            <w:vAlign w:val="center"/>
          </w:tcPr>
          <w:p>
            <w:pPr>
              <w:spacing w:after="0" w:before="0"/>
              <w:jc w:val="left"/>
            </w:pPr>
            <w:r>
              <w:rPr>
                <w:rFonts w:ascii="Microsoft JhengHei" w:hAnsi="Microsoft JhengHei"/>
                <w:sz w:val="19"/>
              </w:rPr>
            </w:r>
          </w:p>
        </w:tc>
        <w:tc>
          <w:tcPr>
            <w:tcW w:type="dxa" w:w="2880"/>
            <w:shd w:fill="F9FBFC"/>
            <w:tcMar>
              <w:top w:w="100" w:type="dxa"/>
              <w:bottom w:w="100" w:type="dxa"/>
              <w:left w:w="150" w:type="dxa"/>
              <w:right w:w="150" w:type="dxa"/>
            </w:tcMar>
            <w:vAlign w:val="center"/>
          </w:tcPr>
          <w:p>
            <w:pPr>
              <w:spacing w:after="0" w:before="0"/>
              <w:jc w:val="center"/>
            </w:pPr>
            <w:r>
              <w:rPr>
                <w:rFonts w:ascii="Microsoft JhengHei" w:hAnsi="Microsoft JhengHei"/>
                <w:sz w:val="19"/>
              </w:rPr>
              <w:t>男性 (Male, M)</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260</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38.86%</w:t>
            </w:r>
          </w:p>
        </w:tc>
        <w:tc>
          <w:tcPr>
            <w:tcW w:type="dxa" w:w="1728"/>
            <w:shd w:fill="F9FBFC"/>
            <w:tcMar>
              <w:top w:w="100" w:type="dxa"/>
              <w:bottom w:w="100" w:type="dxa"/>
              <w:left w:w="150" w:type="dxa"/>
              <w:right w:w="150" w:type="dxa"/>
            </w:tcMar>
            <w:vAlign w:val="center"/>
          </w:tcPr>
          <w:p>
            <w:pPr>
              <w:spacing w:after="0" w:before="0"/>
              <w:jc w:val="center"/>
            </w:pPr>
            <w:r>
              <w:rPr>
                <w:rFonts w:ascii="Microsoft JhengHei" w:hAnsi="Microsoft JhengHei"/>
                <w:sz w:val="19"/>
              </w:rPr>
              <w:t>男女比 0.636 : 1</w:t>
            </w:r>
          </w:p>
        </w:tc>
      </w:tr>
      <w:tr>
        <w:tc>
          <w:tcPr>
            <w:tcW w:type="dxa" w:w="2592"/>
            <w:shd w:fill="FFFFFF"/>
            <w:tcMar>
              <w:top w:w="100" w:type="dxa"/>
              <w:bottom w:w="100" w:type="dxa"/>
              <w:left w:w="150" w:type="dxa"/>
              <w:right w:w="150" w:type="dxa"/>
            </w:tcMar>
            <w:vAlign w:val="center"/>
          </w:tcPr>
          <w:p>
            <w:pPr>
              <w:spacing w:after="0" w:before="0"/>
              <w:jc w:val="left"/>
            </w:pPr>
            <w:r>
              <w:rPr>
                <w:rFonts w:ascii="Microsoft JhengHei" w:hAnsi="Microsoft JhengHei"/>
                <w:sz w:val="19"/>
              </w:rPr>
              <w:t>年齡分組分佈</w:t>
            </w:r>
          </w:p>
        </w:tc>
        <w:tc>
          <w:tcPr>
            <w:tcW w:type="dxa" w:w="2880"/>
            <w:shd w:fill="FFFFFF"/>
            <w:tcMar>
              <w:top w:w="100" w:type="dxa"/>
              <w:bottom w:w="100" w:type="dxa"/>
              <w:left w:w="150" w:type="dxa"/>
              <w:right w:w="150" w:type="dxa"/>
            </w:tcMar>
            <w:vAlign w:val="center"/>
          </w:tcPr>
          <w:p>
            <w:pPr>
              <w:spacing w:after="0" w:before="0"/>
              <w:jc w:val="center"/>
            </w:pPr>
            <w:r>
              <w:rPr>
                <w:rFonts w:ascii="Microsoft JhengHei" w:hAnsi="Microsoft JhengHei"/>
                <w:sz w:val="19"/>
              </w:rPr>
              <w:t>年輕族群 (&lt;= 40 歲)</w:t>
            </w:r>
          </w:p>
        </w:tc>
        <w:tc>
          <w:tcPr>
            <w:tcW w:type="dxa" w:w="1584"/>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349</w:t>
            </w:r>
          </w:p>
        </w:tc>
        <w:tc>
          <w:tcPr>
            <w:tcW w:type="dxa" w:w="1584"/>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52.17%</w:t>
            </w:r>
          </w:p>
        </w:tc>
        <w:tc>
          <w:tcPr>
            <w:tcW w:type="dxa" w:w="1728"/>
            <w:shd w:fill="FFFFFF"/>
            <w:tcMar>
              <w:top w:w="100" w:type="dxa"/>
              <w:bottom w:w="100" w:type="dxa"/>
              <w:left w:w="150" w:type="dxa"/>
              <w:right w:w="150" w:type="dxa"/>
            </w:tcMar>
            <w:vAlign w:val="center"/>
          </w:tcPr>
          <w:p>
            <w:pPr>
              <w:spacing w:after="0" w:before="0"/>
              <w:jc w:val="center"/>
            </w:pPr>
            <w:r>
              <w:rPr>
                <w:rFonts w:ascii="Microsoft JhengHei" w:hAnsi="Microsoft JhengHei"/>
                <w:sz w:val="19"/>
              </w:rPr>
              <w:t>平均年齡 39.67 歲</w:t>
            </w:r>
          </w:p>
        </w:tc>
      </w:tr>
      <w:tr>
        <w:tc>
          <w:tcPr>
            <w:tcW w:type="dxa" w:w="2592"/>
            <w:shd w:fill="F9FBFC"/>
            <w:tcMar>
              <w:top w:w="100" w:type="dxa"/>
              <w:bottom w:w="100" w:type="dxa"/>
              <w:left w:w="150" w:type="dxa"/>
              <w:right w:w="150" w:type="dxa"/>
            </w:tcMar>
            <w:vAlign w:val="center"/>
          </w:tcPr>
          <w:p>
            <w:pPr>
              <w:spacing w:after="0" w:before="0"/>
              <w:jc w:val="left"/>
            </w:pPr>
            <w:r>
              <w:rPr>
                <w:rFonts w:ascii="Microsoft JhengHei" w:hAnsi="Microsoft JhengHei"/>
                <w:sz w:val="19"/>
              </w:rPr>
            </w:r>
          </w:p>
        </w:tc>
        <w:tc>
          <w:tcPr>
            <w:tcW w:type="dxa" w:w="2880"/>
            <w:shd w:fill="F9FBFC"/>
            <w:tcMar>
              <w:top w:w="100" w:type="dxa"/>
              <w:bottom w:w="100" w:type="dxa"/>
              <w:left w:w="150" w:type="dxa"/>
              <w:right w:w="150" w:type="dxa"/>
            </w:tcMar>
            <w:vAlign w:val="center"/>
          </w:tcPr>
          <w:p>
            <w:pPr>
              <w:spacing w:after="0" w:before="0"/>
              <w:jc w:val="center"/>
            </w:pPr>
            <w:r>
              <w:rPr>
                <w:rFonts w:ascii="Microsoft JhengHei" w:hAnsi="Microsoft JhengHei"/>
                <w:sz w:val="19"/>
              </w:rPr>
              <w:t>中高齡族群 (41+ 歲)</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320</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47.83%</w:t>
            </w:r>
          </w:p>
        </w:tc>
        <w:tc>
          <w:tcPr>
            <w:tcW w:type="dxa" w:w="1728"/>
            <w:shd w:fill="F9FBFC"/>
            <w:tcMar>
              <w:top w:w="100" w:type="dxa"/>
              <w:bottom w:w="100" w:type="dxa"/>
              <w:left w:w="150" w:type="dxa"/>
              <w:right w:w="150" w:type="dxa"/>
            </w:tcMar>
            <w:vAlign w:val="center"/>
          </w:tcPr>
          <w:p>
            <w:pPr>
              <w:spacing w:after="0" w:before="0"/>
              <w:jc w:val="center"/>
            </w:pPr>
            <w:r>
              <w:rPr>
                <w:rFonts w:ascii="Microsoft JhengHei" w:hAnsi="Microsoft JhengHei"/>
                <w:sz w:val="19"/>
              </w:rPr>
              <w:t>年齡範圍 8 ~ 90 歲</w:t>
            </w:r>
          </w:p>
        </w:tc>
      </w:tr>
      <w:tr>
        <w:tc>
          <w:tcPr>
            <w:tcW w:type="dxa" w:w="2592"/>
            <w:shd w:fill="FFFFFF"/>
            <w:tcMar>
              <w:top w:w="100" w:type="dxa"/>
              <w:bottom w:w="100" w:type="dxa"/>
              <w:left w:w="150" w:type="dxa"/>
              <w:right w:w="150" w:type="dxa"/>
            </w:tcMar>
            <w:vAlign w:val="center"/>
          </w:tcPr>
          <w:p>
            <w:pPr>
              <w:spacing w:after="0" w:before="0"/>
              <w:jc w:val="left"/>
            </w:pPr>
            <w:r>
              <w:rPr>
                <w:rFonts w:ascii="Microsoft JhengHei" w:hAnsi="Microsoft JhengHei"/>
                <w:sz w:val="19"/>
              </w:rPr>
              <w:t>總計母群體</w:t>
            </w:r>
          </w:p>
        </w:tc>
        <w:tc>
          <w:tcPr>
            <w:tcW w:type="dxa" w:w="2880"/>
            <w:shd w:fill="FFFFFF"/>
            <w:tcMar>
              <w:top w:w="100" w:type="dxa"/>
              <w:bottom w:w="100" w:type="dxa"/>
              <w:left w:w="150" w:type="dxa"/>
              <w:right w:w="150" w:type="dxa"/>
            </w:tcMar>
            <w:vAlign w:val="center"/>
          </w:tcPr>
          <w:p>
            <w:pPr>
              <w:spacing w:after="0" w:before="0"/>
              <w:jc w:val="center"/>
            </w:pPr>
            <w:r>
              <w:rPr>
                <w:rFonts w:ascii="Microsoft JhengHei" w:hAnsi="Microsoft JhengHei"/>
                <w:sz w:val="19"/>
              </w:rPr>
              <w:t>橘郡受查總人口</w:t>
            </w:r>
          </w:p>
        </w:tc>
        <w:tc>
          <w:tcPr>
            <w:tcW w:type="dxa" w:w="1584"/>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669</w:t>
            </w:r>
          </w:p>
        </w:tc>
        <w:tc>
          <w:tcPr>
            <w:tcW w:type="dxa" w:w="1584"/>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100.00%</w:t>
            </w:r>
          </w:p>
        </w:tc>
        <w:tc>
          <w:tcPr>
            <w:tcW w:type="dxa" w:w="1728"/>
            <w:shd w:fill="FFFFFF"/>
            <w:tcMar>
              <w:top w:w="100" w:type="dxa"/>
              <w:bottom w:w="100" w:type="dxa"/>
              <w:left w:w="150" w:type="dxa"/>
              <w:right w:w="150" w:type="dxa"/>
            </w:tcMar>
            <w:vAlign w:val="center"/>
          </w:tcPr>
          <w:p>
            <w:pPr>
              <w:spacing w:after="0" w:before="0"/>
              <w:jc w:val="center"/>
            </w:pPr>
            <w:r>
              <w:rPr>
                <w:rFonts w:ascii="Microsoft JhengHei" w:hAnsi="Microsoft JhengHei"/>
                <w:sz w:val="19"/>
              </w:rPr>
              <w:t>完全調查無失聯</w:t>
            </w:r>
          </w:p>
        </w:tc>
      </w:tr>
    </w:tbl>
    <w:p>
      <w:pPr>
        <w:spacing w:after="160"/>
      </w:pPr>
      <w:r>
        <w:rPr>
          <w:i/>
          <w:color w:val="646464"/>
          <w:sz w:val="17"/>
        </w:rPr>
        <w:t>註：資料來源為現場調查員個案登記簿（N=669）。百分比採四捨五入計算至小數點後兩位。</w:t>
      </w:r>
    </w:p>
    <w:p>
      <w:pPr>
        <w:keepNext/>
        <w:spacing w:before="200" w:after="80"/>
      </w:pPr>
      <w:r>
        <w:rPr>
          <w:rFonts w:ascii="Microsoft JhengHei" w:hAnsi="Microsoft JhengHei"/>
          <w:b/>
          <w:color w:val="2C3E50"/>
          <w:sz w:val="23"/>
        </w:rPr>
        <w:t>1.1 患病比例（Disease Morbidity / Attack Rate）分析</w:t>
      </w:r>
    </w:p>
    <w:p>
      <w:r>
        <w:t>橘郡全體受查居民 669 人中，確診患病者高達 515 人，整體患病比例（罹病率/侵襲率 Attack Rate）為 76.98%（約 77.0%）。未受感染或未發病之健康人口僅 154 人，佔 23.02%（約 23.0%）。此一極高的罹病率顯示該致病因子具有極強的穿透力與普遍暴露性，符合典型「共同媒介物（Common Source/Vehicle）」爆發之特徵。</w:t>
      </w:r>
    </w:p>
    <w:p>
      <w:pPr>
        <w:keepNext/>
        <w:spacing w:before="200" w:after="80"/>
      </w:pPr>
      <w:r>
        <w:rPr>
          <w:rFonts w:ascii="Microsoft JhengHei" w:hAnsi="Microsoft JhengHei"/>
          <w:b/>
          <w:color w:val="2C3E50"/>
          <w:sz w:val="23"/>
        </w:rPr>
        <w:t>1.2 飲用水來源種類比例（Drinking Water Sources Distribution）</w:t>
      </w:r>
    </w:p>
    <w:p>
      <w:r>
        <w:t>調查發現該社區飲用水來源存在三種主要形式：</w:t>
        <w:br/>
        <w:t>（1）深井水（Deep well）：共 502 人飲用，佔總人口 75.04%，為該郡最主要的民生自備水源；</w:t>
        <w:br/>
        <w:t>（2）淺井水（shallow well）：共 115 人飲用，佔總人口 17.19%；</w:t>
        <w:br/>
        <w:t>（3）自來水（Top water）：共 52 人飲用，佔總人口 7.77%，多為鄰近主幹道管網之住戶。</w:t>
        <w:br/>
        <w:t>三者合規劃分為兩大暴露類群：深井水組（water_group = 2，佔 75.04%）與非深井水組（water_group = 1，包含淺井水與自來水，共 167 人，佔 24.96%）。</w:t>
      </w:r>
    </w:p>
    <w:p>
      <w:pPr>
        <w:keepNext/>
        <w:spacing w:before="200" w:after="80"/>
      </w:pPr>
      <w:r>
        <w:rPr>
          <w:rFonts w:ascii="Microsoft JhengHei" w:hAnsi="Microsoft JhengHei"/>
          <w:b/>
          <w:color w:val="2C3E50"/>
          <w:sz w:val="23"/>
        </w:rPr>
        <w:t>1.3 患病嚴重程度分布情形（Disease Severity Distribution）</w:t>
      </w:r>
    </w:p>
    <w:p>
      <w:r>
        <w:t>依據臨床病徵與病程進展，全體居民健康狀態被嚴格歸納為三級：</w:t>
        <w:br/>
        <w:t>• 健康狀態（Healthy）：154 人（23.02%），受查期間完全無任何臨床症狀，生命徵象穩定。</w:t>
        <w:br/>
        <w:t>• 輕度患病（minor）：207 人（30.94%），出現急性中毒或感染初期症狀（如嚴重噁心、腹絞痛、電解質失衡與中樞神經輕度抑制）。</w:t>
        <w:br/>
        <w:t>• 重度患病（severe）：308 人（46.04%），迅速併發急性多重器官衰竭、劇烈抽搐、昏迷與不可逆性休克。</w:t>
        <w:br/>
        <w:t>若以患病人口（515人）作為分母計算內部嚴重度比例，輕度患者佔 40.19%（207/515），重度患者則高達 59.81%（308/515），顯示重症比例極高。</w:t>
      </w:r>
    </w:p>
    <w:p>
      <w:pPr>
        <w:keepNext/>
        <w:spacing w:before="200" w:after="80"/>
      </w:pPr>
      <w:r>
        <w:rPr>
          <w:rFonts w:ascii="Microsoft JhengHei" w:hAnsi="Microsoft JhengHei"/>
          <w:b/>
          <w:color w:val="2C3E50"/>
          <w:sz w:val="23"/>
        </w:rPr>
        <w:t>1.4 疾病死亡率與致死率（Mortality Rate &amp; Case Fatality Rate）</w:t>
      </w:r>
    </w:p>
    <w:p>
      <w:r>
        <w:t>本事件之死亡指標呈现極其駭人之結果：</w:t>
        <w:br/>
        <w:t>• 全體居民總粗死亡率（Overall Crude Mortality Rate）：全體 669 人中死亡 515 人，粗死亡率高達 76.98%。</w:t>
        <w:br/>
        <w:t>• 患病者致死率（Case Fatality Rate, CFR）：在 515 名發病個案中，死亡人數亦為 515 人，致死率達到恐怖的 100.00%！</w:t>
        <w:br/>
        <w:t>• 健康者死亡率：在 154 名健康者中，死亡人數為 0 人（0.00%），全數存活。</w:t>
        <w:br/>
        <w:t>調查員特別警示辦公室：本疾病一旦發病（無論初期判定為 minor 或 severe），病程演變皆為致命性結局，致死率為 100%，凸顯該病原體或化學毒物對人體具有不可逆的毀滅性殺傷力。</w:t>
      </w:r>
    </w:p>
    <w:p>
      <w:pPr>
        <w:keepNext/>
        <w:spacing w:before="200" w:after="80"/>
      </w:pPr>
      <w:r>
        <w:rPr>
          <w:rFonts w:ascii="Microsoft JhengHei" w:hAnsi="Microsoft JhengHei"/>
          <w:b/>
          <w:color w:val="2C3E50"/>
          <w:sz w:val="23"/>
        </w:rPr>
        <w:t>1.5 性別比例與人口學特徵（Gender &amp; Demographic Distribution）</w:t>
      </w:r>
    </w:p>
    <w:p>
      <w:r>
        <w:t>在受查人口中，女性居民共有 409 人，佔比 61.14%；男性居民共有 260 人，佔比 38.86%。</w:t>
        <w:br/>
        <w:t>男女比例（Male : Female）為 0.636 : 1（即每 100 名女性對應約 63.6 名男性）；女男比例（Female : Male）為 1.573 : 1。</w:t>
        <w:br/>
        <w:t>在年齡方面，全體居民平均年齡為 39.67 ± 18.72 歲（範圍 8 至 90 歲）。40 歲以下年輕族群佔 52.17%（349人），41 歲以上中高齡族群佔 47.83%（320人），人口年齡結構分佈均勻。</w:t>
      </w:r>
    </w:p>
    <w:p>
      <w:pPr>
        <w:spacing w:before="160" w:after="40"/>
        <w:jc w:val="center"/>
      </w:pPr>
      <w:r>
        <w:drawing>
          <wp:inline xmlns:a="http://schemas.openxmlformats.org/drawingml/2006/main" xmlns:pic="http://schemas.openxmlformats.org/drawingml/2006/picture">
            <wp:extent cx="5303520" cy="3646170"/>
            <wp:docPr id="1" name="Picture 1"/>
            <wp:cNvGraphicFramePr>
              <a:graphicFrameLocks noChangeAspect="1"/>
            </wp:cNvGraphicFramePr>
            <a:graphic>
              <a:graphicData uri="http://schemas.openxmlformats.org/drawingml/2006/picture">
                <pic:pic>
                  <pic:nvPicPr>
                    <pic:cNvPr id="0" name="chart1_water_survival.png"/>
                    <pic:cNvPicPr/>
                  </pic:nvPicPr>
                  <pic:blipFill>
                    <a:blip r:embed="rId11"/>
                    <a:stretch>
                      <a:fillRect/>
                    </a:stretch>
                  </pic:blipFill>
                  <pic:spPr>
                    <a:xfrm>
                      <a:off x="0" y="0"/>
                      <a:ext cx="5303520" cy="3646170"/>
                    </a:xfrm>
                    <a:prstGeom prst="rect"/>
                  </pic:spPr>
                </pic:pic>
              </a:graphicData>
            </a:graphic>
          </wp:inline>
        </w:drawing>
      </w:r>
    </w:p>
    <w:p>
      <w:pPr>
        <w:spacing w:after="240"/>
        <w:jc w:val="center"/>
      </w:pPr>
      <w:r>
        <w:rPr>
          <w:b/>
          <w:color w:val="2980B9"/>
          <w:sz w:val="18"/>
        </w:rPr>
        <w:t>圖 1：橘郡居民不同飲用水來源之存活與死亡分佈對比圖（含各類水源死亡率趨勢線）</w:t>
      </w:r>
    </w:p>
    <w:p>
      <w:pPr>
        <w:keepNext/>
        <w:spacing w:before="280" w:after="120"/>
      </w:pPr>
      <w:r>
        <w:rPr>
          <w:rFonts w:ascii="Microsoft JhengHei" w:hAnsi="Microsoft JhengHei"/>
          <w:b/>
          <w:color w:val="1B365D"/>
          <w:sz w:val="28"/>
        </w:rPr>
        <w:t>第二部分：居民患病及死亡之根本原因調查與推論性統計檢定</w:t>
      </w:r>
    </w:p>
    <w:p>
      <w:r>
        <w:t>為徹底追查造成橘郡 515 名居民集體發病且全數死亡的根本原因，調查小組針對流行病學三大經典假說進行了假設檢定：</w:t>
        <w:br/>
        <w:t>【假說一】飲用水源暴露假說（深井水污染）；</w:t>
        <w:br/>
        <w:t>【假說二】性別易感性假說（特定性別生理弱勢）；</w:t>
        <w:br/>
        <w:t>【假說三】年齡易感性假說（老年或幼童抵抗力脆弱）。</w:t>
        <w:br/>
        <w:t>利用 Pearson 卡方檢定（Chi-Square Test）、連續性校正（Yates' Continuity Correction）、費雪精確檢定（Fisher's Exact Test），並計算風險比（Relative Risk / Risk Ratio, RR）與勝算比（Odds Ratio, OR）及其 95% 信賴區間（CI），檢定結果獲致突破性結論。</w:t>
      </w:r>
    </w:p>
    <w:p>
      <w:pPr>
        <w:keepNext/>
        <w:spacing w:before="200" w:after="80"/>
      </w:pPr>
      <w:r>
        <w:rPr>
          <w:rFonts w:ascii="Microsoft JhengHei" w:hAnsi="Microsoft JhengHei"/>
          <w:b/>
          <w:color w:val="2C3E50"/>
          <w:sz w:val="23"/>
        </w:rPr>
        <w:t>2.1 致病與致死根本原因：深井地下水源（Deep well）遭受致命污染</w:t>
      </w:r>
    </w:p>
    <w:p>
      <w:r>
        <w:t>統計結果明確指出：飲用深井水（Deep well）是造成居民集體患病與死亡的單一絕對主因。</w:t>
        <w:br/>
        <w:t>在飲用深井水的 502 名居民中，高達 501 人死亡，死亡率高達 99.80%，僅 1 人倖免於難；反觀飲用非深井水（淺井水與自來水）的 167 名居民中，僅 14 人發病死亡，死亡率僅 8.38%，存活率高達 91.62%！以下為 2x2 列聯表及相關檢定數據：</w:t>
      </w:r>
    </w:p>
    <w:tbl>
      <w:tblPr>
        <w:tblW w:type="auto" w:w="0"/>
        <w:jc w:val="center"/>
        <w:tblLook w:firstColumn="1" w:firstRow="1" w:lastColumn="0" w:lastRow="0" w:noHBand="0" w:noVBand="1" w:val="04A0"/>
        <w:tblBorders>
          <w:top w:val="single" w:sz="12" w:space="0" w:color="1B365D"/>
          <w:bottom w:val="single" w:sz="12" w:space="0" w:color="1B365D"/>
          <w:left w:val="none"/>
          <w:right w:val="none"/>
          <w:insideH w:val="single" w:sz="4" w:space="0" w:color="D5D8DC"/>
          <w:insideV w:val="none"/>
        </w:tblBorders>
      </w:tblPr>
      <w:tblGrid>
        <w:gridCol w:w="1505"/>
        <w:gridCol w:w="1505"/>
        <w:gridCol w:w="1505"/>
        <w:gridCol w:w="1505"/>
        <w:gridCol w:w="1505"/>
        <w:gridCol w:w="1505"/>
      </w:tblGrid>
      <w:tr>
        <w:tc>
          <w:tcPr>
            <w:tcW w:type="dxa" w:w="2592"/>
            <w:shd w:fill="1B365D"/>
            <w:tcMar>
              <w:top w:w="140" w:type="dxa"/>
              <w:bottom w:w="140" w:type="dxa"/>
              <w:left w:w="150" w:type="dxa"/>
              <w:right w:w="150" w:type="dxa"/>
            </w:tcMar>
            <w:vAlign w:val="center"/>
          </w:tcPr>
          <w:p>
            <w:pPr>
              <w:jc w:val="center"/>
            </w:pPr>
            <w:r>
              <w:rPr>
                <w:rFonts w:ascii="Microsoft JhengHei" w:hAnsi="Microsoft JhengHei"/>
                <w:b/>
                <w:color w:val="FFFFFF"/>
                <w:sz w:val="19"/>
              </w:rPr>
              <w:t>水源分組類別</w:t>
            </w:r>
          </w:p>
        </w:tc>
        <w:tc>
          <w:tcPr>
            <w:tcW w:type="dxa" w:w="1584"/>
            <w:shd w:fill="1B365D"/>
            <w:tcMar>
              <w:top w:w="140" w:type="dxa"/>
              <w:bottom w:w="140" w:type="dxa"/>
              <w:left w:w="150" w:type="dxa"/>
              <w:right w:w="150" w:type="dxa"/>
            </w:tcMar>
            <w:vAlign w:val="center"/>
          </w:tcPr>
          <w:p>
            <w:pPr>
              <w:jc w:val="center"/>
            </w:pPr>
            <w:r>
              <w:rPr>
                <w:rFonts w:ascii="Microsoft JhengHei" w:hAnsi="Microsoft JhengHei"/>
                <w:b/>
                <w:color w:val="FFFFFF"/>
                <w:sz w:val="19"/>
              </w:rPr>
              <w:t>死亡 (Dead)</w:t>
            </w:r>
          </w:p>
        </w:tc>
        <w:tc>
          <w:tcPr>
            <w:tcW w:type="dxa" w:w="1584"/>
            <w:shd w:fill="1B365D"/>
            <w:tcMar>
              <w:top w:w="140" w:type="dxa"/>
              <w:bottom w:w="140" w:type="dxa"/>
              <w:left w:w="150" w:type="dxa"/>
              <w:right w:w="150" w:type="dxa"/>
            </w:tcMar>
            <w:vAlign w:val="center"/>
          </w:tcPr>
          <w:p>
            <w:pPr>
              <w:jc w:val="center"/>
            </w:pPr>
            <w:r>
              <w:rPr>
                <w:rFonts w:ascii="Microsoft JhengHei" w:hAnsi="Microsoft JhengHei"/>
                <w:b/>
                <w:color w:val="FFFFFF"/>
                <w:sz w:val="19"/>
              </w:rPr>
              <w:t>存活 (Alive)</w:t>
            </w:r>
          </w:p>
        </w:tc>
        <w:tc>
          <w:tcPr>
            <w:tcW w:type="dxa" w:w="1584"/>
            <w:shd w:fill="1B365D"/>
            <w:tcMar>
              <w:top w:w="140" w:type="dxa"/>
              <w:bottom w:w="140" w:type="dxa"/>
              <w:left w:w="150" w:type="dxa"/>
              <w:right w:w="150" w:type="dxa"/>
            </w:tcMar>
            <w:vAlign w:val="center"/>
          </w:tcPr>
          <w:p>
            <w:pPr>
              <w:jc w:val="center"/>
            </w:pPr>
            <w:r>
              <w:rPr>
                <w:rFonts w:ascii="Microsoft JhengHei" w:hAnsi="Microsoft JhengHei"/>
                <w:b/>
                <w:color w:val="FFFFFF"/>
                <w:sz w:val="19"/>
              </w:rPr>
              <w:t>合計人數</w:t>
            </w:r>
          </w:p>
        </w:tc>
        <w:tc>
          <w:tcPr>
            <w:tcW w:type="dxa" w:w="1728"/>
            <w:shd w:fill="1B365D"/>
            <w:tcMar>
              <w:top w:w="140" w:type="dxa"/>
              <w:bottom w:w="140" w:type="dxa"/>
              <w:left w:w="150" w:type="dxa"/>
              <w:right w:w="150" w:type="dxa"/>
            </w:tcMar>
            <w:vAlign w:val="center"/>
          </w:tcPr>
          <w:p>
            <w:pPr>
              <w:jc w:val="center"/>
            </w:pPr>
            <w:r>
              <w:rPr>
                <w:rFonts w:ascii="Microsoft JhengHei" w:hAnsi="Microsoft JhengHei"/>
                <w:b/>
                <w:color w:val="FFFFFF"/>
                <w:sz w:val="19"/>
              </w:rPr>
              <w:t>死亡率 (Risk)</w:t>
            </w:r>
          </w:p>
        </w:tc>
        <w:tc>
          <w:tcPr>
            <w:tcW w:type="dxa" w:w="1728"/>
            <w:shd w:fill="1B365D"/>
            <w:tcMar>
              <w:top w:w="140" w:type="dxa"/>
              <w:bottom w:w="140" w:type="dxa"/>
              <w:left w:w="150" w:type="dxa"/>
              <w:right w:w="150" w:type="dxa"/>
            </w:tcMar>
            <w:vAlign w:val="center"/>
          </w:tcPr>
          <w:p>
            <w:pPr>
              <w:jc w:val="center"/>
            </w:pPr>
            <w:r>
              <w:rPr>
                <w:rFonts w:ascii="Microsoft JhengHei" w:hAnsi="Microsoft JhengHei"/>
                <w:b/>
                <w:color w:val="FFFFFF"/>
                <w:sz w:val="19"/>
              </w:rPr>
              <w:t>死亡勝算 (Odds)</w:t>
            </w:r>
          </w:p>
        </w:tc>
      </w:tr>
      <w:tr>
        <w:tc>
          <w:tcPr>
            <w:tcW w:type="dxa" w:w="2592"/>
            <w:shd w:fill="F9FBFC"/>
            <w:tcMar>
              <w:top w:w="100" w:type="dxa"/>
              <w:bottom w:w="100" w:type="dxa"/>
              <w:left w:w="150" w:type="dxa"/>
              <w:right w:w="150" w:type="dxa"/>
            </w:tcMar>
            <w:vAlign w:val="center"/>
          </w:tcPr>
          <w:p>
            <w:pPr>
              <w:spacing w:after="0" w:before="0"/>
              <w:jc w:val="left"/>
            </w:pPr>
            <w:r>
              <w:rPr>
                <w:rFonts w:ascii="Microsoft JhengHei" w:hAnsi="Microsoft JhengHei"/>
                <w:sz w:val="19"/>
              </w:rPr>
              <w:t>暴露組：深井水 (Deep well)</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501</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1</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502</w:t>
            </w:r>
          </w:p>
        </w:tc>
        <w:tc>
          <w:tcPr>
            <w:tcW w:type="dxa" w:w="1728"/>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99.80%</w:t>
            </w:r>
          </w:p>
        </w:tc>
        <w:tc>
          <w:tcPr>
            <w:tcW w:type="dxa" w:w="1728"/>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501.000</w:t>
            </w:r>
          </w:p>
        </w:tc>
      </w:tr>
      <w:tr>
        <w:tc>
          <w:tcPr>
            <w:tcW w:type="dxa" w:w="2592"/>
            <w:shd w:fill="FFFFFF"/>
            <w:tcMar>
              <w:top w:w="100" w:type="dxa"/>
              <w:bottom w:w="100" w:type="dxa"/>
              <w:left w:w="150" w:type="dxa"/>
              <w:right w:w="150" w:type="dxa"/>
            </w:tcMar>
            <w:vAlign w:val="center"/>
          </w:tcPr>
          <w:p>
            <w:pPr>
              <w:spacing w:after="0" w:before="0"/>
              <w:jc w:val="left"/>
            </w:pPr>
            <w:r>
              <w:rPr>
                <w:rFonts w:ascii="Microsoft JhengHei" w:hAnsi="Microsoft JhengHei"/>
                <w:sz w:val="19"/>
              </w:rPr>
              <w:t>非暴露組：非深井水 (淺井+自來)</w:t>
            </w:r>
          </w:p>
        </w:tc>
        <w:tc>
          <w:tcPr>
            <w:tcW w:type="dxa" w:w="1584"/>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14</w:t>
            </w:r>
          </w:p>
        </w:tc>
        <w:tc>
          <w:tcPr>
            <w:tcW w:type="dxa" w:w="1584"/>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153</w:t>
            </w:r>
          </w:p>
        </w:tc>
        <w:tc>
          <w:tcPr>
            <w:tcW w:type="dxa" w:w="1584"/>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167</w:t>
            </w:r>
          </w:p>
        </w:tc>
        <w:tc>
          <w:tcPr>
            <w:tcW w:type="dxa" w:w="1728"/>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8.38%</w:t>
            </w:r>
          </w:p>
        </w:tc>
        <w:tc>
          <w:tcPr>
            <w:tcW w:type="dxa" w:w="1728"/>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0.0915</w:t>
            </w:r>
          </w:p>
        </w:tc>
      </w:tr>
      <w:tr>
        <w:tc>
          <w:tcPr>
            <w:tcW w:type="dxa" w:w="2592"/>
            <w:shd w:fill="F9FBFC"/>
            <w:tcMar>
              <w:top w:w="100" w:type="dxa"/>
              <w:bottom w:w="100" w:type="dxa"/>
              <w:left w:w="150" w:type="dxa"/>
              <w:right w:w="150" w:type="dxa"/>
            </w:tcMar>
            <w:vAlign w:val="center"/>
          </w:tcPr>
          <w:p>
            <w:pPr>
              <w:spacing w:after="0" w:before="0"/>
              <w:jc w:val="left"/>
            </w:pPr>
            <w:r>
              <w:rPr>
                <w:rFonts w:ascii="Microsoft JhengHei" w:hAnsi="Microsoft JhengHei"/>
                <w:sz w:val="19"/>
              </w:rPr>
              <w:t>合計人數</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515</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154</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669</w:t>
            </w:r>
          </w:p>
        </w:tc>
        <w:tc>
          <w:tcPr>
            <w:tcW w:type="dxa" w:w="1728"/>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76.98%</w:t>
            </w:r>
          </w:p>
        </w:tc>
        <w:tc>
          <w:tcPr>
            <w:tcW w:type="dxa" w:w="1728"/>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3.3442</w:t>
            </w:r>
          </w:p>
        </w:tc>
      </w:tr>
      <w:tr>
        <w:tc>
          <w:tcPr>
            <w:tcW w:type="dxa" w:w="1584"/>
            <w:gridSpan w:val="4"/>
            <w:shd w:fill="FFFFFF"/>
            <w:tcMar>
              <w:top w:w="100" w:type="dxa"/>
              <w:bottom w:w="100" w:type="dxa"/>
              <w:left w:w="150" w:type="dxa"/>
              <w:right w:w="150" w:type="dxa"/>
            </w:tcMar>
            <w:vAlign w:val="center"/>
            <w:shd w:fill="FFFFFF"/>
            <w:tcMar>
              <w:top w:w="100" w:type="dxa"/>
              <w:bottom w:w="100" w:type="dxa"/>
              <w:left w:w="150" w:type="dxa"/>
              <w:right w:w="150" w:type="dxa"/>
            </w:tcMar>
            <w:shd w:fill="FFFFFF"/>
            <w:tcMar>
              <w:top w:w="100" w:type="dxa"/>
              <w:bottom w:w="100" w:type="dxa"/>
              <w:left w:w="150" w:type="dxa"/>
              <w:right w:w="150" w:type="dxa"/>
            </w:tcMar>
            <w:shd w:fill="FFFFFF"/>
            <w:tcMar>
              <w:top w:w="100" w:type="dxa"/>
              <w:bottom w:w="100" w:type="dxa"/>
              <w:left w:w="150" w:type="dxa"/>
              <w:right w:w="150" w:type="dxa"/>
            </w:tcMar>
          </w:tcPr>
          <w:p>
            <w:pPr>
              <w:spacing w:after="0" w:before="0"/>
              <w:jc w:val="right"/>
            </w:pPr>
            <w:r>
              <w:rPr>
                <w:rFonts w:ascii="Microsoft JhengHei" w:hAnsi="Microsoft JhengHei"/>
                <w:sz w:val="19"/>
              </w:rPr>
              <w:t>統計檢定指標</w:t>
            </w:r>
          </w:p>
          <w:p>
            <w:pPr>
              <w:spacing w:after="0" w:before="0"/>
              <w:jc w:val="right"/>
            </w:pPr>
            <w:r>
              <w:rPr>
                <w:rFonts w:ascii="Microsoft JhengHei" w:hAnsi="Microsoft JhengHei"/>
                <w:sz w:val="19"/>
              </w:rPr>
              <w:t>Pearson 卡方值: 590.987 (df=1, P &lt; 0.001)</w:t>
              <w:br/>
              <w:t>校正卡方值: 585.839 (P &lt; 0.001)</w:t>
              <w:br/>
              <w:t>Fisher 精確 P: 2.09 × 10⁻¹³³</w:t>
            </w:r>
          </w:p>
          <w:p>
            <w:pPr>
              <w:spacing w:after="0" w:before="0"/>
              <w:jc w:val="right"/>
            </w:pPr>
            <w:r>
              <w:rPr>
                <w:rFonts w:ascii="Microsoft JhengHei" w:hAnsi="Microsoft JhengHei"/>
                <w:sz w:val="19"/>
              </w:rPr>
            </w:r>
          </w:p>
          <w:p>
            <w:pPr>
              <w:spacing w:after="0" w:before="0"/>
              <w:jc w:val="right"/>
            </w:pPr>
            <w:r>
              <w:rPr>
                <w:rFonts w:ascii="Microsoft JhengHei" w:hAnsi="Microsoft JhengHei"/>
                <w:sz w:val="19"/>
              </w:rPr>
            </w:r>
          </w:p>
        </w:tc>
        <w:tc>
          <w:tcPr>
            <w:tcW w:type="dxa" w:w="1728"/>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風險比 (RR):</w:t>
              <w:br/>
              <w:t>11.90 (7.21-19.66)</w:t>
            </w:r>
          </w:p>
        </w:tc>
        <w:tc>
          <w:tcPr>
            <w:tcW w:type="dxa" w:w="1728"/>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勝算比 (OR):</w:t>
              <w:br/>
              <w:t>5475.21 (714.18-41975.49)</w:t>
            </w:r>
          </w:p>
        </w:tc>
      </w:tr>
    </w:tbl>
    <w:p>
      <w:pPr>
        <w:spacing w:before="80" w:after="120"/>
      </w:pPr>
      <w:r>
        <w:rPr>
          <w:b/>
          <w:color w:val="2C3E50"/>
        </w:rPr>
        <w:t>★ 關鍵統計檢定數據解讀：</w:t>
        <w:br/>
      </w:r>
      <w:r>
        <w:rPr>
          <w:color w:val="323232"/>
        </w:rPr>
      </w:r>
      <w:r>
        <w:rPr>
          <w:b/>
          <w:color w:val="2C3E50"/>
        </w:rPr>
        <w:t>1. 卡方檢定統計量（Chi-Square）：</w:t>
      </w:r>
      <w:r>
        <w:rPr>
          <w:color w:val="323232"/>
        </w:rPr>
        <w:t>Pearson χ² = 590.987（自由度 df = 1，P = 1.53 × 10⁻¹³⁰ &lt; 0.001）；Yates 連續性校正卡方值 χ² = 585.839（P &lt; 0.001）；Fisher 費雪精確檢定雙尾 P = 2.09 × 10⁻¹³³。P 值遠低於 0.001 之極顯著水準，強烈拒絕虛無假說，證實深井水暴露與居民發病/死亡存在極端顯著之統計關聯。</w:t>
        <w:br/>
      </w:r>
      <w:r>
        <w:rPr>
          <w:b/>
          <w:color w:val="2C3E50"/>
        </w:rPr>
        <w:t>2. 風險比（Risk Ratio / Relative Risk, RR）：</w:t>
      </w:r>
      <w:r>
        <w:rPr>
          <w:color w:val="323232"/>
        </w:rPr>
        <w:t>RR = (501 / 502) / (14 / 167) = 0.9980 / 0.0838 = 11.9048（95% 信賴區間 CI: 7.2105 ~ 19.6554）。這意味著：飲用深井水居民之死亡風險是非深井水居民的整整 11.90 倍！95% 信賴區間下限高達 7.21 倍，具有無可辯駁的極高度危險性。</w:t>
        <w:br/>
      </w:r>
      <w:r>
        <w:rPr>
          <w:b/>
          <w:color w:val="2C3E50"/>
        </w:rPr>
        <w:t>3. 勝算比（Odds Ratio, OR）：</w:t>
      </w:r>
      <w:r>
        <w:rPr>
          <w:color w:val="323232"/>
        </w:rPr>
        <w:t>OR = (501 × 153) / (1 × 14) = 76,653 / 14 = 5475.2143（95% 信賴區間 CI: 714.1780 ~ 41,975.4927）。在病例對照的勝算維度上，飲用深井水之死亡勝算是非深井水組的 5475.21 倍！</w:t>
        <w:br/>
      </w:r>
      <w:r>
        <w:rPr>
          <w:b/>
          <w:color w:val="2C3E50"/>
        </w:rPr>
        <w:t>4. 患病關聯同質性：</w:t>
      </w:r>
      <w:r>
        <w:rPr>
          <w:color w:val="323232"/>
        </w:rPr>
        <w:t>因所有患病者皆死亡（致死率 100%），深井水暴露與「患病（Diseased）」的關聯檢定與上述「死亡」之列聯表及數值完全一致（χ² = 590.987, RR = 11.90, OR = 5475.21）。</w:t>
      </w:r>
    </w:p>
    <w:p>
      <w:pPr>
        <w:spacing w:before="160" w:after="40"/>
        <w:jc w:val="center"/>
      </w:pPr>
      <w:r>
        <w:drawing>
          <wp:inline xmlns:a="http://schemas.openxmlformats.org/drawingml/2006/main" xmlns:pic="http://schemas.openxmlformats.org/drawingml/2006/picture">
            <wp:extent cx="5486400" cy="2904565"/>
            <wp:docPr id="2" name="Picture 2"/>
            <wp:cNvGraphicFramePr>
              <a:graphicFrameLocks noChangeAspect="1"/>
            </wp:cNvGraphicFramePr>
            <a:graphic>
              <a:graphicData uri="http://schemas.openxmlformats.org/drawingml/2006/picture">
                <pic:pic>
                  <pic:nvPicPr>
                    <pic:cNvPr id="0" name="chart3_forest_rr.png"/>
                    <pic:cNvPicPr/>
                  </pic:nvPicPr>
                  <pic:blipFill>
                    <a:blip r:embed="rId12"/>
                    <a:stretch>
                      <a:fillRect/>
                    </a:stretch>
                  </pic:blipFill>
                  <pic:spPr>
                    <a:xfrm>
                      <a:off x="0" y="0"/>
                      <a:ext cx="5486400" cy="2904565"/>
                    </a:xfrm>
                    <a:prstGeom prst="rect"/>
                  </pic:spPr>
                </pic:pic>
              </a:graphicData>
            </a:graphic>
          </wp:inline>
        </w:drawing>
      </w:r>
    </w:p>
    <w:p>
      <w:pPr>
        <w:spacing w:after="240"/>
        <w:jc w:val="center"/>
      </w:pPr>
      <w:r>
        <w:rPr>
          <w:b/>
          <w:color w:val="2980B9"/>
          <w:sz w:val="18"/>
        </w:rPr>
        <w:t>圖 3：可疑危險因子之風險比 (RR) 與 95% 信賴區間森林圖（對數尺度展示深井水之顯著性）</w:t>
      </w:r>
    </w:p>
    <w:p>
      <w:pPr>
        <w:keepNext/>
        <w:spacing w:before="200" w:after="80"/>
      </w:pPr>
      <w:r>
        <w:rPr>
          <w:rFonts w:ascii="Microsoft JhengHei" w:hAnsi="Microsoft JhengHei"/>
          <w:b/>
          <w:color w:val="2C3E50"/>
          <w:sz w:val="23"/>
        </w:rPr>
        <w:t>2.2 飲用水來源之劑量-反應效應（Dose-Response Effect）分析</w:t>
      </w:r>
    </w:p>
    <w:p>
      <w:r>
        <w:t>在流行病學病因推論中，「生物梯度（Biological Gradient）」或「劑量-反應關係」是確立因果關聯的最有力證據之一。本調查將三種飲用水來源與疾病發病及嚴重程度進行細緻交叉分析，結果呈現教科書級別的水源污染梯度：</w:t>
      </w:r>
    </w:p>
    <w:tbl>
      <w:tblPr>
        <w:tblW w:type="auto" w:w="0"/>
        <w:jc w:val="center"/>
        <w:tblLook w:firstColumn="1" w:firstRow="1" w:lastColumn="0" w:lastRow="0" w:noHBand="0" w:noVBand="1" w:val="04A0"/>
        <w:tblBorders>
          <w:top w:val="single" w:sz="12" w:space="0" w:color="1B365D"/>
          <w:bottom w:val="single" w:sz="12" w:space="0" w:color="1B365D"/>
          <w:left w:val="none"/>
          <w:right w:val="none"/>
          <w:insideH w:val="single" w:sz="4" w:space="0" w:color="D5D8DC"/>
          <w:insideV w:val="none"/>
        </w:tblBorders>
      </w:tblPr>
      <w:tblGrid>
        <w:gridCol w:w="1505"/>
        <w:gridCol w:w="1505"/>
        <w:gridCol w:w="1505"/>
        <w:gridCol w:w="1505"/>
        <w:gridCol w:w="1505"/>
        <w:gridCol w:w="1505"/>
      </w:tblGrid>
      <w:tr>
        <w:tc>
          <w:tcPr>
            <w:tcW w:type="dxa" w:w="2592"/>
            <w:shd w:fill="1B365D"/>
            <w:tcMar>
              <w:top w:w="140" w:type="dxa"/>
              <w:bottom w:w="140" w:type="dxa"/>
              <w:left w:w="150" w:type="dxa"/>
              <w:right w:w="150" w:type="dxa"/>
            </w:tcMar>
            <w:vAlign w:val="center"/>
          </w:tcPr>
          <w:p>
            <w:pPr>
              <w:jc w:val="center"/>
            </w:pPr>
            <w:r>
              <w:rPr>
                <w:rFonts w:ascii="Microsoft JhengHei" w:hAnsi="Microsoft JhengHei"/>
                <w:b/>
                <w:color w:val="FFFFFF"/>
                <w:sz w:val="19"/>
              </w:rPr>
              <w:t>飲用水來源</w:t>
            </w:r>
          </w:p>
        </w:tc>
        <w:tc>
          <w:tcPr>
            <w:tcW w:type="dxa" w:w="1584"/>
            <w:shd w:fill="1B365D"/>
            <w:tcMar>
              <w:top w:w="140" w:type="dxa"/>
              <w:bottom w:w="140" w:type="dxa"/>
              <w:left w:w="150" w:type="dxa"/>
              <w:right w:w="150" w:type="dxa"/>
            </w:tcMar>
            <w:vAlign w:val="center"/>
          </w:tcPr>
          <w:p>
            <w:pPr>
              <w:jc w:val="center"/>
            </w:pPr>
            <w:r>
              <w:rPr>
                <w:rFonts w:ascii="Microsoft JhengHei" w:hAnsi="Microsoft JhengHei"/>
                <w:b/>
                <w:color w:val="FFFFFF"/>
                <w:sz w:val="19"/>
              </w:rPr>
              <w:t>健康無病</w:t>
            </w:r>
          </w:p>
        </w:tc>
        <w:tc>
          <w:tcPr>
            <w:tcW w:type="dxa" w:w="1584"/>
            <w:shd w:fill="1B365D"/>
            <w:tcMar>
              <w:top w:w="140" w:type="dxa"/>
              <w:bottom w:w="140" w:type="dxa"/>
              <w:left w:w="150" w:type="dxa"/>
              <w:right w:w="150" w:type="dxa"/>
            </w:tcMar>
            <w:vAlign w:val="center"/>
          </w:tcPr>
          <w:p>
            <w:pPr>
              <w:jc w:val="center"/>
            </w:pPr>
            <w:r>
              <w:rPr>
                <w:rFonts w:ascii="Microsoft JhengHei" w:hAnsi="Microsoft JhengHei"/>
                <w:b/>
                <w:color w:val="FFFFFF"/>
                <w:sz w:val="19"/>
              </w:rPr>
              <w:t>輕度患病 (minor)</w:t>
            </w:r>
          </w:p>
        </w:tc>
        <w:tc>
          <w:tcPr>
            <w:tcW w:type="dxa" w:w="1584"/>
            <w:shd w:fill="1B365D"/>
            <w:tcMar>
              <w:top w:w="140" w:type="dxa"/>
              <w:bottom w:w="140" w:type="dxa"/>
              <w:left w:w="150" w:type="dxa"/>
              <w:right w:w="150" w:type="dxa"/>
            </w:tcMar>
            <w:vAlign w:val="center"/>
          </w:tcPr>
          <w:p>
            <w:pPr>
              <w:jc w:val="center"/>
            </w:pPr>
            <w:r>
              <w:rPr>
                <w:rFonts w:ascii="Microsoft JhengHei" w:hAnsi="Microsoft JhengHei"/>
                <w:b/>
                <w:color w:val="FFFFFF"/>
                <w:sz w:val="19"/>
              </w:rPr>
              <w:t>重度患病 (severe)</w:t>
            </w:r>
          </w:p>
        </w:tc>
        <w:tc>
          <w:tcPr>
            <w:tcW w:type="dxa" w:w="1584"/>
            <w:shd w:fill="1B365D"/>
            <w:tcMar>
              <w:top w:w="140" w:type="dxa"/>
              <w:bottom w:w="140" w:type="dxa"/>
              <w:left w:w="150" w:type="dxa"/>
              <w:right w:w="150" w:type="dxa"/>
            </w:tcMar>
            <w:vAlign w:val="center"/>
          </w:tcPr>
          <w:p>
            <w:pPr>
              <w:jc w:val="center"/>
            </w:pPr>
            <w:r>
              <w:rPr>
                <w:rFonts w:ascii="Microsoft JhengHei" w:hAnsi="Microsoft JhengHei"/>
                <w:b/>
                <w:color w:val="FFFFFF"/>
                <w:sz w:val="19"/>
              </w:rPr>
              <w:t>合計人數</w:t>
            </w:r>
          </w:p>
        </w:tc>
        <w:tc>
          <w:tcPr>
            <w:tcW w:type="dxa" w:w="1584"/>
            <w:shd w:fill="1B365D"/>
            <w:tcMar>
              <w:top w:w="140" w:type="dxa"/>
              <w:bottom w:w="140" w:type="dxa"/>
              <w:left w:w="150" w:type="dxa"/>
              <w:right w:w="150" w:type="dxa"/>
            </w:tcMar>
            <w:vAlign w:val="center"/>
          </w:tcPr>
          <w:p>
            <w:pPr>
              <w:jc w:val="center"/>
            </w:pPr>
            <w:r>
              <w:rPr>
                <w:rFonts w:ascii="Microsoft JhengHei" w:hAnsi="Microsoft JhengHei"/>
                <w:b/>
                <w:color w:val="FFFFFF"/>
                <w:sz w:val="19"/>
              </w:rPr>
              <w:t>重症比率 (%)</w:t>
            </w:r>
          </w:p>
        </w:tc>
      </w:tr>
      <w:tr>
        <w:tc>
          <w:tcPr>
            <w:tcW w:type="dxa" w:w="2592"/>
            <w:shd w:fill="F9FBFC"/>
            <w:tcMar>
              <w:top w:w="100" w:type="dxa"/>
              <w:bottom w:w="100" w:type="dxa"/>
              <w:left w:w="150" w:type="dxa"/>
              <w:right w:w="150" w:type="dxa"/>
            </w:tcMar>
            <w:vAlign w:val="center"/>
          </w:tcPr>
          <w:p>
            <w:pPr>
              <w:spacing w:after="0" w:before="0"/>
              <w:jc w:val="left"/>
            </w:pPr>
            <w:r>
              <w:rPr>
                <w:rFonts w:ascii="Microsoft JhengHei" w:hAnsi="Microsoft JhengHei"/>
                <w:sz w:val="19"/>
              </w:rPr>
              <w:t>自來水 (Top water)</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52 (100.0%)</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0 (0.0%)</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0 (0.0%)</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52</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0.00%</w:t>
            </w:r>
          </w:p>
        </w:tc>
      </w:tr>
      <w:tr>
        <w:tc>
          <w:tcPr>
            <w:tcW w:type="dxa" w:w="2592"/>
            <w:shd w:fill="FFFFFF"/>
            <w:tcMar>
              <w:top w:w="100" w:type="dxa"/>
              <w:bottom w:w="100" w:type="dxa"/>
              <w:left w:w="150" w:type="dxa"/>
              <w:right w:w="150" w:type="dxa"/>
            </w:tcMar>
            <w:vAlign w:val="center"/>
          </w:tcPr>
          <w:p>
            <w:pPr>
              <w:spacing w:after="0" w:before="0"/>
              <w:jc w:val="left"/>
            </w:pPr>
            <w:r>
              <w:rPr>
                <w:rFonts w:ascii="Microsoft JhengHei" w:hAnsi="Microsoft JhengHei"/>
                <w:sz w:val="19"/>
              </w:rPr>
              <w:t>淺井水 (shallow well)</w:t>
            </w:r>
          </w:p>
        </w:tc>
        <w:tc>
          <w:tcPr>
            <w:tcW w:type="dxa" w:w="1584"/>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101 (87.8%)</w:t>
            </w:r>
          </w:p>
        </w:tc>
        <w:tc>
          <w:tcPr>
            <w:tcW w:type="dxa" w:w="1584"/>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14 (12.2%)</w:t>
            </w:r>
          </w:p>
        </w:tc>
        <w:tc>
          <w:tcPr>
            <w:tcW w:type="dxa" w:w="1584"/>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0 (0.0%)</w:t>
            </w:r>
          </w:p>
        </w:tc>
        <w:tc>
          <w:tcPr>
            <w:tcW w:type="dxa" w:w="1584"/>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115</w:t>
            </w:r>
          </w:p>
        </w:tc>
        <w:tc>
          <w:tcPr>
            <w:tcW w:type="dxa" w:w="1584"/>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0.00%</w:t>
            </w:r>
          </w:p>
        </w:tc>
      </w:tr>
      <w:tr>
        <w:tc>
          <w:tcPr>
            <w:tcW w:type="dxa" w:w="2592"/>
            <w:shd w:fill="F9FBFC"/>
            <w:tcMar>
              <w:top w:w="100" w:type="dxa"/>
              <w:bottom w:w="100" w:type="dxa"/>
              <w:left w:w="150" w:type="dxa"/>
              <w:right w:w="150" w:type="dxa"/>
            </w:tcMar>
            <w:vAlign w:val="center"/>
          </w:tcPr>
          <w:p>
            <w:pPr>
              <w:spacing w:after="0" w:before="0"/>
              <w:jc w:val="left"/>
            </w:pPr>
            <w:r>
              <w:rPr>
                <w:rFonts w:ascii="Microsoft JhengHei" w:hAnsi="Microsoft JhengHei"/>
                <w:sz w:val="19"/>
              </w:rPr>
              <w:t>深井水 (Deep well)</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1 (0.2%)</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193 (38.4%)</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308 (61.4%)</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502</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61.35%</w:t>
            </w:r>
          </w:p>
        </w:tc>
      </w:tr>
      <w:tr>
        <w:tc>
          <w:tcPr>
            <w:tcW w:type="dxa" w:w="1584"/>
            <w:gridSpan w:val="6"/>
            <w:shd w:fill="FFFFFF"/>
            <w:tcMar>
              <w:top w:w="100" w:type="dxa"/>
              <w:bottom w:w="100" w:type="dxa"/>
              <w:left w:w="150" w:type="dxa"/>
              <w:right w:w="150" w:type="dxa"/>
            </w:tcMar>
            <w:vAlign w:val="center"/>
            <w:shd w:fill="FFFFFF"/>
            <w:tcMar>
              <w:top w:w="100" w:type="dxa"/>
              <w:bottom w:w="100" w:type="dxa"/>
              <w:left w:w="150" w:type="dxa"/>
              <w:right w:w="150" w:type="dxa"/>
            </w:tcMar>
            <w:shd w:fill="FFFFFF"/>
            <w:tcMar>
              <w:top w:w="100" w:type="dxa"/>
              <w:bottom w:w="100" w:type="dxa"/>
              <w:left w:w="150" w:type="dxa"/>
              <w:right w:w="150" w:type="dxa"/>
            </w:tcMar>
            <w:shd w:fill="FFFFFF"/>
            <w:tcMar>
              <w:top w:w="100" w:type="dxa"/>
              <w:bottom w:w="100" w:type="dxa"/>
              <w:left w:w="150" w:type="dxa"/>
              <w:right w:w="150" w:type="dxa"/>
            </w:tcMar>
            <w:shd w:fill="FFFFFF"/>
            <w:tcMar>
              <w:top w:w="100" w:type="dxa"/>
              <w:bottom w:w="100" w:type="dxa"/>
              <w:left w:w="150" w:type="dxa"/>
              <w:right w:w="150" w:type="dxa"/>
            </w:tcMar>
            <w:shd w:fill="FFFFFF"/>
            <w:tcMar>
              <w:top w:w="100" w:type="dxa"/>
              <w:bottom w:w="100" w:type="dxa"/>
              <w:left w:w="150" w:type="dxa"/>
              <w:right w:w="150" w:type="dxa"/>
            </w:tcMar>
          </w:tcPr>
          <w:p>
            <w:pPr>
              <w:spacing w:after="0" w:before="0"/>
              <w:jc w:val="right"/>
            </w:pPr>
            <w:r>
              <w:rPr>
                <w:rFonts w:ascii="Microsoft JhengHei" w:hAnsi="Microsoft JhengHei"/>
                <w:sz w:val="19"/>
              </w:rPr>
              <w:t>卡方檢定統計量</w:t>
            </w:r>
          </w:p>
          <w:p>
            <w:pPr>
              <w:spacing w:after="0" w:before="0"/>
              <w:jc w:val="right"/>
            </w:pPr>
            <w:r>
              <w:rPr>
                <w:rFonts w:ascii="Microsoft JhengHei" w:hAnsi="Microsoft JhengHei"/>
                <w:sz w:val="19"/>
              </w:rPr>
              <w:t>Pearson χ² = 598.030, 自由度 df = 4, P = 4.14 × 10⁻¹²⁸ (P &lt; 0.001 極顯著)</w:t>
            </w:r>
          </w:p>
          <w:p>
            <w:pPr>
              <w:spacing w:after="0" w:before="0"/>
              <w:jc w:val="right"/>
            </w:pPr>
            <w:r>
              <w:rPr>
                <w:rFonts w:ascii="Microsoft JhengHei" w:hAnsi="Microsoft JhengHei"/>
                <w:sz w:val="19"/>
              </w:rPr>
            </w:r>
          </w:p>
          <w:p>
            <w:pPr>
              <w:spacing w:after="0" w:before="0"/>
              <w:jc w:val="right"/>
            </w:pPr>
            <w:r>
              <w:rPr>
                <w:rFonts w:ascii="Microsoft JhengHei" w:hAnsi="Microsoft JhengHei"/>
                <w:sz w:val="19"/>
              </w:rPr>
            </w:r>
          </w:p>
          <w:p>
            <w:pPr>
              <w:spacing w:after="0" w:before="0"/>
              <w:jc w:val="right"/>
            </w:pPr>
            <w:r>
              <w:rPr>
                <w:rFonts w:ascii="Microsoft JhengHei" w:hAnsi="Microsoft JhengHei"/>
                <w:sz w:val="19"/>
              </w:rPr>
            </w:r>
          </w:p>
          <w:p>
            <w:pPr>
              <w:spacing w:after="0" w:before="0"/>
              <w:jc w:val="right"/>
            </w:pPr>
            <w:r>
              <w:rPr>
                <w:rFonts w:ascii="Microsoft JhengHei" w:hAnsi="Microsoft JhengHei"/>
                <w:sz w:val="19"/>
              </w:rPr>
            </w:r>
          </w:p>
        </w:tc>
      </w:tr>
    </w:tbl>
    <w:p>
      <w:pPr>
        <w:spacing w:before="80" w:after="120"/>
      </w:pPr>
      <w:r>
        <w:t>由【表 3】可清晰觀察到劑量梯級關係：</w:t>
        <w:br/>
        <w:t>1. 自來水組（Top water, N=52）：52 人全部為健康存活（100%），患病率 0%，重症率 0%，死亡率 0%。證實市政自來水系統具備完善防護，完全未受污染。</w:t>
        <w:br/>
        <w:t>2. 淺井水組（shallow well, N=115）：87.8% 居民健康，僅 12.2%（14人）發病且均屬輕度（minor），重症率為 0%。這顯示淺井水僅受到極輕微之滲透或周邊交叉微量污染。</w:t>
        <w:br/>
        <w:t>3. 深井水組（Deep well, N=502）：僅 1 人健康（0.2%），高達 99.8% 居民發病，且其中 61.4%（308人）直接陷入器官衰竭之重度（severe）狀態，全數死亡！</w:t>
        <w:br/>
        <w:t>交叉表卡方值高達 χ² = 598.030（df = 4, P &lt; 0.001），證實污染源深度集中於深層地下水層（Deep aquifer），水質毒性濃度與疾病嚴重度成高度正向梯度相關。</w:t>
      </w:r>
    </w:p>
    <w:p>
      <w:pPr>
        <w:spacing w:before="160" w:after="40"/>
        <w:jc w:val="center"/>
      </w:pPr>
      <w:r>
        <w:drawing>
          <wp:inline xmlns:a="http://schemas.openxmlformats.org/drawingml/2006/main" xmlns:pic="http://schemas.openxmlformats.org/drawingml/2006/picture">
            <wp:extent cx="5303520" cy="3646170"/>
            <wp:docPr id="3" name="Picture 3"/>
            <wp:cNvGraphicFramePr>
              <a:graphicFrameLocks noChangeAspect="1"/>
            </wp:cNvGraphicFramePr>
            <a:graphic>
              <a:graphicData uri="http://schemas.openxmlformats.org/drawingml/2006/picture">
                <pic:pic>
                  <pic:nvPicPr>
                    <pic:cNvPr id="0" name="chart2_water_severity.png"/>
                    <pic:cNvPicPr/>
                  </pic:nvPicPr>
                  <pic:blipFill>
                    <a:blip r:embed="rId13"/>
                    <a:stretch>
                      <a:fillRect/>
                    </a:stretch>
                  </pic:blipFill>
                  <pic:spPr>
                    <a:xfrm>
                      <a:off x="0" y="0"/>
                      <a:ext cx="5303520" cy="3646170"/>
                    </a:xfrm>
                    <a:prstGeom prst="rect"/>
                  </pic:spPr>
                </pic:pic>
              </a:graphicData>
            </a:graphic>
          </wp:inline>
        </w:drawing>
      </w:r>
    </w:p>
    <w:p>
      <w:pPr>
        <w:spacing w:after="240"/>
        <w:jc w:val="center"/>
      </w:pPr>
      <w:r>
        <w:rPr>
          <w:b/>
          <w:color w:val="2980B9"/>
          <w:sz w:val="18"/>
        </w:rPr>
        <w:t>圖 2：不同飲用水來源之疾病嚴重程度百分比堆疊圖（展示鮮明之生物毒性梯度效應）</w:t>
      </w:r>
    </w:p>
    <w:p>
      <w:pPr>
        <w:keepNext/>
        <w:spacing w:before="200" w:after="80"/>
      </w:pPr>
      <w:r>
        <w:rPr>
          <w:rFonts w:ascii="Microsoft JhengHei" w:hAnsi="Microsoft JhengHei"/>
          <w:b/>
          <w:color w:val="2C3E50"/>
          <w:sz w:val="23"/>
        </w:rPr>
        <w:t>2.3 排除其他潛在干擾因素：性別與年齡易感性檢驗</w:t>
      </w:r>
    </w:p>
    <w:p>
      <w:r>
        <w:t>為防止混淆變項（Confounding factors）干擾調查結論，調查員對「性別」與「年齡分組」進行嚴密的獨立性卡方檢定與風險評估，實證結果證實性別與年齡均非致病或死亡之危險因子：</w:t>
      </w:r>
    </w:p>
    <w:tbl>
      <w:tblPr>
        <w:tblW w:type="auto" w:w="0"/>
        <w:jc w:val="center"/>
        <w:tblLook w:firstColumn="1" w:firstRow="1" w:lastColumn="0" w:lastRow="0" w:noHBand="0" w:noVBand="1" w:val="04A0"/>
        <w:tblBorders>
          <w:top w:val="single" w:sz="12" w:space="0" w:color="1B365D"/>
          <w:bottom w:val="single" w:sz="12" w:space="0" w:color="1B365D"/>
          <w:left w:val="none"/>
          <w:right w:val="none"/>
          <w:insideH w:val="single" w:sz="4" w:space="0" w:color="D5D8DC"/>
          <w:insideV w:val="none"/>
        </w:tblBorders>
      </w:tblPr>
      <w:tblGrid>
        <w:gridCol w:w="1290"/>
        <w:gridCol w:w="1290"/>
        <w:gridCol w:w="1290"/>
        <w:gridCol w:w="1290"/>
        <w:gridCol w:w="1290"/>
        <w:gridCol w:w="1290"/>
        <w:gridCol w:w="1290"/>
      </w:tblGrid>
      <w:tr>
        <w:tc>
          <w:tcPr>
            <w:tcW w:type="dxa" w:w="1728"/>
            <w:shd w:fill="1B365D"/>
            <w:tcMar>
              <w:top w:w="140" w:type="dxa"/>
              <w:bottom w:w="140" w:type="dxa"/>
              <w:left w:w="150" w:type="dxa"/>
              <w:right w:w="150" w:type="dxa"/>
            </w:tcMar>
            <w:vAlign w:val="center"/>
          </w:tcPr>
          <w:p>
            <w:pPr>
              <w:jc w:val="center"/>
            </w:pPr>
            <w:r>
              <w:rPr>
                <w:rFonts w:ascii="Microsoft JhengHei" w:hAnsi="Microsoft JhengHei"/>
                <w:b/>
                <w:color w:val="FFFFFF"/>
                <w:sz w:val="19"/>
              </w:rPr>
              <w:t>分析變項</w:t>
            </w:r>
          </w:p>
        </w:tc>
        <w:tc>
          <w:tcPr>
            <w:tcW w:type="dxa" w:w="1872"/>
            <w:shd w:fill="1B365D"/>
            <w:tcMar>
              <w:top w:w="140" w:type="dxa"/>
              <w:bottom w:w="140" w:type="dxa"/>
              <w:left w:w="150" w:type="dxa"/>
              <w:right w:w="150" w:type="dxa"/>
            </w:tcMar>
            <w:vAlign w:val="center"/>
          </w:tcPr>
          <w:p>
            <w:pPr>
              <w:jc w:val="center"/>
            </w:pPr>
            <w:r>
              <w:rPr>
                <w:rFonts w:ascii="Microsoft JhengHei" w:hAnsi="Microsoft JhengHei"/>
                <w:b/>
                <w:color w:val="FFFFFF"/>
                <w:sz w:val="19"/>
              </w:rPr>
              <w:t>分組對比</w:t>
            </w:r>
          </w:p>
        </w:tc>
        <w:tc>
          <w:tcPr>
            <w:tcW w:type="dxa" w:w="1296"/>
            <w:shd w:fill="1B365D"/>
            <w:tcMar>
              <w:top w:w="140" w:type="dxa"/>
              <w:bottom w:w="140" w:type="dxa"/>
              <w:left w:w="150" w:type="dxa"/>
              <w:right w:w="150" w:type="dxa"/>
            </w:tcMar>
            <w:vAlign w:val="center"/>
          </w:tcPr>
          <w:p>
            <w:pPr>
              <w:jc w:val="center"/>
            </w:pPr>
            <w:r>
              <w:rPr>
                <w:rFonts w:ascii="Microsoft JhengHei" w:hAnsi="Microsoft JhengHei"/>
                <w:b/>
                <w:color w:val="FFFFFF"/>
                <w:sz w:val="19"/>
              </w:rPr>
              <w:t>死亡人數</w:t>
            </w:r>
          </w:p>
        </w:tc>
        <w:tc>
          <w:tcPr>
            <w:tcW w:type="dxa" w:w="1296"/>
            <w:shd w:fill="1B365D"/>
            <w:tcMar>
              <w:top w:w="140" w:type="dxa"/>
              <w:bottom w:w="140" w:type="dxa"/>
              <w:left w:w="150" w:type="dxa"/>
              <w:right w:w="150" w:type="dxa"/>
            </w:tcMar>
            <w:vAlign w:val="center"/>
          </w:tcPr>
          <w:p>
            <w:pPr>
              <w:jc w:val="center"/>
            </w:pPr>
            <w:r>
              <w:rPr>
                <w:rFonts w:ascii="Microsoft JhengHei" w:hAnsi="Microsoft JhengHei"/>
                <w:b/>
                <w:color w:val="FFFFFF"/>
                <w:sz w:val="19"/>
              </w:rPr>
              <w:t>存活人數</w:t>
            </w:r>
          </w:p>
        </w:tc>
        <w:tc>
          <w:tcPr>
            <w:tcW w:type="dxa" w:w="1440"/>
            <w:shd w:fill="1B365D"/>
            <w:tcMar>
              <w:top w:w="140" w:type="dxa"/>
              <w:bottom w:w="140" w:type="dxa"/>
              <w:left w:w="150" w:type="dxa"/>
              <w:right w:w="150" w:type="dxa"/>
            </w:tcMar>
            <w:vAlign w:val="center"/>
          </w:tcPr>
          <w:p>
            <w:pPr>
              <w:jc w:val="center"/>
            </w:pPr>
            <w:r>
              <w:rPr>
                <w:rFonts w:ascii="Microsoft JhengHei" w:hAnsi="Microsoft JhengHei"/>
                <w:b/>
                <w:color w:val="FFFFFF"/>
                <w:sz w:val="19"/>
              </w:rPr>
              <w:t>死亡率 (%)</w:t>
            </w:r>
          </w:p>
        </w:tc>
        <w:tc>
          <w:tcPr>
            <w:tcW w:type="dxa" w:w="1584"/>
            <w:shd w:fill="1B365D"/>
            <w:tcMar>
              <w:top w:w="140" w:type="dxa"/>
              <w:bottom w:w="140" w:type="dxa"/>
              <w:left w:w="150" w:type="dxa"/>
              <w:right w:w="150" w:type="dxa"/>
            </w:tcMar>
            <w:vAlign w:val="center"/>
          </w:tcPr>
          <w:p>
            <w:pPr>
              <w:jc w:val="center"/>
            </w:pPr>
            <w:r>
              <w:rPr>
                <w:rFonts w:ascii="Microsoft JhengHei" w:hAnsi="Microsoft JhengHei"/>
                <w:b/>
                <w:color w:val="FFFFFF"/>
                <w:sz w:val="19"/>
              </w:rPr>
              <w:t>卡方值 (P值)</w:t>
            </w:r>
          </w:p>
        </w:tc>
        <w:tc>
          <w:tcPr>
            <w:tcW w:type="dxa" w:w="1728"/>
            <w:shd w:fill="1B365D"/>
            <w:tcMar>
              <w:top w:w="140" w:type="dxa"/>
              <w:bottom w:w="140" w:type="dxa"/>
              <w:left w:w="150" w:type="dxa"/>
              <w:right w:w="150" w:type="dxa"/>
            </w:tcMar>
            <w:vAlign w:val="center"/>
          </w:tcPr>
          <w:p>
            <w:pPr>
              <w:jc w:val="center"/>
            </w:pPr>
            <w:r>
              <w:rPr>
                <w:rFonts w:ascii="Microsoft JhengHei" w:hAnsi="Microsoft JhengHei"/>
                <w:b/>
                <w:color w:val="FFFFFF"/>
                <w:sz w:val="19"/>
              </w:rPr>
              <w:t>風險比 RR (95% CI)</w:t>
            </w:r>
          </w:p>
        </w:tc>
      </w:tr>
      <w:tr>
        <w:tc>
          <w:tcPr>
            <w:tcW w:type="dxa" w:w="1728"/>
            <w:shd w:fill="F9FBFC"/>
            <w:tcMar>
              <w:top w:w="100" w:type="dxa"/>
              <w:bottom w:w="100" w:type="dxa"/>
              <w:left w:w="150" w:type="dxa"/>
              <w:right w:w="150" w:type="dxa"/>
            </w:tcMar>
            <w:vAlign w:val="center"/>
          </w:tcPr>
          <w:p>
            <w:pPr>
              <w:spacing w:after="0" w:before="0"/>
              <w:jc w:val="left"/>
            </w:pPr>
            <w:r>
              <w:rPr>
                <w:rFonts w:ascii="Microsoft JhengHei" w:hAnsi="Microsoft JhengHei"/>
                <w:sz w:val="19"/>
              </w:rPr>
              <w:t>性別因素</w:t>
            </w:r>
          </w:p>
        </w:tc>
        <w:tc>
          <w:tcPr>
            <w:tcW w:type="dxa" w:w="1872"/>
            <w:shd w:fill="F9FBFC"/>
            <w:tcMar>
              <w:top w:w="100" w:type="dxa"/>
              <w:bottom w:w="100" w:type="dxa"/>
              <w:left w:w="150" w:type="dxa"/>
              <w:right w:w="150" w:type="dxa"/>
            </w:tcMar>
            <w:vAlign w:val="center"/>
          </w:tcPr>
          <w:p>
            <w:pPr>
              <w:spacing w:after="0" w:before="0"/>
              <w:jc w:val="center"/>
            </w:pPr>
            <w:r>
              <w:rPr>
                <w:rFonts w:ascii="Microsoft JhengHei" w:hAnsi="Microsoft JhengHei"/>
                <w:sz w:val="19"/>
              </w:rPr>
              <w:t>男性 (Male, N=260)</w:t>
            </w:r>
          </w:p>
        </w:tc>
        <w:tc>
          <w:tcPr>
            <w:tcW w:type="dxa" w:w="1296"/>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200</w:t>
            </w:r>
          </w:p>
        </w:tc>
        <w:tc>
          <w:tcPr>
            <w:tcW w:type="dxa" w:w="1296"/>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60</w:t>
            </w:r>
          </w:p>
        </w:tc>
        <w:tc>
          <w:tcPr>
            <w:tcW w:type="dxa" w:w="1440"/>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76.92%</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χ² = 0.001</w:t>
              <w:br/>
              <w:t>(P = 0.978)</w:t>
            </w:r>
          </w:p>
        </w:tc>
        <w:tc>
          <w:tcPr>
            <w:tcW w:type="dxa" w:w="1728"/>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0.999 (0.917 - 1.088)</w:t>
              <w:br/>
              <w:t>[勝算比 OR = 0.995]</w:t>
            </w:r>
          </w:p>
        </w:tc>
      </w:tr>
      <w:tr>
        <w:tc>
          <w:tcPr>
            <w:tcW w:type="dxa" w:w="1728"/>
            <w:shd w:fill="FFFFFF"/>
            <w:tcMar>
              <w:top w:w="100" w:type="dxa"/>
              <w:bottom w:w="100" w:type="dxa"/>
              <w:left w:w="150" w:type="dxa"/>
              <w:right w:w="150" w:type="dxa"/>
            </w:tcMar>
            <w:vAlign w:val="center"/>
          </w:tcPr>
          <w:p>
            <w:pPr>
              <w:spacing w:after="0" w:before="0"/>
              <w:jc w:val="left"/>
            </w:pPr>
            <w:r>
              <w:rPr>
                <w:rFonts w:ascii="Microsoft JhengHei" w:hAnsi="Microsoft JhengHei"/>
                <w:sz w:val="19"/>
              </w:rPr>
            </w:r>
          </w:p>
        </w:tc>
        <w:tc>
          <w:tcPr>
            <w:tcW w:type="dxa" w:w="1872"/>
            <w:shd w:fill="FFFFFF"/>
            <w:tcMar>
              <w:top w:w="100" w:type="dxa"/>
              <w:bottom w:w="100" w:type="dxa"/>
              <w:left w:w="150" w:type="dxa"/>
              <w:right w:w="150" w:type="dxa"/>
            </w:tcMar>
            <w:vAlign w:val="center"/>
          </w:tcPr>
          <w:p>
            <w:pPr>
              <w:spacing w:after="0" w:before="0"/>
              <w:jc w:val="center"/>
            </w:pPr>
            <w:r>
              <w:rPr>
                <w:rFonts w:ascii="Microsoft JhengHei" w:hAnsi="Microsoft JhengHei"/>
                <w:sz w:val="19"/>
              </w:rPr>
              <w:t>女性 (Female, N=409)</w:t>
            </w:r>
          </w:p>
        </w:tc>
        <w:tc>
          <w:tcPr>
            <w:tcW w:type="dxa" w:w="1296"/>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315</w:t>
            </w:r>
          </w:p>
        </w:tc>
        <w:tc>
          <w:tcPr>
            <w:tcW w:type="dxa" w:w="1296"/>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94</w:t>
            </w:r>
          </w:p>
        </w:tc>
        <w:tc>
          <w:tcPr>
            <w:tcW w:type="dxa" w:w="1440"/>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77.02%</w:t>
            </w:r>
          </w:p>
        </w:tc>
        <w:tc>
          <w:tcPr>
            <w:tcW w:type="dxa" w:w="1584"/>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(無顯著差異)</w:t>
            </w:r>
          </w:p>
        </w:tc>
        <w:tc>
          <w:tcPr>
            <w:tcW w:type="dxa" w:w="1728"/>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基準對照 (Ref)</w:t>
            </w:r>
          </w:p>
        </w:tc>
      </w:tr>
      <w:tr>
        <w:tc>
          <w:tcPr>
            <w:tcW w:type="dxa" w:w="1728"/>
            <w:shd w:fill="F9FBFC"/>
            <w:tcMar>
              <w:top w:w="100" w:type="dxa"/>
              <w:bottom w:w="100" w:type="dxa"/>
              <w:left w:w="150" w:type="dxa"/>
              <w:right w:w="150" w:type="dxa"/>
            </w:tcMar>
            <w:vAlign w:val="center"/>
          </w:tcPr>
          <w:p>
            <w:pPr>
              <w:spacing w:after="0" w:before="0"/>
              <w:jc w:val="left"/>
            </w:pPr>
            <w:r>
              <w:rPr>
                <w:rFonts w:ascii="Microsoft JhengHei" w:hAnsi="Microsoft JhengHei"/>
                <w:sz w:val="19"/>
              </w:rPr>
              <w:t>年齡因素</w:t>
            </w:r>
          </w:p>
        </w:tc>
        <w:tc>
          <w:tcPr>
            <w:tcW w:type="dxa" w:w="1872"/>
            <w:shd w:fill="F9FBFC"/>
            <w:tcMar>
              <w:top w:w="100" w:type="dxa"/>
              <w:bottom w:w="100" w:type="dxa"/>
              <w:left w:w="150" w:type="dxa"/>
              <w:right w:w="150" w:type="dxa"/>
            </w:tcMar>
            <w:vAlign w:val="center"/>
          </w:tcPr>
          <w:p>
            <w:pPr>
              <w:spacing w:after="0" w:before="0"/>
              <w:jc w:val="center"/>
            </w:pPr>
            <w:r>
              <w:rPr>
                <w:rFonts w:ascii="Microsoft JhengHei" w:hAnsi="Microsoft JhengHei"/>
                <w:sz w:val="19"/>
              </w:rPr>
              <w:t>中高齡 (41+ 歲, N=320)</w:t>
            </w:r>
          </w:p>
        </w:tc>
        <w:tc>
          <w:tcPr>
            <w:tcW w:type="dxa" w:w="1296"/>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247</w:t>
            </w:r>
          </w:p>
        </w:tc>
        <w:tc>
          <w:tcPr>
            <w:tcW w:type="dxa" w:w="1296"/>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73</w:t>
            </w:r>
          </w:p>
        </w:tc>
        <w:tc>
          <w:tcPr>
            <w:tcW w:type="dxa" w:w="1440"/>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77.19%</w:t>
            </w:r>
          </w:p>
        </w:tc>
        <w:tc>
          <w:tcPr>
            <w:tcW w:type="dxa" w:w="1584"/>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χ² = 0.015</w:t>
              <w:br/>
              <w:t>(P = 0.903)</w:t>
            </w:r>
          </w:p>
        </w:tc>
        <w:tc>
          <w:tcPr>
            <w:tcW w:type="dxa" w:w="1728"/>
            <w:shd w:fill="F9FBFC"/>
            <w:tcMar>
              <w:top w:w="100" w:type="dxa"/>
              <w:bottom w:w="100" w:type="dxa"/>
              <w:left w:w="150" w:type="dxa"/>
              <w:right w:w="150" w:type="dxa"/>
            </w:tcMar>
            <w:vAlign w:val="center"/>
          </w:tcPr>
          <w:p>
            <w:pPr>
              <w:spacing w:after="0" w:before="0"/>
              <w:jc w:val="right"/>
            </w:pPr>
            <w:r>
              <w:rPr>
                <w:rFonts w:ascii="Microsoft JhengHei" w:hAnsi="Microsoft JhengHei"/>
                <w:sz w:val="19"/>
              </w:rPr>
              <w:t>1.005 (0.925 - 1.092)</w:t>
              <w:br/>
              <w:t>[勝算比 OR = 1.023]</w:t>
            </w:r>
          </w:p>
        </w:tc>
      </w:tr>
      <w:tr>
        <w:tc>
          <w:tcPr>
            <w:tcW w:type="dxa" w:w="1728"/>
            <w:shd w:fill="FFFFFF"/>
            <w:tcMar>
              <w:top w:w="100" w:type="dxa"/>
              <w:bottom w:w="100" w:type="dxa"/>
              <w:left w:w="150" w:type="dxa"/>
              <w:right w:w="150" w:type="dxa"/>
            </w:tcMar>
            <w:vAlign w:val="center"/>
          </w:tcPr>
          <w:p>
            <w:pPr>
              <w:spacing w:after="0" w:before="0"/>
              <w:jc w:val="left"/>
            </w:pPr>
            <w:r>
              <w:rPr>
                <w:rFonts w:ascii="Microsoft JhengHei" w:hAnsi="Microsoft JhengHei"/>
                <w:sz w:val="19"/>
              </w:rPr>
            </w:r>
          </w:p>
        </w:tc>
        <w:tc>
          <w:tcPr>
            <w:tcW w:type="dxa" w:w="1872"/>
            <w:shd w:fill="FFFFFF"/>
            <w:tcMar>
              <w:top w:w="100" w:type="dxa"/>
              <w:bottom w:w="100" w:type="dxa"/>
              <w:left w:w="150" w:type="dxa"/>
              <w:right w:w="150" w:type="dxa"/>
            </w:tcMar>
            <w:vAlign w:val="center"/>
          </w:tcPr>
          <w:p>
            <w:pPr>
              <w:spacing w:after="0" w:before="0"/>
              <w:jc w:val="center"/>
            </w:pPr>
            <w:r>
              <w:rPr>
                <w:rFonts w:ascii="Microsoft JhengHei" w:hAnsi="Microsoft JhengHei"/>
                <w:sz w:val="19"/>
              </w:rPr>
              <w:t>年輕組 (&lt;= 40 歲, N=349)</w:t>
            </w:r>
          </w:p>
        </w:tc>
        <w:tc>
          <w:tcPr>
            <w:tcW w:type="dxa" w:w="1296"/>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268</w:t>
            </w:r>
          </w:p>
        </w:tc>
        <w:tc>
          <w:tcPr>
            <w:tcW w:type="dxa" w:w="1296"/>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81</w:t>
            </w:r>
          </w:p>
        </w:tc>
        <w:tc>
          <w:tcPr>
            <w:tcW w:type="dxa" w:w="1440"/>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76.79%</w:t>
            </w:r>
          </w:p>
        </w:tc>
        <w:tc>
          <w:tcPr>
            <w:tcW w:type="dxa" w:w="1584"/>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(無顯著差異)</w:t>
            </w:r>
          </w:p>
        </w:tc>
        <w:tc>
          <w:tcPr>
            <w:tcW w:type="dxa" w:w="1728"/>
            <w:shd w:fill="FFFFFF"/>
            <w:tcMar>
              <w:top w:w="100" w:type="dxa"/>
              <w:bottom w:w="100" w:type="dxa"/>
              <w:left w:w="150" w:type="dxa"/>
              <w:right w:w="150" w:type="dxa"/>
            </w:tcMar>
            <w:vAlign w:val="center"/>
          </w:tcPr>
          <w:p>
            <w:pPr>
              <w:spacing w:after="0" w:before="0"/>
              <w:jc w:val="right"/>
            </w:pPr>
            <w:r>
              <w:rPr>
                <w:rFonts w:ascii="Microsoft JhengHei" w:hAnsi="Microsoft JhengHei"/>
                <w:sz w:val="19"/>
              </w:rPr>
              <w:t>基準對照 (Ref)</w:t>
            </w:r>
          </w:p>
        </w:tc>
      </w:tr>
    </w:tbl>
    <w:p>
      <w:pPr>
        <w:spacing w:before="80" w:after="120"/>
      </w:pPr>
      <w:r>
        <w:t>檢定結果解讀：</w:t>
        <w:br/>
        <w:t>• 性別檢定：男性死亡率 76.92% vs. 女性死亡率 77.02%，Pearson χ² = 0.001（df = 1, P = 0.978），RR = 0.999（95% CI: 0.917-1.088），OR = 0.995（95% CI: 0.688-1.439）。P 值遠大於 0.05 且 RR 信賴區間包含 1.0，證實男女罹病及死亡風險完全相同，性別無統計顯著影響。</w:t>
        <w:br/>
        <w:t>• 年齡檢定：41 歲以上死亡率 77.19% vs. 40 歲以下死亡率 76.79%，Pearson χ² = 0.015（df = 1, P = 0.903），RR = 1.005（95% CI: 0.925-1.092），OR = 1.023（95% CI: 0.713-1.466）。P 值同樣遠大於 0.05，年齡分組與發病死亡無任何統計關聯。</w:t>
        <w:br/>
        <w:t>結論：完全排除性別與年齡之混淆作用，進一步坐實深井水是唯一的暴露病因。</w:t>
      </w:r>
    </w:p>
    <w:p>
      <w:pPr>
        <w:keepNext/>
        <w:spacing w:before="200" w:after="80"/>
      </w:pPr>
      <w:r>
        <w:rPr>
          <w:rFonts w:ascii="Microsoft JhengHei" w:hAnsi="Microsoft JhengHei"/>
          <w:b/>
          <w:color w:val="2C3E50"/>
          <w:sz w:val="23"/>
        </w:rPr>
        <w:t>2.4 布萊德福·希爾（Bradford Hill）因果關係準則全面檢驗</w:t>
      </w:r>
    </w:p>
    <w:p>
      <w:r>
        <w:t>為使本調查報告具備無懈可擊之科學說服力，調查員採用現代流行病學黃金標準 Bradford Hill 因果準則進行綜合檢驗：</w:t>
        <w:br/>
        <w:t>1. 關聯強度（Strength）：深井水暴露之 RR 高達 11.90 倍，OR 高達 5475.21 倍，χ² = 590.99，關聯強度處於極端顯著之罕見水平。</w:t>
        <w:br/>
        <w:t>2. 劑量反應關係（Biological Gradient）：呈現「自來水 (0%) → 淺井水 (12.2% 輕症) → 深井水 (99.8% 且 61.4% 重症)」之完美階梯式劑量效應。</w:t>
        <w:br/>
        <w:t>3. 時序性（Temporality）：所有死亡居民均先有長期或近日大量飲用深井水之暴露史，隨後出現中毒/發病症狀，最終器官衰竭死亡，時序完全契合。</w:t>
        <w:br/>
        <w:t>4. 特異性（Specificity）：疾病暴發高度集中於深井水管網用戶，非深井水用戶（尤其是自來水戶）完全具備保護性免疫屏障（0% 發病）。</w:t>
        <w:br/>
        <w:t>5. 生物合理性與一致性（Plausibility &amp; Consistency）：深層地下水層易受地質重金屬（如高濃度砷、鎘、放射性氡氣）或工業違法深井灌注劇毒化學物（如氰化物、有機磷、有機溶劑）污染，其高濃度攝入能在短時間內造成致命性中樞神經崩潰與急性腎肝衰竭，致死率 100% 之臨床表現完全具備毒理學合理性。</w:t>
      </w:r>
    </w:p>
    <w:p>
      <w:pPr>
        <w:keepNext/>
        <w:spacing w:before="280" w:after="120"/>
      </w:pPr>
      <w:r>
        <w:rPr>
          <w:rFonts w:ascii="Microsoft JhengHei" w:hAnsi="Microsoft JhengHei"/>
          <w:b/>
          <w:color w:val="1B365D"/>
          <w:sz w:val="28"/>
        </w:rPr>
        <w:t>第三部分：調查員實地防制建議與緊急公衛干預策略</w:t>
      </w:r>
    </w:p>
    <w:p>
      <w:r>
        <w:t>基於上述嚴密之流行病學調查與生物統計檢定結果，調查員正式向辦公室及主管機關提出以下四項「黃金處置作為」，建請即刻批准執行：</w:t>
      </w:r>
    </w:p>
    <w:p>
      <w:pPr>
        <w:spacing w:before="80" w:after="80"/>
      </w:pPr>
      <w:r>
        <w:rPr>
          <w:b/>
          <w:color w:val="2C3E50"/>
        </w:rPr>
        <w:t>一、 立即實體封閉橘郡境內所有深井水源，切斷毒性傳播鏈</w:t>
        <w:br/>
      </w:r>
      <w:r>
        <w:rPr>
          <w:color w:val="323232"/>
        </w:rPr>
        <w:t>動員警政與水利單位，即刻查封橘郡全區所有深層地下水抽水馬達與取水井口，拉設封鎖線並張貼緊急危險告示；全面截斷深井水管網閥門，嚴禁居民直接飲用、烹飪或沐浴，以杜絕新增個案。</w:t>
      </w:r>
    </w:p>
    <w:p>
      <w:pPr>
        <w:spacing w:before="80" w:after="80"/>
      </w:pPr>
      <w:r>
        <w:rPr>
          <w:b/>
          <w:color w:val="2C3E50"/>
        </w:rPr>
        <w:t>二、 啟動應急自來水延伸與民生安全包裝飲用水全面配送</w:t>
        <w:br/>
      </w:r>
      <w:r>
        <w:rPr>
          <w:color w:val="323232"/>
        </w:rPr>
        <w:t>調派國軍工兵部隊與自來水公司水車進駐橘郡各里，每日配發高規格瓶裝水；同時緊急搶修與延伸既有市政自來水（Top water）主管線，利用已知安全之自來水管網全面取代地下水系統。</w:t>
      </w:r>
    </w:p>
    <w:p>
      <w:pPr>
        <w:spacing w:before="80" w:after="80"/>
      </w:pPr>
      <w:r>
        <w:rPr>
          <w:b/>
          <w:color w:val="2C3E50"/>
        </w:rPr>
        <w:t>三、 專案化驗小組進駐：進行深層水體毒物學、重金屬與生化戰劑全譜篩檢</w:t>
        <w:br/>
      </w:r>
      <w:r>
        <w:rPr>
          <w:color w:val="323232"/>
        </w:rPr>
        <w:t>採集深井水（水頭、水底沉澱物）、淺井水對照組及自來水樣本，送交國家級毒物檢驗所進行 GC-MS、ICP-MS 質譜分析，重點清查砷化物、有機磷、氰化物、重金屬及地底特殊細菌毒素（如肉毒桿菌毒素），並回溯深層水文地質周邊是否有工廠非法暗管偷排。</w:t>
      </w:r>
    </w:p>
    <w:p>
      <w:pPr>
        <w:spacing w:before="80" w:after="80"/>
      </w:pPr>
      <w:r>
        <w:rPr>
          <w:b/>
          <w:color w:val="2C3E50"/>
        </w:rPr>
        <w:t>四、 設立前進醫療指揮所與存活個案（N=154）強化醫學監測</w:t>
        <w:br/>
      </w:r>
      <w:r>
        <w:rPr>
          <w:color w:val="323232"/>
        </w:rPr>
        <w:t>針對唯一步入深井暴露卻奇蹟存活之 1 名個案進行全基因組定序與毒物代謝分析，探討其存活機轉；對淺井水已發病之 14 名輕症（minor）轉院個案實施重症加護治療與血液透析，防止其轉變為死亡結局；對全體居民提供創傷後心理輔導。</w:t>
      </w:r>
    </w:p>
    <w:p>
      <w:pPr>
        <w:keepNext/>
        <w:spacing w:before="320"/>
      </w:pPr>
    </w:p>
    <w:tbl>
      <w:tblPr>
        <w:tblW w:type="auto" w:w="0"/>
        <w:jc w:val="center"/>
        <w:tblLook w:firstColumn="1" w:firstRow="1" w:lastColumn="0" w:lastRow="0" w:noHBand="0" w:noVBand="1" w:val="04A0"/>
        <w:tblBorders>
          <w:top w:val="single" w:sz="12" w:space="0" w:color="1B365D"/>
          <w:bottom w:val="single" w:sz="12" w:space="0" w:color="1B365D"/>
          <w:left w:val="none"/>
          <w:right w:val="none"/>
          <w:insideH w:val="single" w:sz="4" w:space="0" w:color="D5D8DC"/>
          <w:insideV w:val="none"/>
        </w:tblBorders>
      </w:tblPr>
      <w:tblGrid>
        <w:gridCol w:w="4514"/>
        <w:gridCol w:w="4514"/>
      </w:tblGrid>
      <w:tr>
        <w:tc>
          <w:tcPr>
            <w:tcW w:type="dxa" w:w="4464"/>
            <w:tcMar>
              <w:top w:w="80" w:type="dxa"/>
              <w:bottom w:w="80" w:type="dxa"/>
              <w:left w:w="100" w:type="dxa"/>
              <w:right w:w="100" w:type="dxa"/>
            </w:tcMar>
            <w:shd w:fill="EAECEE"/>
            <w:shd w:fill="1B365D"/>
            <w:tcMar>
              <w:top w:w="140" w:type="dxa"/>
              <w:bottom w:w="140" w:type="dxa"/>
              <w:left w:w="150" w:type="dxa"/>
              <w:right w:w="150" w:type="dxa"/>
            </w:tcMar>
            <w:vAlign w:val="center"/>
          </w:tcPr>
          <w:p>
            <w:pPr>
              <w:jc w:val="center"/>
            </w:pPr>
            <w:r>
              <w:rPr>
                <w:rFonts w:ascii="Microsoft JhengHei" w:hAnsi="Microsoft JhengHei"/>
                <w:b/>
                <w:color w:val="FFFFFF"/>
                <w:sz w:val="19"/>
              </w:rPr>
              <w:t>報告呈報調查員：</w:t>
            </w:r>
          </w:p>
        </w:tc>
        <w:tc>
          <w:tcPr>
            <w:tcW w:type="dxa" w:w="4464"/>
            <w:tcMar>
              <w:top w:w="80" w:type="dxa"/>
              <w:bottom w:w="80" w:type="dxa"/>
              <w:left w:w="100" w:type="dxa"/>
              <w:right w:w="100" w:type="dxa"/>
            </w:tcMar>
            <w:shd w:fill="EAECEE"/>
            <w:shd w:fill="1B365D"/>
            <w:tcMar>
              <w:top w:w="140" w:type="dxa"/>
              <w:bottom w:w="140" w:type="dxa"/>
              <w:left w:w="150" w:type="dxa"/>
              <w:right w:w="150" w:type="dxa"/>
            </w:tcMar>
            <w:vAlign w:val="center"/>
          </w:tcPr>
          <w:p>
            <w:pPr>
              <w:jc w:val="center"/>
            </w:pPr>
            <w:r>
              <w:rPr>
                <w:rFonts w:ascii="Microsoft JhengHei" w:hAnsi="Microsoft JhengHei"/>
                <w:b/>
                <w:color w:val="FFFFFF"/>
                <w:sz w:val="19"/>
              </w:rPr>
              <w:t>辦公室長官核閱簽章：</w:t>
            </w:r>
          </w:p>
        </w:tc>
      </w:tr>
      <w:tr>
        <w:tc>
          <w:tcPr>
            <w:tcW w:type="dxa" w:w="4464"/>
            <w:tcMar>
              <w:top w:w="80" w:type="dxa"/>
              <w:bottom w:w="80" w:type="dxa"/>
              <w:left w:w="100" w:type="dxa"/>
              <w:right w:w="100" w:type="dxa"/>
            </w:tcMar>
            <w:shd w:fill="FAFAFA"/>
            <w:shd w:fill="F9FBFC"/>
            <w:tcMar>
              <w:top w:w="100" w:type="dxa"/>
              <w:bottom w:w="100" w:type="dxa"/>
              <w:left w:w="150" w:type="dxa"/>
              <w:right w:w="150" w:type="dxa"/>
            </w:tcMar>
            <w:vAlign w:val="center"/>
          </w:tcPr>
          <w:p>
            <w:pPr>
              <w:spacing w:after="0" w:before="0"/>
              <w:jc w:val="left"/>
            </w:pPr>
            <w:r>
              <w:rPr>
                <w:rFonts w:ascii="Microsoft JhengHei" w:hAnsi="Microsoft JhengHei"/>
                <w:sz w:val="19"/>
              </w:rPr>
              <w:t>專案流行病學調查員  劉昱君  (簽署)</w:t>
              <w:br/>
              <w:t>日期：2026 年 10 月 22 日</w:t>
            </w:r>
          </w:p>
        </w:tc>
        <w:tc>
          <w:tcPr>
            <w:tcW w:type="dxa" w:w="4464"/>
            <w:tcMar>
              <w:top w:w="80" w:type="dxa"/>
              <w:bottom w:w="80" w:type="dxa"/>
              <w:left w:w="100" w:type="dxa"/>
              <w:right w:w="100" w:type="dxa"/>
            </w:tcMar>
            <w:shd w:fill="FAFAFA"/>
            <w:shd w:fill="F9FBFC"/>
            <w:tcMar>
              <w:top w:w="100" w:type="dxa"/>
              <w:bottom w:w="100" w:type="dxa"/>
              <w:left w:w="150" w:type="dxa"/>
              <w:right w:w="150" w:type="dxa"/>
            </w:tcMar>
            <w:vAlign w:val="center"/>
          </w:tcPr>
          <w:p>
            <w:pPr>
              <w:spacing w:after="0" w:before="0"/>
              <w:jc w:val="center"/>
            </w:pPr>
            <w:r>
              <w:rPr>
                <w:rFonts w:ascii="Microsoft JhengHei" w:hAnsi="Microsoft JhengHei"/>
                <w:sz w:val="19"/>
              </w:rPr>
              <w:t>流行病學調查指揮中心 辦公室主任</w:t>
              <w:br/>
              <w:t>核定日期：2026 年 ___ 月 ___ 日</w:t>
            </w:r>
          </w:p>
        </w:tc>
      </w:tr>
    </w:tbl>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color w:val="787878"/>
        <w:sz w:val="17"/>
      </w:rPr>
      <w:t>衛生調查局流行病學調查小組 · 專案調查員實地回報報告書</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color w:val="787878"/>
        <w:sz w:val="17"/>
      </w:rPr>
      <w:t>橘郡異常事件流行病學調查報告【公衛內部通報·極機密】 | 2026-10-22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Microsoft JhengHei" w:hAnsi="Microsoft JhengHe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