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中国大学生计算机设计大赛</w:t>
      </w:r>
    </w:p>
    <w:p>
      <w:pPr>
        <w:spacing w:after="300"/>
        <w:jc w:val="center"/>
      </w:pPr>
      <w:r>
        <w:rPr>
          <w:rFonts w:ascii="SimHei" w:cs="SimHei" w:eastAsia="SimHei" w:hAnsi="SimHei"/>
          <w:b/>
          <w:bCs/>
          <w:color w:val="2E75B6"/>
          <w:sz w:val="24"/>
          <w:szCs w:val="24"/>
        </w:rPr>
        <w:t xml:space="preserve">AI工具使用说明 (2026年版)</w:t>
      </w:r>
    </w:p>
    <w:p>
      <w:pPr>
        <w:spacing w:after="80"/>
      </w:pPr>
      <w:r>
        <w:rPr>
          <w:rFonts w:ascii="SimSun" w:cs="SimSun" w:eastAsia="SimSun" w:hAnsi="SimSun"/>
          <w:color w:val="FF0000"/>
          <w:sz w:val="20"/>
          <w:szCs w:val="20"/>
        </w:rPr>
        <w:t xml:space="preserve">作品编号：【待补充】    作品名称：智慧学工系统 — 高校一站式学生事务管理平台</w:t>
      </w:r>
    </w:p>
    <w:p>
      <w:pPr>
        <w:spacing w:after="20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填写说明：本作品开发过程中使用了AI辅助工具，包括Claude Code（编程助手）、DeepSeek V4 Pro（方案咨询）、OpenClaw AI Agent（运维辅助）。以下详述各工具的使用情况。</w:t>
      </w:r>
    </w:p>
    <w:tbl>
      <w:tblPr>
        <w:tblW w:type="dxa" w:w="13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000"/>
        <w:gridCol w:w="3000"/>
        <w:gridCol w:w="2000"/>
        <w:gridCol w:w="2000"/>
      </w:tblGrid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AI工具的名称、版本、访问方式、使用时间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使用AI工具的环节与目的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关键提示词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AI回复的人工修改说明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采纳比例与说明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Claude Code (CLI)
模型：Claude Opus 4.7
访问方式：Windows CLI 客户端
使用时间：2026年5月14日–20日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代码编程：生成Vue3页面组件、Express路由/控制器、数据库模型；Bug修复：定位编码问题、API异常、UI溢出bug；架构设计：系统架构评审、数据库表结构设计、API接口规范制定；文档撰写：PRD文档、API文档、提交材料文档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 "请为智慧学工系统创建学生Dashboard页面，使用Vue3+Element Plus，含统计卡片、公告列表、活动列表"
2. "修复MySQL连接字符集导致的中文乱码问题，将latin1改为utf8mb4"
3. "移动端表格溢出，390px视口下680px宽的表格如何处理"
4. "设计奖学金申请的数据表结构，含学生ID、奖学金类型、申请理由、证明材料、审核状态等字段"
5. "将聊天界面移动端改为全屏切换模式：联系人列表↔聊天区"
6. "排查/api/scholarship/applications返回404的原因"
7. "为登录页ShinyText组件调整动画速度，从5s改为12s"
8. "创建项目README.md，含项目简介、技术栈、功能模块、在线演示地址"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AI生成代码经人工审查后采纳，关键业务逻辑（JWT认证、权限校验、滑块验证码）均由人工设计；AI生成的CSS动画参数经人工调整（速度/强度）；数据库表结构由AI建议+人工审核确定；文档由AI草拟后经人工校核补充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整体采纳率约60%，经人工重构后实际代码采纳率约40%。前端页面结构采纳度高（约70%），后端业务逻辑采纳度中等（约40%），文档采纳度高（约80%）。AI主要替代了重复性代码编写和格式文档撰写，核心设计决策仍由人工完成。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DeepSeek V4 Pro
访问方式：API/CC Switch 桥接
使用时间：2026年5月14日–20日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方案设计：辅助功能模块规划与竞品分析；文档润色：参赛文档文本润色与格式优化；问题解答：开发过程中的技术疑难解答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 "智慧学工系统应该包含哪些核心功能模块"
2. "Vue3中如何实现路由守卫和角色权限控制"
3. "GSAP ScrollTrigger在移动端的性能优化建议"
4. "大学生计算机设计大赛Web赛道的评审标准"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DeepSeek提供的方案建议作为参考，最终功能设计由团队讨论决定；技术方案经实测验证后采用；文档润色建议选择性采纳。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咨询建议类采纳率约50%，文档润色采纳率约70%。主要用于思路拓展和方案验证，不直接生成最终交付物。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OpenClaw AI Agent
版本：2026.4.14
模型：MiniMax-M2.7
部署于腾讯云服务器
访问方式：SSH CLI
使用时间：2026年5月10日–20日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运维辅助：服务器健康检查、Docker容器状态监控；自动化测试：API端点可用性检测；日志分析：Nginx访问日志与后端错误日志分析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 "检查服务器Docker容器运行状态"
2. "查看后端API健康检查结果"
3. "分析Nginx最近的404错误日志"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OpenClaw提供的运维建议经人工验证后执行；自动化检测结果作为参考，关键运维操作由人工决策。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运维辅助类采纳率约80%，主要用于日常健康检查和日志分析，显著降低了手动巡检工作量。</w:t>
            </w:r>
          </w:p>
        </w:tc>
      </w:tr>
    </w:tbl>
    <w:p>
      <w:pPr>
        <w:spacing w:after="200" w:before="200"/>
      </w:pPr>
      <w:r>
        <w:rPr>
          <w:rFonts w:ascii="SimSun" w:cs="SimSun" w:eastAsia="SimSun" w:hAnsi="SimSun"/>
          <w:b/>
          <w:bCs/>
          <w:sz w:val="18"/>
          <w:szCs w:val="18"/>
        </w:rPr>
        <w:t xml:space="preserve">全体参赛队员承诺：以上AI工具使用情况如实填写，AI生成内容的关键佐证材料（操作截图、交互录屏）将作为附录提交。如因填写不实导致的一切后果，由本团队自行承担。</w:t>
      </w:r>
    </w:p>
    <w:p>
      <w:pPr>
        <w:spacing w:before="20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附录：AI工具使用佐证材料索引</w:t>
      </w:r>
    </w:p>
    <w:p>
      <w:pPr>
        <w:spacing w:after="40"/>
      </w:pPr>
      <w:r>
        <w:rPr>
          <w:rFonts w:ascii="SimSun" w:cs="SimSun" w:eastAsia="SimSun" w:hAnsi="SimSun"/>
          <w:color w:val="FF0000"/>
          <w:sz w:val="18"/>
          <w:szCs w:val="18"/>
        </w:rPr>
        <w:t xml:space="preserve">附录1：Claude Code关键对话截图（约10张，含时间戳）— 待补充</w:t>
      </w:r>
    </w:p>
    <w:p>
      <w:pPr>
        <w:spacing w:after="40"/>
      </w:pPr>
      <w:r>
        <w:rPr>
          <w:rFonts w:ascii="SimSun" w:cs="SimSun" w:eastAsia="SimSun" w:hAnsi="SimSun"/>
          <w:color w:val="FF0000"/>
          <w:sz w:val="18"/>
          <w:szCs w:val="18"/>
        </w:rPr>
        <w:t xml:space="preserve">附录2：DeepSeek方案研讨截图（约5张，含时间戳）— 待补充</w:t>
      </w:r>
    </w:p>
    <w:p>
      <w:pPr>
        <w:spacing w:after="40"/>
      </w:pPr>
      <w:r>
        <w:rPr>
          <w:rFonts w:ascii="SimSun" w:cs="SimSun" w:eastAsia="SimSun" w:hAnsi="SimSun"/>
          <w:color w:val="FF0000"/>
          <w:sz w:val="18"/>
          <w:szCs w:val="18"/>
        </w:rPr>
        <w:t xml:space="preserve">附录3：OpenClaw运维日志截图（约3张，含时间戳）— 待补充</w:t>
      </w:r>
    </w:p>
    <w:p>
      <w:pPr>
        <w:spacing w:after="40"/>
      </w:pPr>
      <w:r>
        <w:rPr>
          <w:rFonts w:ascii="SimSun" w:cs="SimSun" w:eastAsia="SimSun" w:hAnsi="SimSun"/>
          <w:color w:val="FF0000"/>
          <w:sz w:val="18"/>
          <w:szCs w:val="18"/>
        </w:rPr>
        <w:t xml:space="preserve">附录4：源代码中AI辅助标注示例（// AI辅助生成: Claude Opus 4.7, 2026-05-15）— 待补充</w:t>
      </w:r>
    </w:p>
    <w:p>
      <w:pPr>
        <w:spacing w:after="40"/>
      </w:pPr>
      <w:r>
        <w:rPr>
          <w:rFonts w:ascii="SimSun" w:cs="SimSun" w:eastAsia="SimSun" w:hAnsi="SimSun"/>
          <w:color w:val="FF0000"/>
          <w:sz w:val="18"/>
          <w:szCs w:val="18"/>
        </w:rPr>
        <w:t xml:space="preserve">附录5：AI交互录屏视频（≤5分钟，MP4格式）— 待补充</w:t>
      </w:r>
    </w:p>
    <w:sectPr>
      <w:headerReference w:type="default" r:id="rId7"/>
      <w:footerReference w:type="default" r:id="rId8"/>
      <w:pgSz w:w="11906" w:h="16838" w:orient="portrait"/>
      <w:pgMar w:top="1000" w:right="800" w:bottom="10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t xml:space="preserve">第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Sun" w:cs="SimSun" w:eastAsia="SimSun" w:hAnsi="SimSun"/>
        <w:color w:val="999999"/>
        <w:sz w:val="18"/>
        <w:szCs w:val="18"/>
      </w:rPr>
      <w:t xml:space="preserve">AI工具使用说明（2026年版）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2026-05-20T15:26:32.875Z</dcterms:created>
  <dcterms:modified xsi:type="dcterms:W3CDTF">2026-05-20T15:26:32.876Z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