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saat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pertama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kali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dinyalakan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melakukan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beberapa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step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dalam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urutan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selalu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;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pertama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ROM BIOS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melakukan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serangkaian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diagnosis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memastikan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prosesor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memory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bekerja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baik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.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Kemudian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BIOS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melakukan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pengecekan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terhadap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beberapa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komponen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lainnya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termasuk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 disk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video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card.Setelah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semua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tersebut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selesai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dilakukan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BIOS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urutan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pertama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serangkaian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program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memulai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sistem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operasi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Windows.</w:t>
      </w: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</w:tblGrid>
      <w:tr w:rsidR="006C3504" w:rsidRPr="006C3504" w:rsidTr="006C350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C3504" w:rsidRPr="006C3504" w:rsidRDefault="006C3504" w:rsidP="006C3504">
            <w:pPr>
              <w:spacing w:after="0" w:line="240" w:lineRule="auto"/>
              <w:jc w:val="center"/>
              <w:rPr>
                <w:rFonts w:ascii="Comic Sans MS" w:eastAsia="Arial Unicode MS" w:hAnsi="Comic Sans MS" w:cs="Arial Unicode MS"/>
                <w:sz w:val="20"/>
                <w:szCs w:val="20"/>
              </w:rPr>
            </w:pPr>
          </w:p>
        </w:tc>
      </w:tr>
    </w:tbl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tersebut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biasa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kita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kenal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istilah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start up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atau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booting,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secara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lebih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detail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booting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terdiri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berberapa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tahap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sebagai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berikut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:</w:t>
      </w:r>
    </w:p>
    <w:p w:rsidR="006C3504" w:rsidRPr="006C3504" w:rsidRDefault="006C3504" w:rsidP="006C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BIOS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"Power On Self Test" (POST),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selama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POST,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yaitu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melakukan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pengetesan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terhadap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 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komponen-komponen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(hardware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)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seperti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display adapter,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memori</w:t>
      </w:r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,hardisk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keyboard.</w:t>
      </w:r>
    </w:p>
    <w:p w:rsidR="006C3504" w:rsidRPr="006C3504" w:rsidRDefault="006C3504" w:rsidP="006C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Komonen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pertama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kali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dicek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r w:rsidR="00BD3E33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adalah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display adapter (yang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mempunyai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built in test routine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sendiri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). 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tahap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 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kita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bisa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melihat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layar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monitor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hanya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menampilkan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informasi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Display Adapter</w:t>
      </w:r>
    </w:p>
    <w:p w:rsidR="006C3504" w:rsidRPr="006C3504" w:rsidRDefault="006C3504" w:rsidP="006C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selesai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built in routine display adapter, BIOS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kembali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POST routine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 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kita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bisa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melihat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tampilan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utama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POST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layar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monitor.</w:t>
      </w:r>
    </w:p>
    <w:p w:rsidR="006C3504" w:rsidRPr="006C3504" w:rsidRDefault="006C3504" w:rsidP="006C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POST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melakukan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pengetesan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terhadap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Processor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menampilkan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versi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Processor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layar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monitor.</w:t>
      </w:r>
    </w:p>
    <w:p w:rsidR="006C3504" w:rsidRPr="006C3504" w:rsidRDefault="006C3504" w:rsidP="006C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pengecekan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Processor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selesai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kita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bisa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masuk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menu BIOS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biasanya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menekan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tombol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DEL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atau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F2 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melakukan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beberapa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setingan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diperlukan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</w:p>
    <w:p w:rsidR="006C3504" w:rsidRPr="006C3504" w:rsidRDefault="006C3504" w:rsidP="006C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Misalkan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kita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tidak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masuk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menu BIOS,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booting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berlanjut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BIOS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melakukan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pengecekan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terhadap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memory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terinstall</w:t>
      </w:r>
      <w:proofErr w:type="spellEnd"/>
    </w:p>
    <w:p w:rsidR="006C3504" w:rsidRPr="006C3504" w:rsidRDefault="006C3504" w:rsidP="006C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BIOS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kemudian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melakukan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pengecekan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terhadap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koneksi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hardware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seperti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 disk, CD Drive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Floppy Drive.</w:t>
      </w:r>
    </w:p>
    <w:p w:rsidR="006C3504" w:rsidRPr="006C3504" w:rsidRDefault="006C3504" w:rsidP="006C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Jika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koneksi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tidak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sesuai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setingan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BIOS,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booting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berhenti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kita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harus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kembali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masuk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menu BIOS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membetulkannya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</w:p>
    <w:p w:rsidR="006C3504" w:rsidRPr="006C3504" w:rsidRDefault="006C3504" w:rsidP="006C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Ketika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semua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diatas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sudah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terlewati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baik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BIOS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menampilkan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ringkasan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hardware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terdeteksi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layar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</w:p>
    <w:p w:rsidR="006C3504" w:rsidRPr="006C3504" w:rsidRDefault="006C3504" w:rsidP="006C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BIOS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kemudian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memanggil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"BIOS Operating System Bootstrap Interrupt "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menemukan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"bootable disk"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mencoba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me-load 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setiap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disk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dikonfigurasi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sebagai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"bootable disk"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settingan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BIOS.</w:t>
      </w:r>
    </w:p>
    <w:p w:rsidR="006C3504" w:rsidRPr="006C3504" w:rsidRDefault="006C3504" w:rsidP="006C35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BIOS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menemukan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"bootable disk",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kemudian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me-load program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"Master Boot Record (MBR)" 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disk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dalam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memori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.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Misalkan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MBR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tersebut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partisi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terinstall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sistem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operasi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xp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, 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kemudian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berpindah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"Start up Computer"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"Start up Windows".</w:t>
      </w:r>
    </w:p>
    <w:p w:rsidR="006C3504" w:rsidRPr="006C3504" w:rsidRDefault="006C3504" w:rsidP="006C3504">
      <w:p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24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sistem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operasi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xp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startup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kurang-lebih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diuraikan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sebagai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berikut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:</w:t>
      </w:r>
    </w:p>
    <w:p w:rsidR="006C3504" w:rsidRPr="006C3504" w:rsidRDefault="006C3504" w:rsidP="006C3504">
      <w:pPr>
        <w:spacing w:after="0" w:line="240" w:lineRule="auto"/>
        <w:jc w:val="center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MBR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me-load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suatu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program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bernama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NTLDR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dalam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memori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(MBR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sector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pertama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hardisk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)</w:t>
      </w:r>
    </w:p>
    <w:p w:rsidR="006C3504" w:rsidRPr="006C3504" w:rsidRDefault="006C3504" w:rsidP="006C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NTLDR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kemudian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memindahkan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"flat memory model"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kemudian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membaca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file BOOT.INI.</w:t>
      </w:r>
    </w:p>
    <w:p w:rsidR="006C3504" w:rsidRPr="006C3504" w:rsidRDefault="006C3504" w:rsidP="006C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Jika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mempunyai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beberapa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partisi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bootable, NTLDR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menggunakan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informasi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file BOOT.INI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menampilkan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pilihan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boot,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apabila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hanya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terinstall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xp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saja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tampilan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menu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dilewati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me-load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xp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</w:p>
    <w:p w:rsidR="006C3504" w:rsidRPr="006C3504" w:rsidRDefault="006C3504" w:rsidP="006C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Sebelum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meload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xp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NTLDR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membuka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program lain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dalam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memory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disebut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NDETEC.COM. File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melakukan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pengecekan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semua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hardware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.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semua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hardware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ditemukan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NDTECT.COM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memberikan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kembali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informasi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tersebut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NTLDR.</w:t>
      </w:r>
    </w:p>
    <w:p w:rsidR="006C3504" w:rsidRPr="006C3504" w:rsidRDefault="006C3504" w:rsidP="006C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NTLDR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kemudian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berusaha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me-load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versi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XP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dipilih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step 3. Hal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dilakukan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menemukan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file NTOSKRNL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folder System32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directory windows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xp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.</w:t>
      </w:r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r w:rsidRPr="006C3504">
        <w:rPr>
          <w:rFonts w:ascii="Comic Sans MS" w:eastAsia="Arial Unicode MS" w:hAnsi="Comic Sans MS" w:cs="Arial Unicode MS"/>
          <w:sz w:val="20"/>
          <w:szCs w:val="20"/>
        </w:rPr>
        <w:br/>
        <w:t xml:space="preserve">NTOSKRNL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adalah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program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utama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system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operasi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yaitu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sebuah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"kernel"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kernel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tersebut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-load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memory, NTLDR passes control of the boot process to the kernel and to another file named HAL.DLL. HAL.DLL controls Windows’ famous hardware abstraction layer (HAL).</w:t>
      </w:r>
    </w:p>
    <w:p w:rsidR="006C3504" w:rsidRPr="006C3504" w:rsidRDefault="006C3504" w:rsidP="006C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NTOSKRNL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kemudia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menangani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boot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selanjutnya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.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Langkah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pertama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adalah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meload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beberapa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"low-level system drivers".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Kemudian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NTOSKRNL me-load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semua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file-file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dibutuhkan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membuat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"core"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sistem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operasi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xp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</w:p>
    <w:p w:rsidR="006C3504" w:rsidRPr="006C3504" w:rsidRDefault="006C3504" w:rsidP="006C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Kemudian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memverifikasi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apakah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lebih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satu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konfigurasi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hardware profile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,  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kalau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lebih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satu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hardware profile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menampilkan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menu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pilihan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tetapi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apabila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hanya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satu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profile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langsung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me-load default profile.</w:t>
      </w:r>
    </w:p>
    <w:p w:rsidR="006C3504" w:rsidRPr="006C3504" w:rsidRDefault="006C3504" w:rsidP="006C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Sesudah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mengenali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hardware profile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digunakan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kemudian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me-load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semua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device driver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semua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hardware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saat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tampilan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monitor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menampilkan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"Welcome </w:t>
      </w:r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To</w:t>
      </w:r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XP boot screen".</w:t>
      </w:r>
    </w:p>
    <w:p w:rsidR="006C3504" w:rsidRPr="006C3504" w:rsidRDefault="006C3504" w:rsidP="006C35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Terakhir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semua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service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dijadwalkan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secara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otomatis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.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saat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tampilan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monitor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menampilkan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"logon screen".</w:t>
      </w: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Power-on self test (POST)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adalah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hal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pertama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berjalan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ketika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anda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menyalakan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.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Selama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POST,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prosesor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menggunakan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instruksi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dalam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firmware BIOS (software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chip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memori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motherboard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)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mengkonfirmasi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bahwa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power supply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lastRenderedPageBreak/>
        <w:t>bekerja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baik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beberapa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memory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hardware,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mencari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perangkat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lunak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sistem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operasi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 disk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atau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beberapa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media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penyimpanan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lainnya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mengatur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pilihan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konfigurasi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tertentu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BIOS.</w:t>
      </w: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Ketika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mendeteksi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masalah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saat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POST,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ditampilkan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pesan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teks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menunjukan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kesalahan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atau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mengeluarkan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serangkaian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bunyi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bip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(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sebenarnya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kode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beep).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Jika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masalah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sangat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serius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sehingga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tidak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mungkin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bagi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bekerja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baik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(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seperti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kegagalan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memori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),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sistem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diam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atau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mematikan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menyelesaikan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POST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dalam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motherboard, POST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tambahan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beberapa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komponen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lainnya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termasuk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 disk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adaptor video.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Masing-masing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dapat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menghasilkan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pesan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kesalahannya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masing-masing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> </w:t>
      </w: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Setelah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POST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selesai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mencoba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memuat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perangkat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lunak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sistem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operasi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disimpan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dalam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 disk, floppy disk, CD,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atau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beberapa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perangkat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penyimpanan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lainnya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> </w:t>
      </w: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Jika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BIOS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tidak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menemukan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masalah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BIOS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mencari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boot sector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media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menyimpan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sistem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operasi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program boot loader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bernama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ntldr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(NT Loader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atau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boot loader).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Ntldr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mengambil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alih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BIOS.</w:t>
      </w:r>
      <w:proofErr w:type="gramEnd"/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menggunakan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informasi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dikumpulkan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oleh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ntdetect.com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mengidentifikasi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mengkonfigurasi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berbagai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perangkat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keras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digunakan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mengirim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menerima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menyimpan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data.</w:t>
      </w:r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Semua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itu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termasuk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keyboard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mouse; disk drive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perangkat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penyimpanan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data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lainnya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; adaptor video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mengontrol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tampilan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monitor; port I/O (input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output),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termasuk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serial,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paralel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Ethernet,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port USB;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setiap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input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atau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output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perangkat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lain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terpasang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slot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ekspansi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motherboard. </w:t>
      </w:r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Ntdectect.com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juga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membaca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informasi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tertentu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firmware BIOS,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termasuk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waktu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tanggal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  <w:proofErr w:type="gramEnd"/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File ntoskrnl.exe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adalah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kernel Windows;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berisi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inti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sistem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operasi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Windows. </w:t>
      </w:r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Program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ntldr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memuat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kernel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dalam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memori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bersamaan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file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berisi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informasi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tentang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hardware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terinstal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  <w:proofErr w:type="gramEnd"/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kedua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file (ntoskrnl.exe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file hardware)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berhasil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dimuat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Windows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serangkaian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program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disebut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-Windows executive</w:t>
      </w:r>
      <w:r w:rsidRPr="006C3504">
        <w:rPr>
          <w:rFonts w:ascii="Arial Unicode MS" w:eastAsia="Arial Unicode MS" w:hAnsi="Arial Unicode MS" w:cs="Arial Unicode MS"/>
          <w:sz w:val="20"/>
          <w:szCs w:val="20"/>
        </w:rPr>
        <w:t>‖</w:t>
      </w:r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membaca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informasi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konfigurasi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Registry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program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sekunder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layanan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berjalan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latar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belakang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seperti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ditetapkan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saat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startup. </w:t>
      </w: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kernel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selesai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startup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registry,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kernel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program Session Manager (smss.exe),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diantara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beberapa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fungsi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penting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lainnya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memindahkan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dari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mode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teks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mode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grafis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.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kata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lain</w:t>
      </w:r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adalah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titik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mana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anda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mulai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melihat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gambar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grafis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layar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anda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Pada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titik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mengendalikan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anda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secara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penuh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Layar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logon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akan</w:t>
      </w:r>
      <w:proofErr w:type="spellEnd"/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meminta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username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password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pengguna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(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jika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). </w:t>
      </w:r>
      <w:proofErr w:type="spellStart"/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Setelah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user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masuk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memuat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apapun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program startup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tambahan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ditentukan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dalam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Registry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akun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pengguna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tersebut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  <w:proofErr w:type="gramEnd"/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lastRenderedPageBreak/>
        <w:t xml:space="preserve">Registry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menentukan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satu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kumpulan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script logon, program startup,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layanan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setiap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pengguna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termasuk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perangkat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tambahan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sistem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inti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Windows, program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keamanan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(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seperti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antivirus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atau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antispyware),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program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utilitas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lain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berjalan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latar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belakang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operasi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 </w:t>
      </w: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</w:p>
    <w:p w:rsidR="006C3504" w:rsidRPr="006C3504" w:rsidRDefault="006C3504" w:rsidP="006C3504">
      <w:pPr>
        <w:spacing w:after="0" w:line="240" w:lineRule="auto"/>
        <w:rPr>
          <w:rFonts w:ascii="Comic Sans MS" w:eastAsia="Arial Unicode MS" w:hAnsi="Comic Sans MS" w:cs="Arial Unicode MS"/>
          <w:sz w:val="20"/>
          <w:szCs w:val="20"/>
        </w:rPr>
      </w:pP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Setelah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gramStart"/>
      <w:r w:rsidRPr="006C3504">
        <w:rPr>
          <w:rFonts w:ascii="Comic Sans MS" w:eastAsia="Arial Unicode MS" w:hAnsi="Comic Sans MS" w:cs="Arial Unicode MS"/>
          <w:sz w:val="20"/>
          <w:szCs w:val="20"/>
        </w:rPr>
        <w:t>Windows</w:t>
      </w:r>
      <w:proofErr w:type="gram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selesai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menjalankan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script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semua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program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layanan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yang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ditentukan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proses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startup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selesai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desktop Windows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terlihat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bersamaan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dengan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munculnya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wallpaper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favorit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anda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,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komputer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siap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untuk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 xml:space="preserve"> </w:t>
      </w:r>
      <w:proofErr w:type="spellStart"/>
      <w:r w:rsidRPr="006C3504">
        <w:rPr>
          <w:rFonts w:ascii="Comic Sans MS" w:eastAsia="Arial Unicode MS" w:hAnsi="Comic Sans MS" w:cs="Arial Unicode MS"/>
          <w:sz w:val="20"/>
          <w:szCs w:val="20"/>
        </w:rPr>
        <w:t>digunakan</w:t>
      </w:r>
      <w:proofErr w:type="spellEnd"/>
      <w:r w:rsidRPr="006C3504">
        <w:rPr>
          <w:rFonts w:ascii="Comic Sans MS" w:eastAsia="Arial Unicode MS" w:hAnsi="Comic Sans MS" w:cs="Arial Unicode MS"/>
          <w:sz w:val="20"/>
          <w:szCs w:val="20"/>
        </w:rPr>
        <w:t>.</w:t>
      </w:r>
    </w:p>
    <w:p w:rsidR="00B26695" w:rsidRPr="006C3504" w:rsidRDefault="00B26695">
      <w:pPr>
        <w:rPr>
          <w:rFonts w:ascii="Comic Sans MS" w:eastAsia="Arial Unicode MS" w:hAnsi="Comic Sans MS" w:cs="Arial Unicode MS"/>
          <w:sz w:val="20"/>
          <w:szCs w:val="20"/>
        </w:rPr>
      </w:pPr>
    </w:p>
    <w:sectPr w:rsidR="00B26695" w:rsidRPr="006C3504" w:rsidSect="00B26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37A42"/>
    <w:multiLevelType w:val="multilevel"/>
    <w:tmpl w:val="0EA2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1465E4"/>
    <w:multiLevelType w:val="multilevel"/>
    <w:tmpl w:val="2B6C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C3504"/>
    <w:rsid w:val="006C3504"/>
    <w:rsid w:val="00B26695"/>
    <w:rsid w:val="00BD3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35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5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KLODRANNET</Company>
  <LinksUpToDate>false</LinksUpToDate>
  <CharactersWithSpaces>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2016-10-15T11:42:00Z</dcterms:created>
  <dcterms:modified xsi:type="dcterms:W3CDTF">2016-10-15T11:52:00Z</dcterms:modified>
</cp:coreProperties>
</file>