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TUGAS 02</w:t>
      </w:r>
    </w:p>
    <w:p>
      <w:pPr>
        <w:pStyle w:val="style0"/>
        <w:spacing w:after="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ALGORITMA DAN PEMOGRAMAN</w:t>
      </w:r>
    </w:p>
    <w:p>
      <w:pPr>
        <w:pStyle w:val="style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R="0" distL="0">
            <wp:extent cx="2870835" cy="2764155"/>
            <wp:effectExtent l="0" t="0" r="571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0835" cy="2764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 Yahya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L20015001</w:t>
      </w:r>
      <w:r>
        <w:rPr>
          <w:rFonts w:ascii="Times New Roman" w:hAnsi="Times New Roman"/>
          <w:b/>
          <w:sz w:val="36"/>
          <w:szCs w:val="24"/>
        </w:rPr>
        <w:t>3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INFORMATIKA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FAKULTAS KOMUNIKASI DAN INFORMATIKA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UNIVERSITAS MUHAMMADIYAH SURAKARTA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PROGRAM UNTUK MENDAMPILKAN </w:t>
      </w:r>
      <w:r>
        <w:rPr>
          <w:rFonts w:ascii="Times New Roman" w:hAnsi="Times New Roman"/>
          <w:b/>
        </w:rPr>
        <w:t xml:space="preserve">DAFTAR </w:t>
      </w:r>
      <w:r>
        <w:rPr>
          <w:rFonts w:ascii="Times New Roman" w:hAnsi="Times New Roman"/>
          <w:b/>
        </w:rPr>
        <w:t>KODE ASCII</w:t>
      </w:r>
    </w:p>
    <w:p>
      <w:pPr>
        <w:pStyle w:val="style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Berikut source codenya: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&gt;&gt;&gt; ord (‘a’)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##untuk menampilkan</w:t>
      </w:r>
      <w:r>
        <w:rPr>
          <w:rFonts w:ascii="Times New Roman" w:hAnsi="Times New Roman"/>
        </w:rPr>
        <w:t xml:space="preserve"> kode ascii decimal pada character ‘a’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Degan hasil:</w:t>
      </w:r>
    </w:p>
    <w:p>
      <w:pPr>
        <w:pStyle w:val="style0"/>
        <w:rPr>
          <w:noProof/>
          <w:lang w:eastAsia="id-ID"/>
        </w:rPr>
      </w:pPr>
      <w:r>
        <w:rPr>
          <w:rFonts w:ascii="Times New Roman" w:hAnsi="Times New Roman"/>
        </w:rPr>
        <w:tab/>
      </w:r>
      <w:r>
        <w:rPr>
          <w:noProof/>
          <w:lang w:eastAsia="id-ID"/>
        </w:rPr>
        <w:drawing>
          <wp:inline distT="0" distB="0" distR="0" distL="0">
            <wp:extent cx="8501743" cy="62865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48859" t="84532" r="3944" b="9261"/>
                    <a:stretch/>
                  </pic:blipFill>
                  <pic:spPr>
                    <a:xfrm rot="0">
                      <a:off x="0" y="0"/>
                      <a:ext cx="8501743" cy="628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Code lainya :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&gt;&gt;&gt; chr (100)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##untuk menmapilkan kode ascii dengan bilangan decimal ‘100’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Dengan hasil :</w:t>
      </w:r>
    </w:p>
    <w:p>
      <w:pPr>
        <w:pStyle w:val="style0"/>
        <w:rPr>
          <w:noProof/>
          <w:lang w:eastAsia="id-ID"/>
        </w:rPr>
      </w:pPr>
    </w:p>
    <w:p>
      <w:pPr>
        <w:pStyle w:val="style0"/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R="0" distL="0">
            <wp:extent cx="4857750" cy="809625"/>
            <wp:effectExtent l="0" t="0" r="0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48194" t="75665" r="35852" b="19606"/>
                    <a:stretch/>
                  </pic:blipFill>
                  <pic:spPr>
                    <a:xfrm rot="0">
                      <a:off x="0" y="0"/>
                      <a:ext cx="4857750" cy="809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Berikut adalah kode ASCII</w:t>
      </w:r>
      <w:r>
        <w:rPr>
          <w:rFonts w:ascii="Times New Roman" w:hAnsi="Times New Roman"/>
        </w:rPr>
        <w:t>:</w:t>
      </w:r>
    </w:p>
    <w:p>
      <w:pPr>
        <w:pStyle w:val="style0"/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R="0" distL="0">
            <wp:extent cx="4743718" cy="323850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718" cy="32385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spacing w:after="160" w:lineRule="auto" w:line="25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FUNGSI MATEMATIK DALAM MODULE “ MATH”</w:t>
      </w:r>
      <w:r>
        <w:rPr>
          <w:rFonts w:ascii="Times New Roman" w:hAnsi="Times New Roman"/>
          <w:b/>
          <w:sz w:val="28"/>
          <w:szCs w:val="28"/>
        </w:rPr>
        <w:t xml:space="preserve"> PADA PYTHON</w:t>
      </w:r>
    </w:p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style154"/>
        <w:tblW w:w="10008" w:type="dxa"/>
        <w:tblLook w:val="04A0" w:firstRow="1" w:lastRow="0" w:firstColumn="1" w:lastColumn="0" w:noHBand="0" w:noVBand="1"/>
      </w:tblPr>
      <w:tblGrid>
        <w:gridCol w:w="556"/>
        <w:gridCol w:w="2882"/>
        <w:gridCol w:w="6570"/>
      </w:tblGrid>
      <w:tr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ind w:left="-108" w:firstLine="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/ KEGUNAAN</w:t>
            </w:r>
          </w:p>
          <w:p>
            <w:pPr>
              <w:pStyle w:val="style0"/>
              <w:ind w:left="-108" w:firstLine="108"/>
              <w:jc w:val="center"/>
              <w:rPr>
                <w:rFonts w:ascii="Times New Roman" w:hAnsi="Times New Roman"/>
              </w:rPr>
            </w:pP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abs(x) 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menampilkan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nilai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absolute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dari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sebuah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bilangan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x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hAnsi="Times New Roman"/>
              </w:rPr>
            </w:pP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ceil(x)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membulatkan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kebawah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dari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sebuah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bilangan</w:t>
            </w: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x.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</w:t>
            </w: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exp</w:t>
            </w: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(x)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untuk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menampilkan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bilangan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eksponesial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dari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bilangan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 xml:space="preserve"> x.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fabs(x)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Untuk</w:t>
            </w:r>
            <w:r>
              <w:rPr>
                <w:rFonts w:ascii="Times New Roman" w:hAnsi="Times New Roman"/>
              </w:rPr>
              <w:t xml:space="preserve"> m</w:t>
            </w:r>
            <w:r>
              <w:rPr>
                <w:rFonts w:ascii="Times New Roman" w:hAnsi="Times New Roman"/>
                <w:lang w:val="id-ID"/>
              </w:rPr>
              <w:t>engembalikan nilai absolut dari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floor(x)</w:t>
            </w:r>
          </w:p>
          <w:p>
            <w:pPr>
              <w:pStyle w:val="style0"/>
              <w:rPr>
                <w:rFonts w:ascii="Times New Roman" w:hAnsi="Times New Roman"/>
                <w:b/>
              </w:rPr>
            </w:pP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</w:rPr>
              <w:t>Untuk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bilangan</w:t>
            </w:r>
            <w:r>
              <w:rPr>
                <w:rFonts w:ascii="Times New Roman" w:hAnsi="Times New Roman"/>
                <w:lang w:val="id-ID"/>
              </w:rPr>
              <w:t xml:space="preserve"> terbesar kurang dari atau sama dengan x.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math.copysign (x, y)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pelampung dengan besaran (nilai absolut) dari x tetapi tanda y. Pada platform yang mendukung nol ditandatangani, copysign (1,0, -0,0) mengembalikan -1.0.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math.factorial (x)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faktorial. Meningkatkan ValueError jika x tidak terpisahkan atau negatif.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Math.floor 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lantai x, integer terbesar kurang dari atau sama dengan x. Jika x bukan float, delegasi x .__ __ lantai (), yang harus mengembalikan nilai Integral.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math.fmod (x, y)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FMOD (x, y), seperti yang didefinisikan oleh perpustakaan C platform.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math.frexp 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Kembalikan mantissa dan eksponen x sebagai pasangan (m, 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math.nan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"bukan angka" (NaN) nilai. Setara dengan output float ( 'nan').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math.fsum (iterable)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Mengembalikan akurat floating point jumlah nilai di iterable tersebut. Menghindari hilangnya presisi dengan melacak beberapa jumlah parsial menengah: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math.gcd (a, b)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pembagi bersama terbesar dari bilangan bulat a dan b. Jika salah satu atau b adalah nol, maka nilai FPB (a, b) adalah bilangan bulat </w:t>
            </w:r>
            <w:r>
              <w:rPr>
                <w:rFonts w:ascii="Times New Roman" w:hAnsi="Times New Roman"/>
                <w:lang w:val="id-ID"/>
              </w:rPr>
              <w:t>positif terbesar yang membagi kedua a dan b. FPB (0, 0) kembali 0.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math.isclose (a, b, *, rel_tol = 1e-09, abs_tol = 0,0)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nilai a dan b adalah dekat satu sama lain dan False sebaliknya. Baru di versi 3.5.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math.isfinite (x)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Benar jika x bukan merupakan infinity atau NaN, dan False sebaliknya. (Perhatikan bahwa 0,0 dianggap terbatas.) </w:t>
            </w:r>
          </w:p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Baru di versi 3.5.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math.isinf 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x adalah infinity positif atau negatif, dan False sebaliknya.</w:t>
            </w:r>
            <w:r>
              <w:rPr>
                <w:rFonts w:ascii="Times New Roman" w:hAnsi="Times New Roman"/>
                <w:lang w:val="id-ID"/>
              </w:rPr>
              <w:br/>
            </w:r>
            <w:r>
              <w:rPr>
                <w:rFonts w:ascii="Times New Roman" w:hAnsi="Times New Roman"/>
                <w:lang w:val="id-ID"/>
              </w:rPr>
              <w:t xml:space="preserve"> Baru di versi 3.2.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math.isnan (x)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Benar jika x adalah NaN (bukan angka), dan False sebaliknya.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math.ldexp (x, i)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x * (2 ** i). Ini pada dasarnya adalah kebalikan dari fungsi frexp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math.modf (x)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bagian-bagian pecahan dan bilangan bulat x. Kedua hasil membawa tanda x dan mengapung.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math.trunc 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nilai real x terpotong ke Integral (biasanya integer). Delegasi x .__ trunc __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 (x [, basis])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Dengan satu argumen, kembali logaritma natural dari x (untuk basis e). Baru di versi 3.2.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math.log1p 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1 + x (base e). Hasilnya dihitung dengan cara yang akurat untuk x mendekati nol.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math.log2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basis-2 logaritma x. Hal ini biasanya lebih akurat daripada log (x, 2).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Math.pow (x, y)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pangkat y. kasus luar biasa ikuti Annex 'F' dari standar C99 sejauh mungkin. Secara khusus, pow (1.0, x) 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Math.sqrt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akar kuadrat dari x. Baru di versi 3.3.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 (x)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cosinus busur x, dalam radian.</w:t>
            </w:r>
          </w:p>
          <w:p>
            <w:pPr>
              <w:pStyle w:val="style0"/>
              <w:rPr>
                <w:rFonts w:ascii="Times New Roman" w:hAnsi="Times New Roman"/>
              </w:rPr>
            </w:pP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sinus busur x, dalam radian.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busur x, dalam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math.atan2 (y, 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atan (y / x), dalam radian. Hasilnya adalah antara pi dan pi. Vektor di pesawat dari asal ke titik (x, y) membuat sudut ini dengan sumbu X positif. Titik atan2 () adalah bahwa tanda-tanda kedua input diketahui itu, sehingga dapat menghitung kuadran yang benar untuk sudut. Misalnya, atan (1) dan atan2 (1, 1) keduanya pi / 4, tapi ata</w:t>
            </w:r>
            <w:r>
              <w:rPr>
                <w:rFonts w:ascii="Times New Roman" w:hAnsi="Times New Roman"/>
                <w:lang w:val="id-ID"/>
              </w:rPr>
              <w:t>n2 (-1, -1) adalah -3 * pi / 4.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cosinus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math.hypot (x, y)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Euclidean norma, sqrt (x * x + y * y). Ini adalah panjang vektor dari titik asal ke titik (x, y).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dari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math.degrees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Mengkonversi</w:t>
            </w:r>
            <w:r>
              <w:rPr>
                <w:rFonts w:ascii="Times New Roman" w:hAnsi="Times New Roman"/>
                <w:lang w:val="id-ID"/>
              </w:rPr>
              <w:t xml:space="preserve"> sudut x dari radian ke derajat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math.radians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Mengkonversi sudut x dari derajat ke radian.</w:t>
            </w:r>
          </w:p>
          <w:p>
            <w:pPr>
              <w:pStyle w:val="style0"/>
              <w:rPr>
                <w:rFonts w:ascii="Times New Roman" w:hAnsi="Times New Roman"/>
                <w:lang w:val="id-ID"/>
              </w:rPr>
            </w:pP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</w:t>
            </w:r>
            <w:r>
              <w:rPr>
                <w:rFonts w:ascii="Times New Roman" w:hAnsi="Times New Roman"/>
                <w:lang w:val="id-ID"/>
              </w:rPr>
              <w:t>us hiperbolik kebalikan dari x.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sinus hiperbolik kebalikan dari x.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</w:t>
            </w:r>
            <w:r>
              <w:rPr>
                <w:rFonts w:ascii="Times New Roman" w:hAnsi="Times New Roman"/>
                <w:lang w:val="id-ID"/>
              </w:rPr>
              <w:t>en hiperbolik kebalikan dari x.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hiperbolik x.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x.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math.erf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</w:t>
            </w:r>
            <w:r>
              <w:rPr>
                <w:rFonts w:ascii="Times New Roman" w:hAnsi="Times New Roman"/>
                <w:lang w:val="id-ID"/>
              </w:rPr>
              <w:t>alikan fungsi kesalahan pada x.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fungsi Gamma pada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nilai absolut dari fungsi Gamma pada x.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Math.PI</w:t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π = 3.141592 ..., untuk presisi tersedia.</w:t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e = 2.7182</w:t>
            </w:r>
            <w:r>
              <w:rPr>
                <w:rFonts w:ascii="Times New Roman" w:hAnsi="Times New Roman"/>
                <w:lang w:val="id-ID"/>
              </w:rPr>
              <w:t>81 ..., untuk presisi tersedia.</w:t>
            </w:r>
          </w:p>
        </w:tc>
      </w:tr>
      <w:tr>
        <w:tblPrEx/>
        <w:trPr/>
        <w:tc>
          <w:tcPr>
            <w:tcW w:w="556" w:type="dxa"/>
            <w:tcBorders/>
            <w:shd w:val="clear" w:color="auto" w:fill="e7e6e6"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2882" w:type="dxa"/>
            <w:tcBorders/>
            <w:shd w:val="clear" w:color="auto" w:fill="e7e6e6"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math.tau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tcBorders/>
            <w:shd w:val="clear" w:color="auto" w:fill="e7e6e6"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Konstan matematika τ = 6.283185 ..., untuk presisi tersedia. Tau adalah konstanta lingkaran sama dengan 2π, rasio lingkar lingkaran untuk jari-jarinya. Untuk mempelajari lebih lanjut tentang Tau, lihat video Vi Hart Pi adalah (masih) Salah, dan mulai merayakan Tau hari dengan makan dua kali lebih banyak pie!. 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>
        <w:tblPrEx/>
        <w:trPr/>
        <w:tc>
          <w:tcPr>
            <w:tcW w:w="556" w:type="dxa"/>
            <w:tcBorders/>
          </w:tcPr>
          <w:p>
            <w:pPr>
              <w:pStyle w:val="sty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2882" w:type="dxa"/>
            <w:tcBorders/>
          </w:tcPr>
          <w:p>
            <w:pPr>
              <w:pStyle w:val="style0"/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math.inf</w:t>
            </w:r>
          </w:p>
        </w:tc>
        <w:tc>
          <w:tcPr>
            <w:tcW w:w="6570" w:type="dxa"/>
            <w:tcBorders/>
          </w:tcPr>
          <w:p>
            <w:pPr>
              <w:pStyle w:val="style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infinity positif. (Untuk infinity negatif, menggunakan -math.inf.) Setara dengan output dari mengambang ( 'inf').</w:t>
            </w:r>
          </w:p>
        </w:tc>
      </w:tr>
    </w:tbl>
    <w:p>
      <w:pPr>
        <w:pStyle w:val="style0"/>
        <w:rPr>
          <w:rFonts w:ascii="Times New Roman" w:hAnsi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961</Words>
  <Characters>5022</Characters>
  <Application>WPS Office</Application>
  <DocSecurity>0</DocSecurity>
  <Paragraphs>234</Paragraphs>
  <ScaleCrop>false</ScaleCrop>
  <LinksUpToDate>false</LinksUpToDate>
  <CharactersWithSpaces>5873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2017-03-07T12:47:29Z</dcterms:created>
  <dc:creator>Hibatullah</dc:creator>
  <lastModifiedBy>ASUS_T00F</lastModifiedBy>
  <dcterms:modified xsi:type="dcterms:W3CDTF">2017-03-07T12:48:22Z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