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0C" w:rsidRPr="00B600F8" w:rsidRDefault="00B600F8">
      <w:pPr>
        <w:rPr>
          <w:rFonts w:ascii="Times New Roman" w:hAnsi="Times New Roman" w:cs="Times New Roman"/>
        </w:rPr>
      </w:pPr>
      <w:proofErr w:type="spellStart"/>
      <w:r w:rsidRPr="00B600F8">
        <w:rPr>
          <w:rFonts w:ascii="Times New Roman" w:hAnsi="Times New Roman" w:cs="Times New Roman"/>
        </w:rPr>
        <w:t>Nama</w:t>
      </w:r>
      <w:proofErr w:type="spellEnd"/>
      <w:r w:rsidRPr="00B600F8">
        <w:rPr>
          <w:rFonts w:ascii="Times New Roman" w:hAnsi="Times New Roman" w:cs="Times New Roman"/>
        </w:rPr>
        <w:tab/>
      </w:r>
      <w:r w:rsidRPr="00B600F8">
        <w:rPr>
          <w:rFonts w:ascii="Times New Roman" w:hAnsi="Times New Roman" w:cs="Times New Roman"/>
        </w:rPr>
        <w:tab/>
      </w:r>
      <w:proofErr w:type="gramStart"/>
      <w:r w:rsidRPr="00B600F8">
        <w:rPr>
          <w:rFonts w:ascii="Times New Roman" w:hAnsi="Times New Roman" w:cs="Times New Roman"/>
        </w:rPr>
        <w:t>:Tito</w:t>
      </w:r>
      <w:proofErr w:type="gram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Andika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Wahyu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Purwa</w:t>
      </w:r>
      <w:proofErr w:type="spellEnd"/>
      <w:r w:rsidRPr="00B600F8">
        <w:rPr>
          <w:rFonts w:ascii="Times New Roman" w:hAnsi="Times New Roman" w:cs="Times New Roman"/>
        </w:rPr>
        <w:br/>
        <w:t>NIM</w:t>
      </w:r>
      <w:r w:rsidRPr="00B600F8">
        <w:rPr>
          <w:rFonts w:ascii="Times New Roman" w:hAnsi="Times New Roman" w:cs="Times New Roman"/>
        </w:rPr>
        <w:tab/>
      </w:r>
      <w:r w:rsidRPr="00B600F8">
        <w:rPr>
          <w:rFonts w:ascii="Times New Roman" w:hAnsi="Times New Roman" w:cs="Times New Roman"/>
        </w:rPr>
        <w:tab/>
        <w:t>:L200180007</w:t>
      </w:r>
      <w:r w:rsidRPr="00B600F8">
        <w:rPr>
          <w:rFonts w:ascii="Times New Roman" w:hAnsi="Times New Roman" w:cs="Times New Roman"/>
        </w:rPr>
        <w:br/>
      </w:r>
      <w:proofErr w:type="spellStart"/>
      <w:r w:rsidRPr="00B600F8">
        <w:rPr>
          <w:rFonts w:ascii="Times New Roman" w:hAnsi="Times New Roman" w:cs="Times New Roman"/>
        </w:rPr>
        <w:t>Kelas</w:t>
      </w:r>
      <w:proofErr w:type="spellEnd"/>
      <w:r w:rsidRPr="00B600F8">
        <w:rPr>
          <w:rFonts w:ascii="Times New Roman" w:hAnsi="Times New Roman" w:cs="Times New Roman"/>
        </w:rPr>
        <w:tab/>
      </w:r>
      <w:r w:rsidRPr="00B600F8">
        <w:rPr>
          <w:rFonts w:ascii="Times New Roman" w:hAnsi="Times New Roman" w:cs="Times New Roman"/>
        </w:rPr>
        <w:tab/>
        <w:t>:A</w:t>
      </w:r>
    </w:p>
    <w:p w:rsidR="00B600F8" w:rsidRPr="00B600F8" w:rsidRDefault="00B600F8" w:rsidP="00B600F8">
      <w:pPr>
        <w:jc w:val="center"/>
        <w:rPr>
          <w:rFonts w:ascii="Times New Roman" w:hAnsi="Times New Roman" w:cs="Times New Roman"/>
          <w:b/>
        </w:rPr>
      </w:pPr>
      <w:proofErr w:type="spellStart"/>
      <w:r w:rsidRPr="00B600F8">
        <w:rPr>
          <w:rFonts w:ascii="Times New Roman" w:hAnsi="Times New Roman" w:cs="Times New Roman"/>
          <w:b/>
        </w:rPr>
        <w:t>Tugas</w:t>
      </w:r>
      <w:proofErr w:type="spellEnd"/>
      <w:r w:rsidRPr="00B600F8">
        <w:rPr>
          <w:rFonts w:ascii="Times New Roman" w:hAnsi="Times New Roman" w:cs="Times New Roman"/>
          <w:b/>
        </w:rPr>
        <w:t xml:space="preserve"> </w:t>
      </w:r>
      <w:proofErr w:type="spellStart"/>
      <w:r w:rsidRPr="00B600F8">
        <w:rPr>
          <w:rFonts w:ascii="Times New Roman" w:hAnsi="Times New Roman" w:cs="Times New Roman"/>
          <w:b/>
        </w:rPr>
        <w:t>Modul</w:t>
      </w:r>
      <w:proofErr w:type="spellEnd"/>
      <w:r w:rsidRPr="00B600F8">
        <w:rPr>
          <w:rFonts w:ascii="Times New Roman" w:hAnsi="Times New Roman" w:cs="Times New Roman"/>
          <w:b/>
        </w:rPr>
        <w:t xml:space="preserve"> ke-1</w:t>
      </w:r>
    </w:p>
    <w:p w:rsidR="00B600F8" w:rsidRPr="00B600F8" w:rsidRDefault="00B600F8" w:rsidP="00B600F8">
      <w:pPr>
        <w:ind w:left="180" w:hanging="180"/>
        <w:rPr>
          <w:rFonts w:ascii="Times New Roman" w:hAnsi="Times New Roman" w:cs="Times New Roman"/>
        </w:rPr>
      </w:pPr>
      <w:r w:rsidRPr="00B600F8">
        <w:rPr>
          <w:rFonts w:ascii="Times New Roman" w:hAnsi="Times New Roman" w:cs="Times New Roman"/>
        </w:rPr>
        <w:t xml:space="preserve">1. ASCII </w:t>
      </w:r>
      <w:proofErr w:type="spellStart"/>
      <w:r w:rsidRPr="00B600F8">
        <w:rPr>
          <w:rFonts w:ascii="Times New Roman" w:hAnsi="Times New Roman" w:cs="Times New Roman"/>
        </w:rPr>
        <w:t>merupakan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kepanjangan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dari</w:t>
      </w:r>
      <w:proofErr w:type="spellEnd"/>
      <w:r w:rsidRPr="00B600F8">
        <w:rPr>
          <w:rFonts w:ascii="Times New Roman" w:hAnsi="Times New Roman" w:cs="Times New Roman"/>
        </w:rPr>
        <w:t xml:space="preserve"> (American Standard Code for Information Interchange), </w:t>
      </w:r>
      <w:proofErr w:type="spellStart"/>
      <w:r w:rsidRPr="00B600F8">
        <w:rPr>
          <w:rFonts w:ascii="Times New Roman" w:hAnsi="Times New Roman" w:cs="Times New Roman"/>
        </w:rPr>
        <w:t>dan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pengertian</w:t>
      </w:r>
      <w:proofErr w:type="spellEnd"/>
      <w:r w:rsidRPr="00B600F8">
        <w:rPr>
          <w:rFonts w:ascii="Times New Roman" w:hAnsi="Times New Roman" w:cs="Times New Roman"/>
        </w:rPr>
        <w:t xml:space="preserve"> ASCII </w:t>
      </w:r>
      <w:proofErr w:type="spellStart"/>
      <w:r w:rsidRPr="00B600F8">
        <w:rPr>
          <w:rFonts w:ascii="Times New Roman" w:hAnsi="Times New Roman" w:cs="Times New Roman"/>
        </w:rPr>
        <w:t>adalah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suatu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standar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internasional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dalam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kode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huruf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dan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simbol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seperti</w:t>
      </w:r>
      <w:proofErr w:type="spellEnd"/>
      <w:r w:rsidRPr="00B600F8">
        <w:rPr>
          <w:rFonts w:ascii="Times New Roman" w:hAnsi="Times New Roman" w:cs="Times New Roman"/>
        </w:rPr>
        <w:t xml:space="preserve"> Hex </w:t>
      </w:r>
      <w:proofErr w:type="spellStart"/>
      <w:r w:rsidRPr="00B600F8">
        <w:rPr>
          <w:rFonts w:ascii="Times New Roman" w:hAnsi="Times New Roman" w:cs="Times New Roman"/>
        </w:rPr>
        <w:t>dan</w:t>
      </w:r>
      <w:proofErr w:type="spellEnd"/>
      <w:r w:rsidRPr="00B600F8">
        <w:rPr>
          <w:rFonts w:ascii="Times New Roman" w:hAnsi="Times New Roman" w:cs="Times New Roman"/>
        </w:rPr>
        <w:t xml:space="preserve"> Unicode </w:t>
      </w:r>
      <w:proofErr w:type="spellStart"/>
      <w:r w:rsidRPr="00B600F8">
        <w:rPr>
          <w:rFonts w:ascii="Times New Roman" w:hAnsi="Times New Roman" w:cs="Times New Roman"/>
        </w:rPr>
        <w:t>tetapi</w:t>
      </w:r>
      <w:proofErr w:type="spellEnd"/>
      <w:r w:rsidRPr="00B600F8">
        <w:rPr>
          <w:rFonts w:ascii="Times New Roman" w:hAnsi="Times New Roman" w:cs="Times New Roman"/>
        </w:rPr>
        <w:t xml:space="preserve"> ASCII </w:t>
      </w:r>
      <w:proofErr w:type="spellStart"/>
      <w:r w:rsidRPr="00B600F8">
        <w:rPr>
          <w:rFonts w:ascii="Times New Roman" w:hAnsi="Times New Roman" w:cs="Times New Roman"/>
        </w:rPr>
        <w:t>lebih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bersifat</w:t>
      </w:r>
      <w:proofErr w:type="spellEnd"/>
      <w:r w:rsidRPr="00B600F8">
        <w:rPr>
          <w:rFonts w:ascii="Times New Roman" w:hAnsi="Times New Roman" w:cs="Times New Roman"/>
        </w:rPr>
        <w:t xml:space="preserve"> universal, </w:t>
      </w:r>
      <w:proofErr w:type="spellStart"/>
      <w:r w:rsidRPr="00B600F8">
        <w:rPr>
          <w:rFonts w:ascii="Times New Roman" w:hAnsi="Times New Roman" w:cs="Times New Roman"/>
        </w:rPr>
        <w:t>contohnya</w:t>
      </w:r>
      <w:proofErr w:type="spellEnd"/>
      <w:r w:rsidRPr="00B600F8">
        <w:rPr>
          <w:rFonts w:ascii="Times New Roman" w:hAnsi="Times New Roman" w:cs="Times New Roman"/>
        </w:rPr>
        <w:t xml:space="preserve"> 124 </w:t>
      </w:r>
      <w:proofErr w:type="spellStart"/>
      <w:r w:rsidRPr="00B600F8">
        <w:rPr>
          <w:rFonts w:ascii="Times New Roman" w:hAnsi="Times New Roman" w:cs="Times New Roman"/>
        </w:rPr>
        <w:t>adalah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untuk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karakter</w:t>
      </w:r>
      <w:proofErr w:type="spellEnd"/>
      <w:r w:rsidRPr="00B600F8">
        <w:rPr>
          <w:rFonts w:ascii="Times New Roman" w:hAnsi="Times New Roman" w:cs="Times New Roman"/>
        </w:rPr>
        <w:t xml:space="preserve"> "|". </w:t>
      </w:r>
      <w:proofErr w:type="spellStart"/>
      <w:proofErr w:type="gramStart"/>
      <w:r w:rsidRPr="00B600F8">
        <w:rPr>
          <w:rFonts w:ascii="Times New Roman" w:hAnsi="Times New Roman" w:cs="Times New Roman"/>
        </w:rPr>
        <w:t>Ia</w:t>
      </w:r>
      <w:proofErr w:type="spellEnd"/>
      <w:proofErr w:type="gram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selalu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digunakan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oleh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komputer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dan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alat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komunikasi</w:t>
      </w:r>
      <w:proofErr w:type="spellEnd"/>
      <w:r w:rsidRPr="00B600F8">
        <w:rPr>
          <w:rFonts w:ascii="Times New Roman" w:hAnsi="Times New Roman" w:cs="Times New Roman"/>
        </w:rPr>
        <w:t xml:space="preserve"> lain </w:t>
      </w:r>
      <w:proofErr w:type="spellStart"/>
      <w:r w:rsidRPr="00B600F8">
        <w:rPr>
          <w:rFonts w:ascii="Times New Roman" w:hAnsi="Times New Roman" w:cs="Times New Roman"/>
        </w:rPr>
        <w:t>untuk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menunjukkan</w:t>
      </w:r>
      <w:proofErr w:type="spellEnd"/>
      <w:r w:rsidRPr="00B600F8">
        <w:rPr>
          <w:rFonts w:ascii="Times New Roman" w:hAnsi="Times New Roman" w:cs="Times New Roman"/>
        </w:rPr>
        <w:t xml:space="preserve"> </w:t>
      </w:r>
      <w:proofErr w:type="spellStart"/>
      <w:r w:rsidRPr="00B600F8">
        <w:rPr>
          <w:rFonts w:ascii="Times New Roman" w:hAnsi="Times New Roman" w:cs="Times New Roman"/>
        </w:rPr>
        <w:t>teks</w:t>
      </w:r>
      <w:proofErr w:type="spellEnd"/>
      <w:r w:rsidRPr="00B600F8">
        <w:rPr>
          <w:rFonts w:ascii="Times New Roman" w:hAnsi="Times New Roman" w:cs="Times New Roman"/>
        </w:rPr>
        <w:t>.</w:t>
      </w:r>
      <w:r w:rsidRPr="00B600F8">
        <w:rPr>
          <w:rFonts w:ascii="Times New Roman" w:hAnsi="Times New Roman" w:cs="Times New Roman"/>
        </w:rPr>
        <w:br/>
      </w:r>
      <w:r w:rsidRPr="00B600F8">
        <w:rPr>
          <w:rFonts w:ascii="Times New Roman" w:hAnsi="Times New Roman" w:cs="Times New Roman"/>
          <w:noProof/>
        </w:rPr>
        <w:drawing>
          <wp:inline distT="0" distB="0" distL="0" distR="0">
            <wp:extent cx="4596450" cy="6479931"/>
            <wp:effectExtent l="19050" t="0" r="0" b="0"/>
            <wp:docPr id="1" name="Picture 0" descr="kode-asc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e-ascii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056" cy="648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F8" w:rsidRPr="00B600F8" w:rsidRDefault="00B600F8" w:rsidP="00B600F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2.Daftar</w:t>
      </w:r>
      <w:proofErr w:type="gramEnd"/>
      <w:r>
        <w:rPr>
          <w:rFonts w:ascii="Times New Roman" w:hAnsi="Times New Roman" w:cs="Times New Roman"/>
        </w:rPr>
        <w:t xml:space="preserve"> Assembly Directive</w:t>
      </w:r>
    </w:p>
    <w:tbl>
      <w:tblPr>
        <w:tblW w:w="5852" w:type="dxa"/>
        <w:tblInd w:w="1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A1A1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14"/>
        <w:gridCol w:w="4038"/>
      </w:tblGrid>
      <w:tr w:rsidR="00B600F8" w:rsidRPr="00B600F8" w:rsidTr="004144E3">
        <w:trPr>
          <w:trHeight w:val="602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Assembly Directive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Keterangan</w:t>
            </w:r>
            <w:proofErr w:type="spellEnd"/>
          </w:p>
        </w:tc>
      </w:tr>
      <w:tr w:rsidR="00B600F8" w:rsidRPr="00B600F8" w:rsidTr="004144E3">
        <w:trPr>
          <w:trHeight w:val="2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EQU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Pendefinisian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konstanta</w:t>
            </w:r>
            <w:proofErr w:type="spellEnd"/>
          </w:p>
        </w:tc>
      </w:tr>
      <w:tr w:rsidR="00B600F8" w:rsidRPr="00B600F8" w:rsidTr="004144E3">
        <w:trPr>
          <w:trHeight w:val="6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Pendefinisian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data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dengan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ukuran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satuan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1 byte</w:t>
            </w:r>
          </w:p>
        </w:tc>
      </w:tr>
      <w:tr w:rsidR="00B600F8" w:rsidRPr="00B600F8" w:rsidTr="004144E3">
        <w:trPr>
          <w:trHeight w:val="6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Pendefinisian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data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dengan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ukuran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satuan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1 word</w:t>
            </w:r>
          </w:p>
        </w:tc>
      </w:tr>
      <w:tr w:rsidR="00B600F8" w:rsidRPr="00B600F8" w:rsidTr="004144E3">
        <w:trPr>
          <w:trHeight w:val="5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Pendefinisian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data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dengan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ukuran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satuan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1 bit</w:t>
            </w:r>
          </w:p>
        </w:tc>
      </w:tr>
      <w:tr w:rsidR="00B600F8" w:rsidRPr="00B600F8" w:rsidTr="004144E3">
        <w:trPr>
          <w:trHeight w:val="6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Pemesanan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tempat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penyimpanan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data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di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RAM</w:t>
            </w:r>
          </w:p>
        </w:tc>
      </w:tr>
      <w:tr w:rsidR="00B600F8" w:rsidRPr="00B600F8" w:rsidTr="004144E3">
        <w:trPr>
          <w:trHeight w:val="2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Inisialisasi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alamat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mulai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program</w:t>
            </w:r>
          </w:p>
        </w:tc>
      </w:tr>
      <w:tr w:rsidR="00B600F8" w:rsidRPr="00B600F8" w:rsidTr="004144E3">
        <w:trPr>
          <w:trHeight w:val="2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Penanda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akhir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program</w:t>
            </w:r>
          </w:p>
        </w:tc>
      </w:tr>
      <w:tr w:rsidR="00B600F8" w:rsidRPr="00B600F8" w:rsidTr="004144E3">
        <w:trPr>
          <w:trHeight w:val="30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Penanda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penempatan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di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code segment</w:t>
            </w:r>
          </w:p>
        </w:tc>
      </w:tr>
      <w:tr w:rsidR="00B600F8" w:rsidRPr="00B600F8" w:rsidTr="004144E3">
        <w:trPr>
          <w:trHeight w:val="6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XSEG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Penanda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penempatan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di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external data segment</w:t>
            </w:r>
          </w:p>
        </w:tc>
      </w:tr>
      <w:tr w:rsidR="00B600F8" w:rsidRPr="00B600F8" w:rsidTr="004144E3">
        <w:trPr>
          <w:trHeight w:val="5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Penanda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penempatan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di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internal direct data segment</w:t>
            </w:r>
          </w:p>
        </w:tc>
      </w:tr>
      <w:tr w:rsidR="00B600F8" w:rsidRPr="00B600F8" w:rsidTr="004144E3">
        <w:trPr>
          <w:trHeight w:val="6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ISEG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Penanda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penempatan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di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internal indirect data segment</w:t>
            </w:r>
          </w:p>
        </w:tc>
      </w:tr>
      <w:tr w:rsidR="00B600F8" w:rsidRPr="00B600F8" w:rsidTr="004144E3">
        <w:trPr>
          <w:trHeight w:val="5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BSEG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Penanda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penempatan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di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bit data segment</w:t>
            </w:r>
          </w:p>
        </w:tc>
      </w:tr>
      <w:tr w:rsidR="00B600F8" w:rsidRPr="00B600F8" w:rsidTr="004144E3">
        <w:trPr>
          <w:trHeight w:val="30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Penanda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mulai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pendefinisian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program</w:t>
            </w:r>
          </w:p>
        </w:tc>
      </w:tr>
      <w:tr w:rsidR="00B600F8" w:rsidRPr="00B600F8" w:rsidTr="004144E3">
        <w:trPr>
          <w:trHeight w:val="2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XDATA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Pendefinisian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external data</w:t>
            </w:r>
          </w:p>
        </w:tc>
      </w:tr>
      <w:tr w:rsidR="00B600F8" w:rsidRPr="00B600F8" w:rsidTr="004144E3">
        <w:trPr>
          <w:trHeight w:val="30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Pendefinisian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internal direct data</w:t>
            </w:r>
          </w:p>
        </w:tc>
      </w:tr>
      <w:tr w:rsidR="00B600F8" w:rsidRPr="00B600F8" w:rsidTr="004144E3">
        <w:trPr>
          <w:trHeight w:val="2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IDATA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Pendefinisian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internal indirect data</w:t>
            </w:r>
          </w:p>
        </w:tc>
      </w:tr>
      <w:tr w:rsidR="00B600F8" w:rsidRPr="00B600F8" w:rsidTr="004144E3">
        <w:trPr>
          <w:trHeight w:val="2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Pendefinisian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data bit</w:t>
            </w:r>
          </w:p>
        </w:tc>
      </w:tr>
      <w:tr w:rsidR="00B600F8" w:rsidRPr="00B600F8" w:rsidTr="004144E3">
        <w:trPr>
          <w:trHeight w:val="30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#INCLUDE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Mengikutsertakan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file program lain</w:t>
            </w:r>
          </w:p>
        </w:tc>
      </w:tr>
    </w:tbl>
    <w:p w:rsidR="00B600F8" w:rsidRDefault="00B600F8" w:rsidP="00B600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shd w:val="clear" w:color="auto" w:fill="1A1A1A"/>
        </w:rPr>
      </w:pPr>
    </w:p>
    <w:p w:rsidR="00B600F8" w:rsidRPr="00B600F8" w:rsidRDefault="00B600F8" w:rsidP="004144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Intruksi</w:t>
      </w:r>
      <w:proofErr w:type="spellEnd"/>
    </w:p>
    <w:tbl>
      <w:tblPr>
        <w:tblW w:w="6605" w:type="dxa"/>
        <w:tblInd w:w="1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A1A1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79"/>
        <w:gridCol w:w="4826"/>
      </w:tblGrid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Instruksi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 w:rsidRPr="00B600F8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Keterangan</w:t>
            </w:r>
            <w:proofErr w:type="spellEnd"/>
            <w:r w:rsidRPr="00B600F8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600F8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Singkatan</w:t>
            </w:r>
            <w:proofErr w:type="spellEnd"/>
          </w:p>
        </w:tc>
      </w:tr>
      <w:tr w:rsidR="00B600F8" w:rsidRPr="00B600F8" w:rsidTr="004144E3"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ACALL</w:t>
            </w:r>
          </w:p>
        </w:tc>
        <w:tc>
          <w:tcPr>
            <w:tcW w:w="4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Absolute Call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Add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ADDC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Add with Carry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Absolute Jump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lastRenderedPageBreak/>
              <w:t>ANL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AND Logic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CJNE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Compare and Jump if Not Equal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Clear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Complement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Decimal Adjust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Decrement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Divide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Decrement and Jump if Not Zero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Increment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Jump if Bit Set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Jump if Bit Set and Clear Bit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Jump if Carry Set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Jump to Address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JNB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Jump if Not Bit Set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Jump if Carry Not Set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Jump if Accumulator Not Zero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Jump if Accumulator Zero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LCALL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Long Call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LJMP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Long Jump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Move from Memory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MOVC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Move from Code Memory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MOVX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Move from Extended Memory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Multiply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NOP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No Operation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ORL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OR Logic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Pop Value From Stack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Push Value Onto Stack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Return From Subroutine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Return From Interrupt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Rotate Left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Rotate Left through Carry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Rotate Right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Rotate Right through Carry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SETB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Set Bit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Short Jump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SUBB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Subtract With Borrow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Swap Nibbles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XCH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Exchange Bytes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lastRenderedPageBreak/>
              <w:t>XCHD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Exchange Digits</w:t>
            </w:r>
          </w:p>
        </w:tc>
      </w:tr>
      <w:tr w:rsidR="00B600F8" w:rsidRPr="00B600F8" w:rsidTr="004144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XRL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F8" w:rsidRPr="00B600F8" w:rsidRDefault="00B600F8" w:rsidP="00B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B600F8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Exclusive OR Logic</w:t>
            </w:r>
          </w:p>
        </w:tc>
      </w:tr>
    </w:tbl>
    <w:p w:rsidR="00B600F8" w:rsidRPr="00B600F8" w:rsidRDefault="00B600F8" w:rsidP="00B600F8">
      <w:pPr>
        <w:ind w:left="180" w:hanging="180"/>
        <w:rPr>
          <w:rFonts w:ascii="Times New Roman" w:hAnsi="Times New Roman" w:cs="Times New Roman"/>
        </w:rPr>
      </w:pPr>
    </w:p>
    <w:p w:rsidR="00B600F8" w:rsidRPr="00B600F8" w:rsidRDefault="00B600F8">
      <w:pPr>
        <w:ind w:left="180" w:hanging="180"/>
        <w:rPr>
          <w:rFonts w:ascii="Times New Roman" w:hAnsi="Times New Roman" w:cs="Times New Roman"/>
        </w:rPr>
      </w:pPr>
    </w:p>
    <w:sectPr w:rsidR="00B600F8" w:rsidRPr="00B600F8" w:rsidSect="00EC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600F8"/>
    <w:rsid w:val="004144E3"/>
    <w:rsid w:val="00B600F8"/>
    <w:rsid w:val="00EC7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2019-10-14T10:35:00Z</dcterms:created>
  <dcterms:modified xsi:type="dcterms:W3CDTF">2019-10-14T10:47:00Z</dcterms:modified>
</cp:coreProperties>
</file>