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23B06" w14:textId="66A180A6" w:rsidR="00D97FD1" w:rsidRPr="00AC573F" w:rsidRDefault="00FE5CE7" w:rsidP="00FE5CE7">
      <w:pPr>
        <w:pStyle w:val="2"/>
        <w:numPr>
          <w:ilvl w:val="0"/>
          <w:numId w:val="0"/>
        </w:numPr>
        <w:ind w:left="578" w:hanging="578"/>
        <w:jc w:val="center"/>
      </w:pPr>
      <w:bookmarkStart w:id="0" w:name="_Toc175599109"/>
      <w:r>
        <w:rPr>
          <w:rFonts w:hint="eastAsia"/>
        </w:rPr>
        <w:t xml:space="preserve">Results </w:t>
      </w:r>
      <w:r w:rsidR="00D97FD1" w:rsidRPr="00AC573F">
        <w:rPr>
          <w:rFonts w:hint="eastAsia"/>
        </w:rPr>
        <w:t>Comparison</w:t>
      </w:r>
      <w:bookmarkEnd w:id="0"/>
    </w:p>
    <w:p w14:paraId="296F462C" w14:textId="295DA635" w:rsidR="00D97FD1" w:rsidRPr="00AC573F" w:rsidRDefault="00D97FD1" w:rsidP="00D97FD1">
      <w:pPr>
        <w:spacing w:before="240" w:afterLines="50" w:after="156"/>
      </w:pPr>
      <w:r w:rsidRPr="00AC573F">
        <w:t xml:space="preserve">This study aims to investigate whether increasing the type of pollutants can improve the accuracy of PM2.5 concentration predictions. </w:t>
      </w:r>
      <w:r>
        <w:fldChar w:fldCharType="begin"/>
      </w:r>
      <w:r>
        <w:instrText xml:space="preserve"> REF _Ref175867938 \h </w:instrText>
      </w:r>
      <w:r>
        <w:fldChar w:fldCharType="separate"/>
      </w:r>
      <w:r w:rsidRPr="00D97FD1">
        <w:rPr>
          <w:rFonts w:cs="Times New Roman"/>
        </w:rPr>
        <w:t>Table 1</w:t>
      </w:r>
      <w:r>
        <w:fldChar w:fldCharType="end"/>
      </w:r>
      <w:r w:rsidRPr="00AC573F">
        <w:t xml:space="preserve"> presents a comparison of the results from two modelling approaches: one utilising multiple </w:t>
      </w:r>
      <w:proofErr w:type="gramStart"/>
      <w:r w:rsidRPr="00AC573F">
        <w:t>pollutants</w:t>
      </w:r>
      <w:proofErr w:type="gramEnd"/>
      <w:r w:rsidRPr="00AC573F">
        <w:t xml:space="preserve"> and the other relying solely on PM</w:t>
      </w:r>
      <w:r w:rsidRPr="00AC573F">
        <w:rPr>
          <w:vertAlign w:val="subscript"/>
        </w:rPr>
        <w:t>2.5</w:t>
      </w:r>
      <w:r w:rsidRPr="00AC573F">
        <w:t xml:space="preserve"> as the predictive variable.</w:t>
      </w:r>
    </w:p>
    <w:p w14:paraId="0B48A9CE" w14:textId="7CE5F3C5" w:rsidR="00D97FD1" w:rsidRPr="00AC573F" w:rsidRDefault="00D97FD1" w:rsidP="00D97FD1">
      <w:pPr>
        <w:pStyle w:val="a7"/>
        <w:jc w:val="center"/>
        <w:rPr>
          <w:rFonts w:ascii="Times New Roman" w:hAnsi="Times New Roman" w:cs="Times New Roman"/>
        </w:rPr>
      </w:pPr>
      <w:bookmarkStart w:id="1" w:name="_Toc175597812"/>
      <w:bookmarkStart w:id="2" w:name="_Ref175867938"/>
      <w:r w:rsidRPr="00D97FD1">
        <w:rPr>
          <w:rFonts w:ascii="Times New Roman" w:hAnsi="Times New Roman" w:cs="Times New Roman"/>
        </w:rPr>
        <w:t xml:space="preserve">Table </w:t>
      </w:r>
      <w:r w:rsidRPr="00D97FD1">
        <w:rPr>
          <w:rFonts w:ascii="Times New Roman" w:hAnsi="Times New Roman" w:cs="Times New Roman"/>
        </w:rPr>
        <w:fldChar w:fldCharType="begin"/>
      </w:r>
      <w:r w:rsidRPr="00D97FD1">
        <w:rPr>
          <w:rFonts w:ascii="Times New Roman" w:hAnsi="Times New Roman" w:cs="Times New Roman"/>
        </w:rPr>
        <w:instrText xml:space="preserve"> SEQ Table \* ARABIC </w:instrText>
      </w:r>
      <w:r w:rsidRPr="00D97FD1">
        <w:rPr>
          <w:rFonts w:ascii="Times New Roman" w:hAnsi="Times New Roman" w:cs="Times New Roman"/>
        </w:rPr>
        <w:fldChar w:fldCharType="separate"/>
      </w:r>
      <w:r w:rsidRPr="00D97FD1">
        <w:rPr>
          <w:rFonts w:ascii="Times New Roman" w:hAnsi="Times New Roman" w:cs="Times New Roman"/>
        </w:rPr>
        <w:t>1</w:t>
      </w:r>
      <w:r w:rsidRPr="00D97FD1">
        <w:rPr>
          <w:rFonts w:ascii="Times New Roman" w:hAnsi="Times New Roman" w:cs="Times New Roman"/>
        </w:rPr>
        <w:fldChar w:fldCharType="end"/>
      </w:r>
      <w:bookmarkEnd w:id="2"/>
      <w:r w:rsidRPr="00AC573F">
        <w:rPr>
          <w:rFonts w:ascii="Times New Roman" w:hAnsi="Times New Roman" w:cs="Times New Roman"/>
        </w:rPr>
        <w:t xml:space="preserve"> Model performance comparison</w:t>
      </w:r>
      <w:bookmarkEnd w:id="1"/>
    </w:p>
    <w:tbl>
      <w:tblPr>
        <w:tblW w:w="8231" w:type="dxa"/>
        <w:jc w:val="center"/>
        <w:tblLook w:val="04A0" w:firstRow="1" w:lastRow="0" w:firstColumn="1" w:lastColumn="0" w:noHBand="0" w:noVBand="1"/>
      </w:tblPr>
      <w:tblGrid>
        <w:gridCol w:w="2127"/>
        <w:gridCol w:w="1753"/>
        <w:gridCol w:w="1040"/>
        <w:gridCol w:w="1040"/>
        <w:gridCol w:w="1231"/>
        <w:gridCol w:w="1040"/>
      </w:tblGrid>
      <w:tr w:rsidR="00D97FD1" w:rsidRPr="00AC573F" w14:paraId="7AD297C6" w14:textId="77777777" w:rsidTr="00972D24">
        <w:trPr>
          <w:trHeight w:val="280"/>
          <w:jc w:val="center"/>
        </w:trPr>
        <w:tc>
          <w:tcPr>
            <w:tcW w:w="2127" w:type="dxa"/>
            <w:tcBorders>
              <w:top w:val="single" w:sz="8" w:space="0" w:color="auto"/>
              <w:left w:val="nil"/>
              <w:bottom w:val="single" w:sz="4" w:space="0" w:color="auto"/>
              <w:right w:val="nil"/>
            </w:tcBorders>
            <w:shd w:val="clear" w:color="000000" w:fill="FFFFFF"/>
            <w:noWrap/>
            <w:vAlign w:val="bottom"/>
            <w:hideMark/>
          </w:tcPr>
          <w:p w14:paraId="7DA6EAB8" w14:textId="77777777" w:rsidR="00D97FD1" w:rsidRPr="00AC573F" w:rsidRDefault="00D97FD1" w:rsidP="00972D24">
            <w:pPr>
              <w:widowControl/>
              <w:jc w:val="left"/>
              <w:rPr>
                <w:rFonts w:eastAsia="等线" w:cs="Times New Roman"/>
                <w:b/>
                <w:bCs/>
                <w:color w:val="000000"/>
                <w:kern w:val="0"/>
                <w:sz w:val="22"/>
                <w14:ligatures w14:val="none"/>
              </w:rPr>
            </w:pPr>
            <w:r w:rsidRPr="00AC573F">
              <w:rPr>
                <w:rFonts w:eastAsia="等线" w:cs="Times New Roman"/>
                <w:b/>
                <w:bCs/>
                <w:color w:val="000000"/>
                <w:kern w:val="0"/>
                <w:sz w:val="22"/>
                <w14:ligatures w14:val="none"/>
              </w:rPr>
              <w:t>Method</w:t>
            </w:r>
          </w:p>
        </w:tc>
        <w:tc>
          <w:tcPr>
            <w:tcW w:w="1753" w:type="dxa"/>
            <w:tcBorders>
              <w:top w:val="single" w:sz="8" w:space="0" w:color="auto"/>
              <w:left w:val="nil"/>
              <w:bottom w:val="single" w:sz="4" w:space="0" w:color="auto"/>
              <w:right w:val="nil"/>
            </w:tcBorders>
            <w:shd w:val="clear" w:color="000000" w:fill="FFFFFF"/>
            <w:noWrap/>
            <w:vAlign w:val="bottom"/>
            <w:hideMark/>
          </w:tcPr>
          <w:p w14:paraId="07879F77" w14:textId="77777777" w:rsidR="00D97FD1" w:rsidRPr="00AC573F" w:rsidRDefault="00D97FD1" w:rsidP="00972D24">
            <w:pPr>
              <w:widowControl/>
              <w:jc w:val="left"/>
              <w:rPr>
                <w:rFonts w:eastAsia="等线" w:cs="Times New Roman"/>
                <w:b/>
                <w:bCs/>
                <w:color w:val="000000"/>
                <w:kern w:val="0"/>
                <w:sz w:val="22"/>
                <w14:ligatures w14:val="none"/>
              </w:rPr>
            </w:pPr>
            <w:r w:rsidRPr="00AC573F">
              <w:rPr>
                <w:rFonts w:eastAsia="等线" w:cs="Times New Roman"/>
                <w:b/>
                <w:bCs/>
                <w:color w:val="000000"/>
                <w:kern w:val="0"/>
                <w:sz w:val="22"/>
                <w14:ligatures w14:val="none"/>
              </w:rPr>
              <w:t>Prediction</w:t>
            </w:r>
          </w:p>
        </w:tc>
        <w:tc>
          <w:tcPr>
            <w:tcW w:w="1040" w:type="dxa"/>
            <w:tcBorders>
              <w:top w:val="single" w:sz="8" w:space="0" w:color="auto"/>
              <w:left w:val="nil"/>
              <w:bottom w:val="single" w:sz="4" w:space="0" w:color="auto"/>
              <w:right w:val="nil"/>
            </w:tcBorders>
            <w:shd w:val="clear" w:color="000000" w:fill="FFFFFF"/>
            <w:noWrap/>
            <w:vAlign w:val="bottom"/>
            <w:hideMark/>
          </w:tcPr>
          <w:p w14:paraId="78FD4D34" w14:textId="77777777" w:rsidR="00D97FD1" w:rsidRPr="00AC573F" w:rsidRDefault="00D97FD1" w:rsidP="00972D24">
            <w:pPr>
              <w:widowControl/>
              <w:jc w:val="left"/>
              <w:rPr>
                <w:rFonts w:eastAsia="等线" w:cs="Times New Roman"/>
                <w:b/>
                <w:bCs/>
                <w:color w:val="000000"/>
                <w:kern w:val="0"/>
                <w:sz w:val="22"/>
                <w14:ligatures w14:val="none"/>
              </w:rPr>
            </w:pPr>
            <w:r w:rsidRPr="00AC573F">
              <w:rPr>
                <w:rFonts w:eastAsia="等线" w:cs="Times New Roman"/>
                <w:b/>
                <w:bCs/>
                <w:color w:val="000000"/>
                <w:kern w:val="0"/>
                <w:sz w:val="22"/>
                <w14:ligatures w14:val="none"/>
              </w:rPr>
              <w:t>RMSE</w:t>
            </w:r>
          </w:p>
        </w:tc>
        <w:tc>
          <w:tcPr>
            <w:tcW w:w="1040" w:type="dxa"/>
            <w:tcBorders>
              <w:top w:val="single" w:sz="8" w:space="0" w:color="auto"/>
              <w:left w:val="nil"/>
              <w:bottom w:val="single" w:sz="4" w:space="0" w:color="auto"/>
              <w:right w:val="nil"/>
            </w:tcBorders>
            <w:shd w:val="clear" w:color="000000" w:fill="FFFFFF"/>
            <w:noWrap/>
            <w:vAlign w:val="bottom"/>
            <w:hideMark/>
          </w:tcPr>
          <w:p w14:paraId="2887ADD7" w14:textId="77777777" w:rsidR="00D97FD1" w:rsidRPr="00AC573F" w:rsidRDefault="00D97FD1" w:rsidP="00972D24">
            <w:pPr>
              <w:widowControl/>
              <w:jc w:val="left"/>
              <w:rPr>
                <w:rFonts w:eastAsia="等线" w:cs="Times New Roman"/>
                <w:b/>
                <w:bCs/>
                <w:color w:val="000000"/>
                <w:kern w:val="0"/>
                <w:sz w:val="22"/>
                <w14:ligatures w14:val="none"/>
              </w:rPr>
            </w:pPr>
            <w:r w:rsidRPr="00AC573F">
              <w:rPr>
                <w:rFonts w:eastAsia="等线" w:cs="Times New Roman"/>
                <w:b/>
                <w:bCs/>
                <w:color w:val="000000"/>
                <w:kern w:val="0"/>
                <w:sz w:val="22"/>
                <w14:ligatures w14:val="none"/>
              </w:rPr>
              <w:t>MAE</w:t>
            </w:r>
          </w:p>
        </w:tc>
        <w:tc>
          <w:tcPr>
            <w:tcW w:w="1231" w:type="dxa"/>
            <w:tcBorders>
              <w:top w:val="single" w:sz="8" w:space="0" w:color="auto"/>
              <w:left w:val="nil"/>
              <w:bottom w:val="single" w:sz="4" w:space="0" w:color="auto"/>
              <w:right w:val="nil"/>
            </w:tcBorders>
            <w:shd w:val="clear" w:color="000000" w:fill="FFFFFF"/>
            <w:noWrap/>
            <w:vAlign w:val="bottom"/>
            <w:hideMark/>
          </w:tcPr>
          <w:p w14:paraId="7824E4F2" w14:textId="77777777" w:rsidR="00D97FD1" w:rsidRPr="00AC573F" w:rsidRDefault="00D97FD1" w:rsidP="00972D24">
            <w:pPr>
              <w:widowControl/>
              <w:jc w:val="left"/>
              <w:rPr>
                <w:rFonts w:eastAsia="等线" w:cs="Times New Roman"/>
                <w:b/>
                <w:bCs/>
                <w:color w:val="000000"/>
                <w:kern w:val="0"/>
                <w:sz w:val="22"/>
                <w14:ligatures w14:val="none"/>
              </w:rPr>
            </w:pPr>
            <w:proofErr w:type="gramStart"/>
            <w:r w:rsidRPr="00AC573F">
              <w:rPr>
                <w:rFonts w:eastAsia="等线" w:cs="Times New Roman"/>
                <w:b/>
                <w:bCs/>
                <w:color w:val="000000"/>
                <w:kern w:val="0"/>
                <w:sz w:val="22"/>
                <w14:ligatures w14:val="none"/>
              </w:rPr>
              <w:t>MAPE(</w:t>
            </w:r>
            <w:proofErr w:type="gramEnd"/>
            <w:r w:rsidRPr="00AC573F">
              <w:rPr>
                <w:rFonts w:eastAsia="等线" w:cs="Times New Roman"/>
                <w:b/>
                <w:bCs/>
                <w:color w:val="000000"/>
                <w:kern w:val="0"/>
                <w:sz w:val="22"/>
                <w14:ligatures w14:val="none"/>
              </w:rPr>
              <w:t>%)</w:t>
            </w:r>
          </w:p>
        </w:tc>
        <w:tc>
          <w:tcPr>
            <w:tcW w:w="1040" w:type="dxa"/>
            <w:tcBorders>
              <w:top w:val="single" w:sz="8" w:space="0" w:color="auto"/>
              <w:left w:val="nil"/>
              <w:bottom w:val="single" w:sz="4" w:space="0" w:color="auto"/>
              <w:right w:val="nil"/>
            </w:tcBorders>
            <w:shd w:val="clear" w:color="000000" w:fill="FFFFFF"/>
            <w:noWrap/>
            <w:vAlign w:val="bottom"/>
            <w:hideMark/>
          </w:tcPr>
          <w:p w14:paraId="3A7021EF" w14:textId="77777777" w:rsidR="00D97FD1" w:rsidRPr="00AC573F" w:rsidRDefault="00D97FD1" w:rsidP="00972D24">
            <w:pPr>
              <w:widowControl/>
              <w:jc w:val="left"/>
              <w:rPr>
                <w:rFonts w:eastAsia="等线" w:cs="Times New Roman"/>
                <w:b/>
                <w:bCs/>
                <w:color w:val="000000"/>
                <w:kern w:val="0"/>
                <w:sz w:val="22"/>
                <w14:ligatures w14:val="none"/>
              </w:rPr>
            </w:pPr>
            <w:r w:rsidRPr="00AC573F">
              <w:rPr>
                <w:rFonts w:eastAsia="等线" w:cs="Times New Roman"/>
                <w:b/>
                <w:bCs/>
                <w:color w:val="000000"/>
                <w:kern w:val="0"/>
                <w:sz w:val="22"/>
                <w14:ligatures w14:val="none"/>
              </w:rPr>
              <w:t>R²</w:t>
            </w:r>
          </w:p>
        </w:tc>
      </w:tr>
      <w:tr w:rsidR="00D97FD1" w:rsidRPr="00AC573F" w14:paraId="6C678DD5" w14:textId="77777777" w:rsidTr="00972D24">
        <w:trPr>
          <w:trHeight w:val="280"/>
          <w:jc w:val="center"/>
        </w:trPr>
        <w:tc>
          <w:tcPr>
            <w:tcW w:w="2127" w:type="dxa"/>
            <w:tcBorders>
              <w:top w:val="nil"/>
              <w:left w:val="nil"/>
              <w:bottom w:val="nil"/>
              <w:right w:val="nil"/>
            </w:tcBorders>
            <w:shd w:val="clear" w:color="000000" w:fill="FFFFFF"/>
            <w:noWrap/>
            <w:vAlign w:val="center"/>
            <w:hideMark/>
          </w:tcPr>
          <w:p w14:paraId="7C1591D8"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Multiple pollutants</w:t>
            </w:r>
          </w:p>
        </w:tc>
        <w:tc>
          <w:tcPr>
            <w:tcW w:w="1753" w:type="dxa"/>
            <w:vMerge w:val="restart"/>
            <w:tcBorders>
              <w:top w:val="nil"/>
              <w:left w:val="nil"/>
              <w:bottom w:val="single" w:sz="4" w:space="0" w:color="000000"/>
              <w:right w:val="nil"/>
            </w:tcBorders>
            <w:shd w:val="clear" w:color="000000" w:fill="FFFFFF"/>
            <w:noWrap/>
            <w:vAlign w:val="center"/>
            <w:hideMark/>
          </w:tcPr>
          <w:p w14:paraId="628902AE"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Next hour</w:t>
            </w:r>
          </w:p>
        </w:tc>
        <w:tc>
          <w:tcPr>
            <w:tcW w:w="1040" w:type="dxa"/>
            <w:tcBorders>
              <w:top w:val="nil"/>
              <w:left w:val="nil"/>
              <w:bottom w:val="nil"/>
              <w:right w:val="nil"/>
            </w:tcBorders>
            <w:shd w:val="clear" w:color="000000" w:fill="FFFFFF"/>
            <w:noWrap/>
            <w:vAlign w:val="bottom"/>
            <w:hideMark/>
          </w:tcPr>
          <w:p w14:paraId="3D38A6C0"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0.0318</w:t>
            </w:r>
          </w:p>
        </w:tc>
        <w:tc>
          <w:tcPr>
            <w:tcW w:w="1040" w:type="dxa"/>
            <w:tcBorders>
              <w:top w:val="nil"/>
              <w:left w:val="nil"/>
              <w:bottom w:val="nil"/>
              <w:right w:val="nil"/>
            </w:tcBorders>
            <w:shd w:val="clear" w:color="000000" w:fill="FFFFFF"/>
            <w:noWrap/>
            <w:vAlign w:val="bottom"/>
            <w:hideMark/>
          </w:tcPr>
          <w:p w14:paraId="4161EFE9"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0.0215</w:t>
            </w:r>
          </w:p>
        </w:tc>
        <w:tc>
          <w:tcPr>
            <w:tcW w:w="1231" w:type="dxa"/>
            <w:tcBorders>
              <w:top w:val="nil"/>
              <w:left w:val="nil"/>
              <w:bottom w:val="nil"/>
              <w:right w:val="nil"/>
            </w:tcBorders>
            <w:shd w:val="clear" w:color="000000" w:fill="FFFFFF"/>
            <w:noWrap/>
            <w:vAlign w:val="bottom"/>
            <w:hideMark/>
          </w:tcPr>
          <w:p w14:paraId="653DA784"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27.99</w:t>
            </w:r>
          </w:p>
        </w:tc>
        <w:tc>
          <w:tcPr>
            <w:tcW w:w="1040" w:type="dxa"/>
            <w:tcBorders>
              <w:top w:val="nil"/>
              <w:left w:val="nil"/>
              <w:bottom w:val="nil"/>
              <w:right w:val="nil"/>
            </w:tcBorders>
            <w:shd w:val="clear" w:color="000000" w:fill="FFFFFF"/>
            <w:noWrap/>
            <w:vAlign w:val="bottom"/>
            <w:hideMark/>
          </w:tcPr>
          <w:p w14:paraId="0950660C"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0.8296</w:t>
            </w:r>
          </w:p>
        </w:tc>
      </w:tr>
      <w:tr w:rsidR="00D97FD1" w:rsidRPr="00AC573F" w14:paraId="75005FC5" w14:textId="77777777" w:rsidTr="00972D24">
        <w:trPr>
          <w:trHeight w:val="280"/>
          <w:jc w:val="center"/>
        </w:trPr>
        <w:tc>
          <w:tcPr>
            <w:tcW w:w="2127" w:type="dxa"/>
            <w:tcBorders>
              <w:top w:val="nil"/>
              <w:left w:val="nil"/>
              <w:bottom w:val="single" w:sz="4" w:space="0" w:color="auto"/>
              <w:right w:val="nil"/>
            </w:tcBorders>
            <w:shd w:val="clear" w:color="000000" w:fill="FFFFFF"/>
            <w:noWrap/>
            <w:vAlign w:val="center"/>
            <w:hideMark/>
          </w:tcPr>
          <w:p w14:paraId="5BB91C6A"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Single pollutant</w:t>
            </w:r>
          </w:p>
        </w:tc>
        <w:tc>
          <w:tcPr>
            <w:tcW w:w="1753" w:type="dxa"/>
            <w:vMerge/>
            <w:tcBorders>
              <w:top w:val="nil"/>
              <w:left w:val="nil"/>
              <w:bottom w:val="single" w:sz="4" w:space="0" w:color="000000"/>
              <w:right w:val="nil"/>
            </w:tcBorders>
            <w:vAlign w:val="center"/>
            <w:hideMark/>
          </w:tcPr>
          <w:p w14:paraId="6783E80C" w14:textId="77777777" w:rsidR="00D97FD1" w:rsidRPr="00AC573F" w:rsidRDefault="00D97FD1" w:rsidP="00972D24">
            <w:pPr>
              <w:widowControl/>
              <w:jc w:val="left"/>
              <w:rPr>
                <w:rFonts w:eastAsia="等线" w:cs="Times New Roman"/>
                <w:color w:val="000000"/>
                <w:kern w:val="0"/>
                <w:sz w:val="22"/>
                <w14:ligatures w14:val="none"/>
              </w:rPr>
            </w:pPr>
          </w:p>
        </w:tc>
        <w:tc>
          <w:tcPr>
            <w:tcW w:w="1040" w:type="dxa"/>
            <w:tcBorders>
              <w:top w:val="nil"/>
              <w:left w:val="nil"/>
              <w:bottom w:val="single" w:sz="4" w:space="0" w:color="auto"/>
              <w:right w:val="nil"/>
            </w:tcBorders>
            <w:shd w:val="clear" w:color="000000" w:fill="FFFFFF"/>
            <w:noWrap/>
            <w:vAlign w:val="bottom"/>
            <w:hideMark/>
          </w:tcPr>
          <w:p w14:paraId="4A69F085"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0.0334</w:t>
            </w:r>
          </w:p>
        </w:tc>
        <w:tc>
          <w:tcPr>
            <w:tcW w:w="1040" w:type="dxa"/>
            <w:tcBorders>
              <w:top w:val="nil"/>
              <w:left w:val="nil"/>
              <w:bottom w:val="single" w:sz="4" w:space="0" w:color="auto"/>
              <w:right w:val="nil"/>
            </w:tcBorders>
            <w:shd w:val="clear" w:color="000000" w:fill="FFFFFF"/>
            <w:noWrap/>
            <w:vAlign w:val="bottom"/>
            <w:hideMark/>
          </w:tcPr>
          <w:p w14:paraId="5D3D0830"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0.0220</w:t>
            </w:r>
          </w:p>
        </w:tc>
        <w:tc>
          <w:tcPr>
            <w:tcW w:w="1231" w:type="dxa"/>
            <w:tcBorders>
              <w:top w:val="nil"/>
              <w:left w:val="nil"/>
              <w:bottom w:val="single" w:sz="4" w:space="0" w:color="auto"/>
              <w:right w:val="nil"/>
            </w:tcBorders>
            <w:shd w:val="clear" w:color="000000" w:fill="FFFFFF"/>
            <w:noWrap/>
            <w:vAlign w:val="bottom"/>
            <w:hideMark/>
          </w:tcPr>
          <w:p w14:paraId="09700C88"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27.69</w:t>
            </w:r>
          </w:p>
        </w:tc>
        <w:tc>
          <w:tcPr>
            <w:tcW w:w="1040" w:type="dxa"/>
            <w:tcBorders>
              <w:top w:val="nil"/>
              <w:left w:val="nil"/>
              <w:bottom w:val="single" w:sz="4" w:space="0" w:color="auto"/>
              <w:right w:val="nil"/>
            </w:tcBorders>
            <w:shd w:val="clear" w:color="000000" w:fill="FFFFFF"/>
            <w:noWrap/>
            <w:vAlign w:val="bottom"/>
            <w:hideMark/>
          </w:tcPr>
          <w:p w14:paraId="2A9D70E2"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0.8020</w:t>
            </w:r>
          </w:p>
        </w:tc>
      </w:tr>
      <w:tr w:rsidR="00D97FD1" w:rsidRPr="00AC573F" w14:paraId="7900618C" w14:textId="77777777" w:rsidTr="00972D24">
        <w:trPr>
          <w:trHeight w:val="280"/>
          <w:jc w:val="center"/>
        </w:trPr>
        <w:tc>
          <w:tcPr>
            <w:tcW w:w="2127" w:type="dxa"/>
            <w:tcBorders>
              <w:top w:val="nil"/>
              <w:left w:val="nil"/>
              <w:bottom w:val="nil"/>
              <w:right w:val="nil"/>
            </w:tcBorders>
            <w:shd w:val="clear" w:color="000000" w:fill="FFFFFF"/>
            <w:noWrap/>
            <w:vAlign w:val="center"/>
            <w:hideMark/>
          </w:tcPr>
          <w:p w14:paraId="2A670852"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Multiple pollutants</w:t>
            </w:r>
          </w:p>
        </w:tc>
        <w:tc>
          <w:tcPr>
            <w:tcW w:w="1753" w:type="dxa"/>
            <w:vMerge w:val="restart"/>
            <w:tcBorders>
              <w:top w:val="nil"/>
              <w:left w:val="nil"/>
              <w:bottom w:val="single" w:sz="8" w:space="0" w:color="000000"/>
              <w:right w:val="nil"/>
            </w:tcBorders>
            <w:shd w:val="clear" w:color="000000" w:fill="FFFFFF"/>
            <w:noWrap/>
            <w:vAlign w:val="center"/>
            <w:hideMark/>
          </w:tcPr>
          <w:p w14:paraId="4DB70017"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Next day</w:t>
            </w:r>
          </w:p>
        </w:tc>
        <w:tc>
          <w:tcPr>
            <w:tcW w:w="1040" w:type="dxa"/>
            <w:tcBorders>
              <w:top w:val="nil"/>
              <w:left w:val="nil"/>
              <w:bottom w:val="nil"/>
              <w:right w:val="nil"/>
            </w:tcBorders>
            <w:shd w:val="clear" w:color="000000" w:fill="FFFFFF"/>
            <w:noWrap/>
            <w:vAlign w:val="bottom"/>
            <w:hideMark/>
          </w:tcPr>
          <w:p w14:paraId="008B4515"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0.0330</w:t>
            </w:r>
          </w:p>
        </w:tc>
        <w:tc>
          <w:tcPr>
            <w:tcW w:w="1040" w:type="dxa"/>
            <w:tcBorders>
              <w:top w:val="nil"/>
              <w:left w:val="nil"/>
              <w:bottom w:val="nil"/>
              <w:right w:val="nil"/>
            </w:tcBorders>
            <w:shd w:val="clear" w:color="000000" w:fill="FFFFFF"/>
            <w:noWrap/>
            <w:vAlign w:val="bottom"/>
            <w:hideMark/>
          </w:tcPr>
          <w:p w14:paraId="79E5D81E"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0.0247</w:t>
            </w:r>
          </w:p>
        </w:tc>
        <w:tc>
          <w:tcPr>
            <w:tcW w:w="1231" w:type="dxa"/>
            <w:tcBorders>
              <w:top w:val="nil"/>
              <w:left w:val="nil"/>
              <w:bottom w:val="nil"/>
              <w:right w:val="nil"/>
            </w:tcBorders>
            <w:shd w:val="clear" w:color="000000" w:fill="FFFFFF"/>
            <w:noWrap/>
            <w:vAlign w:val="bottom"/>
            <w:hideMark/>
          </w:tcPr>
          <w:p w14:paraId="01A0FE86"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39.21</w:t>
            </w:r>
          </w:p>
        </w:tc>
        <w:tc>
          <w:tcPr>
            <w:tcW w:w="1040" w:type="dxa"/>
            <w:tcBorders>
              <w:top w:val="nil"/>
              <w:left w:val="nil"/>
              <w:bottom w:val="nil"/>
              <w:right w:val="nil"/>
            </w:tcBorders>
            <w:shd w:val="clear" w:color="000000" w:fill="FFFFFF"/>
            <w:noWrap/>
            <w:vAlign w:val="bottom"/>
            <w:hideMark/>
          </w:tcPr>
          <w:p w14:paraId="185110DB"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0.8225</w:t>
            </w:r>
          </w:p>
        </w:tc>
      </w:tr>
      <w:tr w:rsidR="00D97FD1" w:rsidRPr="00AC573F" w14:paraId="07795860" w14:textId="77777777" w:rsidTr="00972D24">
        <w:trPr>
          <w:trHeight w:val="290"/>
          <w:jc w:val="center"/>
        </w:trPr>
        <w:tc>
          <w:tcPr>
            <w:tcW w:w="2127" w:type="dxa"/>
            <w:tcBorders>
              <w:top w:val="nil"/>
              <w:left w:val="nil"/>
              <w:bottom w:val="single" w:sz="8" w:space="0" w:color="auto"/>
              <w:right w:val="nil"/>
            </w:tcBorders>
            <w:shd w:val="clear" w:color="000000" w:fill="FFFFFF"/>
            <w:noWrap/>
            <w:vAlign w:val="center"/>
            <w:hideMark/>
          </w:tcPr>
          <w:p w14:paraId="1EAB21D9"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Single pollutant</w:t>
            </w:r>
          </w:p>
        </w:tc>
        <w:tc>
          <w:tcPr>
            <w:tcW w:w="1753" w:type="dxa"/>
            <w:vMerge/>
            <w:tcBorders>
              <w:top w:val="nil"/>
              <w:left w:val="nil"/>
              <w:bottom w:val="single" w:sz="8" w:space="0" w:color="000000"/>
              <w:right w:val="nil"/>
            </w:tcBorders>
            <w:vAlign w:val="center"/>
            <w:hideMark/>
          </w:tcPr>
          <w:p w14:paraId="263E45F2" w14:textId="77777777" w:rsidR="00D97FD1" w:rsidRPr="00AC573F" w:rsidRDefault="00D97FD1" w:rsidP="00972D24">
            <w:pPr>
              <w:widowControl/>
              <w:jc w:val="left"/>
              <w:rPr>
                <w:rFonts w:eastAsia="等线" w:cs="Times New Roman"/>
                <w:color w:val="000000"/>
                <w:kern w:val="0"/>
                <w:sz w:val="22"/>
                <w14:ligatures w14:val="none"/>
              </w:rPr>
            </w:pPr>
          </w:p>
        </w:tc>
        <w:tc>
          <w:tcPr>
            <w:tcW w:w="1040" w:type="dxa"/>
            <w:tcBorders>
              <w:top w:val="nil"/>
              <w:left w:val="nil"/>
              <w:bottom w:val="single" w:sz="8" w:space="0" w:color="auto"/>
              <w:right w:val="nil"/>
            </w:tcBorders>
            <w:shd w:val="clear" w:color="000000" w:fill="FFFFFF"/>
            <w:noWrap/>
            <w:vAlign w:val="bottom"/>
            <w:hideMark/>
          </w:tcPr>
          <w:p w14:paraId="3E0E0CA9"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0.0349</w:t>
            </w:r>
          </w:p>
        </w:tc>
        <w:tc>
          <w:tcPr>
            <w:tcW w:w="1040" w:type="dxa"/>
            <w:tcBorders>
              <w:top w:val="nil"/>
              <w:left w:val="nil"/>
              <w:bottom w:val="single" w:sz="8" w:space="0" w:color="auto"/>
              <w:right w:val="nil"/>
            </w:tcBorders>
            <w:shd w:val="clear" w:color="000000" w:fill="FFFFFF"/>
            <w:noWrap/>
            <w:vAlign w:val="bottom"/>
            <w:hideMark/>
          </w:tcPr>
          <w:p w14:paraId="3C088EA1"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0.0258</w:t>
            </w:r>
          </w:p>
        </w:tc>
        <w:tc>
          <w:tcPr>
            <w:tcW w:w="1231" w:type="dxa"/>
            <w:tcBorders>
              <w:top w:val="nil"/>
              <w:left w:val="nil"/>
              <w:bottom w:val="single" w:sz="8" w:space="0" w:color="auto"/>
              <w:right w:val="nil"/>
            </w:tcBorders>
            <w:shd w:val="clear" w:color="000000" w:fill="FFFFFF"/>
            <w:noWrap/>
            <w:vAlign w:val="bottom"/>
            <w:hideMark/>
          </w:tcPr>
          <w:p w14:paraId="2F548B29"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40.09</w:t>
            </w:r>
          </w:p>
        </w:tc>
        <w:tc>
          <w:tcPr>
            <w:tcW w:w="1040" w:type="dxa"/>
            <w:tcBorders>
              <w:top w:val="nil"/>
              <w:left w:val="nil"/>
              <w:bottom w:val="single" w:sz="8" w:space="0" w:color="auto"/>
              <w:right w:val="nil"/>
            </w:tcBorders>
            <w:shd w:val="clear" w:color="000000" w:fill="FFFFFF"/>
            <w:noWrap/>
            <w:vAlign w:val="bottom"/>
            <w:hideMark/>
          </w:tcPr>
          <w:p w14:paraId="596B611C" w14:textId="77777777" w:rsidR="00D97FD1" w:rsidRPr="00AC573F" w:rsidRDefault="00D97FD1" w:rsidP="00972D24">
            <w:pPr>
              <w:widowControl/>
              <w:jc w:val="left"/>
              <w:rPr>
                <w:rFonts w:eastAsia="等线" w:cs="Times New Roman"/>
                <w:color w:val="000000"/>
                <w:kern w:val="0"/>
                <w:sz w:val="22"/>
                <w14:ligatures w14:val="none"/>
              </w:rPr>
            </w:pPr>
            <w:r w:rsidRPr="00AC573F">
              <w:rPr>
                <w:rFonts w:eastAsia="等线" w:cs="Times New Roman"/>
                <w:color w:val="000000"/>
                <w:kern w:val="0"/>
                <w:sz w:val="22"/>
                <w14:ligatures w14:val="none"/>
              </w:rPr>
              <w:t>0.7889</w:t>
            </w:r>
          </w:p>
        </w:tc>
      </w:tr>
    </w:tbl>
    <w:p w14:paraId="55400F40" w14:textId="77777777" w:rsidR="00D97FD1" w:rsidRPr="00AC573F" w:rsidRDefault="00D97FD1" w:rsidP="00D97FD1">
      <w:pPr>
        <w:spacing w:before="240" w:afterLines="50" w:after="156"/>
        <w:rPr>
          <w:rFonts w:cs="Times New Roman"/>
        </w:rPr>
      </w:pPr>
      <w:r w:rsidRPr="00AC573F">
        <w:rPr>
          <w:rFonts w:cs="Times New Roman"/>
        </w:rPr>
        <w:t>For short-term prediction within the next hour, the results indicate that using multiple pollutants did not significantly enhance the model performance. Specifically, the difference in MAPE between the two models was minimal in the short-term prediction. This may be because the impact of other pollutants is less pronounced over such a short timescale. The focus on key features (PM</w:t>
      </w:r>
      <w:r w:rsidRPr="00AC573F">
        <w:rPr>
          <w:rFonts w:cs="Times New Roman"/>
          <w:vertAlign w:val="subscript"/>
        </w:rPr>
        <w:t>2.5</w:t>
      </w:r>
      <w:r w:rsidRPr="00AC573F">
        <w:rPr>
          <w:rFonts w:cs="Times New Roman"/>
        </w:rPr>
        <w:t xml:space="preserve"> and meteorological data) in short-term scenarios is sufficient to capture the variations in PM</w:t>
      </w:r>
      <w:r w:rsidRPr="00AC573F">
        <w:rPr>
          <w:rFonts w:cs="Times New Roman"/>
          <w:vertAlign w:val="subscript"/>
        </w:rPr>
        <w:t>2.5</w:t>
      </w:r>
      <w:r w:rsidRPr="00AC573F">
        <w:rPr>
          <w:rFonts w:cs="Times New Roman"/>
        </w:rPr>
        <w:t>. Therefore, the addition of more pollutants did not result in a noticeable improvement in predictive performance.</w:t>
      </w:r>
    </w:p>
    <w:p w14:paraId="1595E2D1" w14:textId="77777777" w:rsidR="00D97FD1" w:rsidRPr="00AC573F" w:rsidRDefault="00D97FD1" w:rsidP="00D97FD1">
      <w:pPr>
        <w:spacing w:before="240" w:afterLines="50" w:after="156"/>
        <w:rPr>
          <w:rFonts w:cs="Times New Roman"/>
        </w:rPr>
      </w:pPr>
      <w:r w:rsidRPr="00AC573F">
        <w:rPr>
          <w:rFonts w:cs="Times New Roman"/>
        </w:rPr>
        <w:t>In contrast, in the long-term predictions over the next day, using multiple pollutants significantly improved the accuracy. Unlike short-term predictions, long-term forecasts require the model to capture more complex temporal dependencies and interactions between features. The experimental results show that the MAPE and R² of the multi</w:t>
      </w:r>
      <w:r>
        <w:rPr>
          <w:rFonts w:cs="Times New Roman" w:hint="eastAsia"/>
        </w:rPr>
        <w:t>-</w:t>
      </w:r>
      <w:r w:rsidRPr="00AC573F">
        <w:rPr>
          <w:rFonts w:cs="Times New Roman"/>
        </w:rPr>
        <w:t>pollutant model outperformed those of the single-pollutant model. This finding suggests that for long-term predictions, including a broader range of pollutants allows the model to better learn complex dependencies, thereby enhancing the accuracy of the predictions.</w:t>
      </w:r>
    </w:p>
    <w:p w14:paraId="7324AD85" w14:textId="322B3A3A" w:rsidR="00F52154" w:rsidRDefault="00D97FD1" w:rsidP="00D97FD1">
      <w:r w:rsidRPr="00AC573F">
        <w:rPr>
          <w:rFonts w:cs="Times New Roman"/>
        </w:rPr>
        <w:t xml:space="preserve">In conclusion, while the single-pollutant model is adequate for short-term predictions, </w:t>
      </w:r>
      <w:r w:rsidRPr="00AC573F">
        <w:rPr>
          <w:rFonts w:cs="Times New Roman"/>
        </w:rPr>
        <w:lastRenderedPageBreak/>
        <w:t xml:space="preserve">the inclusion of additional </w:t>
      </w:r>
      <w:r w:rsidRPr="00AC573F">
        <w:rPr>
          <w:rFonts w:cs="Times New Roman" w:hint="eastAsia"/>
        </w:rPr>
        <w:t xml:space="preserve">relevant </w:t>
      </w:r>
      <w:r w:rsidRPr="00AC573F">
        <w:rPr>
          <w:rFonts w:cs="Times New Roman"/>
        </w:rPr>
        <w:t xml:space="preserve">pollutants is advantageous for long-term forecasting. </w:t>
      </w:r>
      <w:r>
        <w:rPr>
          <w:rFonts w:cs="Times New Roman" w:hint="eastAsia"/>
        </w:rPr>
        <w:t>T</w:t>
      </w:r>
      <w:r w:rsidRPr="00AC573F">
        <w:t>his finding c</w:t>
      </w:r>
      <w:r w:rsidRPr="00AC573F">
        <w:rPr>
          <w:rFonts w:hint="eastAsia"/>
        </w:rPr>
        <w:t>ould</w:t>
      </w:r>
      <w:r w:rsidRPr="00AC573F">
        <w:t xml:space="preserve"> assist environmental authorities in formulating more effective policies.</w:t>
      </w:r>
    </w:p>
    <w:sectPr w:rsidR="00F52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B6A82" w14:textId="77777777" w:rsidR="00951F3D" w:rsidRDefault="00951F3D" w:rsidP="00D97FD1">
      <w:pPr>
        <w:spacing w:line="240" w:lineRule="auto"/>
      </w:pPr>
      <w:r>
        <w:separator/>
      </w:r>
    </w:p>
  </w:endnote>
  <w:endnote w:type="continuationSeparator" w:id="0">
    <w:p w14:paraId="69BB3158" w14:textId="77777777" w:rsidR="00951F3D" w:rsidRDefault="00951F3D" w:rsidP="00D97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F3D59" w14:textId="77777777" w:rsidR="00951F3D" w:rsidRDefault="00951F3D" w:rsidP="00D97FD1">
      <w:pPr>
        <w:spacing w:line="240" w:lineRule="auto"/>
      </w:pPr>
      <w:r>
        <w:separator/>
      </w:r>
    </w:p>
  </w:footnote>
  <w:footnote w:type="continuationSeparator" w:id="0">
    <w:p w14:paraId="3EE7CE1F" w14:textId="77777777" w:rsidR="00951F3D" w:rsidRDefault="00951F3D" w:rsidP="00D97F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23CB7"/>
    <w:multiLevelType w:val="multilevel"/>
    <w:tmpl w:val="2CD8AD6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16cid:durableId="2988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08"/>
    <w:rsid w:val="00216908"/>
    <w:rsid w:val="002215FC"/>
    <w:rsid w:val="0062559F"/>
    <w:rsid w:val="00690487"/>
    <w:rsid w:val="00951F3D"/>
    <w:rsid w:val="00CC23F0"/>
    <w:rsid w:val="00D97FD1"/>
    <w:rsid w:val="00EB05C6"/>
    <w:rsid w:val="00F52154"/>
    <w:rsid w:val="00FE5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7505C"/>
  <w15:chartTrackingRefBased/>
  <w15:docId w15:val="{BE261414-D9E9-42F0-808D-9BA24EB9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FD1"/>
    <w:pPr>
      <w:widowControl w:val="0"/>
      <w:spacing w:line="360" w:lineRule="auto"/>
      <w:jc w:val="both"/>
    </w:pPr>
    <w:rPr>
      <w:rFonts w:ascii="Times New Roman" w:hAnsi="Times New Roman"/>
      <w:sz w:val="24"/>
      <w:lang w:val="en-GB"/>
    </w:rPr>
  </w:style>
  <w:style w:type="paragraph" w:styleId="1">
    <w:name w:val="heading 1"/>
    <w:basedOn w:val="a"/>
    <w:next w:val="a"/>
    <w:link w:val="10"/>
    <w:uiPriority w:val="9"/>
    <w:qFormat/>
    <w:rsid w:val="00D97FD1"/>
    <w:pPr>
      <w:keepNext/>
      <w:keepLines/>
      <w:numPr>
        <w:numId w:val="1"/>
      </w:numPr>
      <w:spacing w:before="120" w:after="120"/>
      <w:ind w:left="0" w:firstLine="0"/>
      <w:outlineLvl w:val="0"/>
    </w:pPr>
    <w:rPr>
      <w:rFonts w:eastAsiaTheme="majorEastAsia" w:cstheme="majorBidi"/>
      <w:b/>
      <w:sz w:val="36"/>
      <w:szCs w:val="48"/>
    </w:rPr>
  </w:style>
  <w:style w:type="paragraph" w:styleId="2">
    <w:name w:val="heading 2"/>
    <w:basedOn w:val="a"/>
    <w:next w:val="a"/>
    <w:link w:val="20"/>
    <w:uiPriority w:val="9"/>
    <w:unhideWhenUsed/>
    <w:qFormat/>
    <w:rsid w:val="00D97FD1"/>
    <w:pPr>
      <w:keepNext/>
      <w:keepLines/>
      <w:numPr>
        <w:ilvl w:val="1"/>
        <w:numId w:val="1"/>
      </w:numPr>
      <w:spacing w:before="200" w:after="200"/>
      <w:ind w:left="578" w:hanging="578"/>
      <w:outlineLvl w:val="1"/>
    </w:pPr>
    <w:rPr>
      <w:rFonts w:eastAsiaTheme="majorEastAsia" w:cstheme="majorBidi"/>
      <w:b/>
      <w:sz w:val="32"/>
      <w:szCs w:val="40"/>
    </w:rPr>
  </w:style>
  <w:style w:type="paragraph" w:styleId="3">
    <w:name w:val="heading 3"/>
    <w:basedOn w:val="a"/>
    <w:next w:val="a"/>
    <w:link w:val="30"/>
    <w:uiPriority w:val="9"/>
    <w:unhideWhenUsed/>
    <w:qFormat/>
    <w:rsid w:val="00D97FD1"/>
    <w:pPr>
      <w:keepNext/>
      <w:keepLines/>
      <w:numPr>
        <w:ilvl w:val="2"/>
        <w:numId w:val="1"/>
      </w:numPr>
      <w:spacing w:before="200" w:after="200"/>
      <w:outlineLvl w:val="2"/>
    </w:pPr>
    <w:rPr>
      <w:rFonts w:eastAsia="Times New Roman" w:cs="Times New Roman"/>
      <w:b/>
      <w:color w:val="000000" w:themeColor="text1"/>
      <w:sz w:val="28"/>
      <w:szCs w:val="28"/>
    </w:rPr>
  </w:style>
  <w:style w:type="paragraph" w:styleId="4">
    <w:name w:val="heading 4"/>
    <w:basedOn w:val="a"/>
    <w:next w:val="a"/>
    <w:link w:val="40"/>
    <w:uiPriority w:val="9"/>
    <w:unhideWhenUsed/>
    <w:qFormat/>
    <w:rsid w:val="00D97FD1"/>
    <w:pPr>
      <w:keepNext/>
      <w:keepLines/>
      <w:numPr>
        <w:ilvl w:val="3"/>
        <w:numId w:val="1"/>
      </w:numPr>
      <w:spacing w:before="80" w:after="40"/>
      <w:outlineLvl w:val="3"/>
    </w:pPr>
    <w:rPr>
      <w:rFonts w:ascii="Arial" w:hAnsi="Arial" w:cstheme="majorBidi"/>
      <w:sz w:val="28"/>
      <w:szCs w:val="28"/>
    </w:rPr>
  </w:style>
  <w:style w:type="paragraph" w:styleId="5">
    <w:name w:val="heading 5"/>
    <w:basedOn w:val="a"/>
    <w:next w:val="a"/>
    <w:link w:val="50"/>
    <w:uiPriority w:val="9"/>
    <w:semiHidden/>
    <w:unhideWhenUsed/>
    <w:qFormat/>
    <w:rsid w:val="00D97FD1"/>
    <w:pPr>
      <w:keepNext/>
      <w:keepLines/>
      <w:numPr>
        <w:ilvl w:val="4"/>
        <w:numId w:val="1"/>
      </w:numPr>
      <w:spacing w:before="80" w:after="40"/>
      <w:outlineLvl w:val="4"/>
    </w:pPr>
    <w:rPr>
      <w:rFonts w:cstheme="majorBidi"/>
      <w:color w:val="2F5496" w:themeColor="accent1" w:themeShade="BF"/>
      <w:szCs w:val="24"/>
    </w:rPr>
  </w:style>
  <w:style w:type="paragraph" w:styleId="6">
    <w:name w:val="heading 6"/>
    <w:basedOn w:val="a"/>
    <w:next w:val="a"/>
    <w:link w:val="60"/>
    <w:uiPriority w:val="9"/>
    <w:semiHidden/>
    <w:unhideWhenUsed/>
    <w:qFormat/>
    <w:rsid w:val="00D97FD1"/>
    <w:pPr>
      <w:keepNext/>
      <w:keepLines/>
      <w:numPr>
        <w:ilvl w:val="5"/>
        <w:numId w:val="1"/>
      </w:numPr>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97FD1"/>
    <w:pPr>
      <w:keepNext/>
      <w:keepLines/>
      <w:numPr>
        <w:ilvl w:val="6"/>
        <w:numId w:val="1"/>
      </w:numPr>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97FD1"/>
    <w:pPr>
      <w:keepNext/>
      <w:keepLines/>
      <w:numPr>
        <w:ilvl w:val="7"/>
        <w:numId w:val="1"/>
      </w:numPr>
      <w:outlineLvl w:val="7"/>
    </w:pPr>
    <w:rPr>
      <w:rFonts w:cstheme="majorBidi"/>
      <w:color w:val="595959" w:themeColor="text1" w:themeTint="A6"/>
    </w:rPr>
  </w:style>
  <w:style w:type="paragraph" w:styleId="9">
    <w:name w:val="heading 9"/>
    <w:basedOn w:val="a"/>
    <w:next w:val="a"/>
    <w:link w:val="90"/>
    <w:uiPriority w:val="9"/>
    <w:semiHidden/>
    <w:unhideWhenUsed/>
    <w:qFormat/>
    <w:rsid w:val="00D97FD1"/>
    <w:pPr>
      <w:keepNext/>
      <w:keepLines/>
      <w:numPr>
        <w:ilvl w:val="8"/>
        <w:numId w:val="1"/>
      </w:numPr>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FD1"/>
    <w:pPr>
      <w:tabs>
        <w:tab w:val="center" w:pos="4153"/>
        <w:tab w:val="right" w:pos="8306"/>
      </w:tabs>
      <w:snapToGrid w:val="0"/>
      <w:jc w:val="center"/>
    </w:pPr>
    <w:rPr>
      <w:sz w:val="18"/>
      <w:szCs w:val="18"/>
    </w:rPr>
  </w:style>
  <w:style w:type="character" w:customStyle="1" w:styleId="a4">
    <w:name w:val="页眉 字符"/>
    <w:basedOn w:val="a0"/>
    <w:link w:val="a3"/>
    <w:uiPriority w:val="99"/>
    <w:rsid w:val="00D97FD1"/>
    <w:rPr>
      <w:sz w:val="18"/>
      <w:szCs w:val="18"/>
    </w:rPr>
  </w:style>
  <w:style w:type="paragraph" w:styleId="a5">
    <w:name w:val="footer"/>
    <w:basedOn w:val="a"/>
    <w:link w:val="a6"/>
    <w:uiPriority w:val="99"/>
    <w:unhideWhenUsed/>
    <w:rsid w:val="00D97FD1"/>
    <w:pPr>
      <w:tabs>
        <w:tab w:val="center" w:pos="4153"/>
        <w:tab w:val="right" w:pos="8306"/>
      </w:tabs>
      <w:snapToGrid w:val="0"/>
      <w:jc w:val="left"/>
    </w:pPr>
    <w:rPr>
      <w:sz w:val="18"/>
      <w:szCs w:val="18"/>
    </w:rPr>
  </w:style>
  <w:style w:type="character" w:customStyle="1" w:styleId="a6">
    <w:name w:val="页脚 字符"/>
    <w:basedOn w:val="a0"/>
    <w:link w:val="a5"/>
    <w:uiPriority w:val="99"/>
    <w:rsid w:val="00D97FD1"/>
    <w:rPr>
      <w:sz w:val="18"/>
      <w:szCs w:val="18"/>
    </w:rPr>
  </w:style>
  <w:style w:type="character" w:customStyle="1" w:styleId="10">
    <w:name w:val="标题 1 字符"/>
    <w:basedOn w:val="a0"/>
    <w:link w:val="1"/>
    <w:uiPriority w:val="9"/>
    <w:rsid w:val="00D97FD1"/>
    <w:rPr>
      <w:rFonts w:ascii="Times New Roman" w:eastAsiaTheme="majorEastAsia" w:hAnsi="Times New Roman" w:cstheme="majorBidi"/>
      <w:b/>
      <w:sz w:val="36"/>
      <w:szCs w:val="48"/>
      <w:lang w:val="en-GB"/>
    </w:rPr>
  </w:style>
  <w:style w:type="character" w:customStyle="1" w:styleId="20">
    <w:name w:val="标题 2 字符"/>
    <w:basedOn w:val="a0"/>
    <w:link w:val="2"/>
    <w:uiPriority w:val="9"/>
    <w:rsid w:val="00D97FD1"/>
    <w:rPr>
      <w:rFonts w:ascii="Times New Roman" w:eastAsiaTheme="majorEastAsia" w:hAnsi="Times New Roman" w:cstheme="majorBidi"/>
      <w:b/>
      <w:sz w:val="32"/>
      <w:szCs w:val="40"/>
      <w:lang w:val="en-GB"/>
    </w:rPr>
  </w:style>
  <w:style w:type="character" w:customStyle="1" w:styleId="30">
    <w:name w:val="标题 3 字符"/>
    <w:basedOn w:val="a0"/>
    <w:link w:val="3"/>
    <w:uiPriority w:val="9"/>
    <w:rsid w:val="00D97FD1"/>
    <w:rPr>
      <w:rFonts w:ascii="Times New Roman" w:eastAsia="Times New Roman" w:hAnsi="Times New Roman" w:cs="Times New Roman"/>
      <w:b/>
      <w:color w:val="000000" w:themeColor="text1"/>
      <w:sz w:val="28"/>
      <w:szCs w:val="28"/>
      <w:lang w:val="en-GB"/>
    </w:rPr>
  </w:style>
  <w:style w:type="character" w:customStyle="1" w:styleId="40">
    <w:name w:val="标题 4 字符"/>
    <w:basedOn w:val="a0"/>
    <w:link w:val="4"/>
    <w:uiPriority w:val="9"/>
    <w:rsid w:val="00D97FD1"/>
    <w:rPr>
      <w:rFonts w:ascii="Arial" w:hAnsi="Arial" w:cstheme="majorBidi"/>
      <w:sz w:val="28"/>
      <w:szCs w:val="28"/>
      <w:lang w:val="en-GB"/>
    </w:rPr>
  </w:style>
  <w:style w:type="character" w:customStyle="1" w:styleId="50">
    <w:name w:val="标题 5 字符"/>
    <w:basedOn w:val="a0"/>
    <w:link w:val="5"/>
    <w:uiPriority w:val="9"/>
    <w:semiHidden/>
    <w:rsid w:val="00D97FD1"/>
    <w:rPr>
      <w:rFonts w:ascii="Times New Roman" w:hAnsi="Times New Roman" w:cstheme="majorBidi"/>
      <w:color w:val="2F5496" w:themeColor="accent1" w:themeShade="BF"/>
      <w:sz w:val="24"/>
      <w:szCs w:val="24"/>
      <w:lang w:val="en-GB"/>
    </w:rPr>
  </w:style>
  <w:style w:type="character" w:customStyle="1" w:styleId="60">
    <w:name w:val="标题 6 字符"/>
    <w:basedOn w:val="a0"/>
    <w:link w:val="6"/>
    <w:uiPriority w:val="9"/>
    <w:semiHidden/>
    <w:rsid w:val="00D97FD1"/>
    <w:rPr>
      <w:rFonts w:ascii="Times New Roman" w:hAnsi="Times New Roman" w:cstheme="majorBidi"/>
      <w:b/>
      <w:bCs/>
      <w:color w:val="2F5496" w:themeColor="accent1" w:themeShade="BF"/>
      <w:sz w:val="24"/>
      <w:lang w:val="en-GB"/>
    </w:rPr>
  </w:style>
  <w:style w:type="character" w:customStyle="1" w:styleId="70">
    <w:name w:val="标题 7 字符"/>
    <w:basedOn w:val="a0"/>
    <w:link w:val="7"/>
    <w:uiPriority w:val="9"/>
    <w:semiHidden/>
    <w:rsid w:val="00D97FD1"/>
    <w:rPr>
      <w:rFonts w:ascii="Times New Roman" w:hAnsi="Times New Roman" w:cstheme="majorBidi"/>
      <w:b/>
      <w:bCs/>
      <w:color w:val="595959" w:themeColor="text1" w:themeTint="A6"/>
      <w:sz w:val="24"/>
      <w:lang w:val="en-GB"/>
    </w:rPr>
  </w:style>
  <w:style w:type="character" w:customStyle="1" w:styleId="80">
    <w:name w:val="标题 8 字符"/>
    <w:basedOn w:val="a0"/>
    <w:link w:val="8"/>
    <w:uiPriority w:val="9"/>
    <w:semiHidden/>
    <w:rsid w:val="00D97FD1"/>
    <w:rPr>
      <w:rFonts w:ascii="Times New Roman" w:hAnsi="Times New Roman" w:cstheme="majorBidi"/>
      <w:color w:val="595959" w:themeColor="text1" w:themeTint="A6"/>
      <w:sz w:val="24"/>
      <w:lang w:val="en-GB"/>
    </w:rPr>
  </w:style>
  <w:style w:type="character" w:customStyle="1" w:styleId="90">
    <w:name w:val="标题 9 字符"/>
    <w:basedOn w:val="a0"/>
    <w:link w:val="9"/>
    <w:uiPriority w:val="9"/>
    <w:semiHidden/>
    <w:rsid w:val="00D97FD1"/>
    <w:rPr>
      <w:rFonts w:ascii="Times New Roman" w:eastAsiaTheme="majorEastAsia" w:hAnsi="Times New Roman" w:cstheme="majorBidi"/>
      <w:color w:val="595959" w:themeColor="text1" w:themeTint="A6"/>
      <w:sz w:val="24"/>
      <w:lang w:val="en-GB"/>
    </w:rPr>
  </w:style>
  <w:style w:type="paragraph" w:styleId="a7">
    <w:name w:val="caption"/>
    <w:basedOn w:val="a"/>
    <w:next w:val="a"/>
    <w:uiPriority w:val="35"/>
    <w:unhideWhenUsed/>
    <w:qFormat/>
    <w:rsid w:val="00D97FD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D9C02-D75B-45EC-A6FE-0ED76462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298</Words>
  <Characters>1838</Characters>
  <Application>Microsoft Office Word</Application>
  <DocSecurity>0</DocSecurity>
  <Lines>55</Lines>
  <Paragraphs>40</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liyihui20000424@163.com</dc:creator>
  <cp:keywords/>
  <dc:description/>
  <cp:lastModifiedBy>liyihui20000424@163.com</cp:lastModifiedBy>
  <cp:revision>4</cp:revision>
  <dcterms:created xsi:type="dcterms:W3CDTF">2024-08-29T15:48:00Z</dcterms:created>
  <dcterms:modified xsi:type="dcterms:W3CDTF">2024-08-29T15:52:00Z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47613942be0b1202c1be57b764a6feb9b36424e3546a4211e49a138a348889a8</vt:lpwstr>
  </property>
</Properties>
</file>