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4546A"/>
          <w:sz w:val="20"/>
          <w:szCs w:val="20"/>
        </w:rPr>
        <w:t xml:space="preserve">METRO DETROIT AIRPORT — IT CENTER</w:t>
      </w:r>
    </w:p>
    <w:p>
      <w:pPr>
        <w:spacing w:after="40"/>
      </w:pPr>
      <w:r>
        <w:rPr>
          <w:b/>
          <w:bCs/>
          <w:color w:val="1F3864"/>
          <w:sz w:val="34"/>
          <w:szCs w:val="34"/>
        </w:rPr>
        <w:t xml:space="preserve">IT Center Data Center &amp; NOC Build-Out — Status Report</w:t>
      </w:r>
    </w:p>
    <w:p>
      <w:pPr>
        <w:spacing w:after="220"/>
      </w:pPr>
      <w:r>
        <w:rPr>
          <w:i/>
          <w:iCs/>
          <w:color w:val="44546A"/>
          <w:sz w:val="21"/>
          <w:szCs w:val="21"/>
        </w:rPr>
        <w:t xml:space="preserve">Recurring Status Report — Illustrative Snapshot (Month 9 of 14)</w:t>
      </w:r>
    </w:p>
    <w:p>
      <w:pPr>
        <w:pBdr>
          <w:top w:val="single" w:color="BF8F00" w:sz="4"/>
          <w:bottom w:val="single" w:color="BF8F00" w:sz="4"/>
          <w:left w:val="single" w:color="BF8F00" w:sz="4"/>
          <w:right w:val="single" w:color="BF8F00" w:sz="4"/>
        </w:pBdr>
        <w:shd w:fill="FFF2CC" w:val="clear"/>
        <w:spacing w:after="240" w:before="120"/>
      </w:pPr>
      <w:r>
        <w:rPr>
          <w:i/>
          <w:iCs/>
          <w:color w:val="7F6000"/>
          <w:sz w:val="19"/>
          <w:szCs w:val="19"/>
        </w:rPr>
        <w:t xml:space="preserve">PORTFOLIO SCENARIO — illustrative status and closeout snapshots for a self-directed practice project (see Charter for context).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8200"/>
      </w:tblGrid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Reporting Period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9 of 14 (MEP Rough-In phase)</w:t>
            </w:r>
          </w:p>
        </w:tc>
      </w:tr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Overall Project Status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F8F00"/>
                <w:sz w:val="19"/>
                <w:szCs w:val="19"/>
              </w:rPr>
              <w:t xml:space="preserve">Yellow</w:t>
            </w:r>
          </w:p>
        </w:tc>
      </w:tr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Schedule Status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BF8F00"/>
                <w:sz w:val="19"/>
                <w:szCs w:val="19"/>
              </w:rPr>
              <w:t xml:space="preserve">Yellow — 6 business days behind due to switchgear lead time</w:t>
            </w:r>
          </w:p>
        </w:tc>
      </w:tr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Budget Status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1E7B34"/>
                <w:sz w:val="19"/>
                <w:szCs w:val="19"/>
              </w:rPr>
              <w:t xml:space="preserve">Green — 2% under committed forecast</w:t>
            </w:r>
          </w:p>
        </w:tc>
      </w:tr>
      <w:tr>
        <w:tc>
          <w:tcPr>
            <w:tcW w:type="dxa" w:w="2600"/>
            <w:shd w:fill="D9E2F3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color w:val="44546A"/>
                <w:sz w:val="19"/>
                <w:szCs w:val="19"/>
              </w:rPr>
              <w:t xml:space="preserve">Prepared By</w:t>
            </w:r>
          </w:p>
        </w:tc>
        <w:tc>
          <w:tcPr>
            <w:tcW w:type="dxa" w:w="8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Lisa Lewandowski, Project Manager</w:t>
            </w:r>
          </w:p>
        </w:tc>
      </w:tr>
    </w:tbl>
    <w:p>
      <w:pPr>
        <w:spacing w:after="2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Accomplishments This Period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Structural shell and building dry-in completed and passed envelope inspection.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Electrical rough-in 80% complete; generator pad poured and dual utility feed conduit run confirmed by the utility company.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Mechanical rough-in (chiller piping, CRAH duct) 65% complete.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Fire suppression pre-action system rough-in passed first-round AHJ inspection.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Planned Next Period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Complete electrical rough-in and schedule switchgear energization inspection.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Finish mechanical rough-in and begin raised-floor substrate installation.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Submit Level 1 commissioning plan to the Commissioning Agent for review.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Confirm badge-access provisioning list for finishes-phase subcontractors with Airport Security.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Budget Snapshot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100"/>
        <w:gridCol w:w="2100"/>
        <w:gridCol w:w="2100"/>
        <w:gridCol w:w="21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Category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Budgeted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Actual to Date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Variance</w:t>
            </w:r>
          </w:p>
        </w:tc>
        <w:tc>
          <w:tcPr>
            <w:tcW w:type="dxa" w:w="21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% Used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Electrical (Power/UPS/Generator)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$1,450,000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$1,180,000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-$270,000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81%</w:t>
            </w:r>
          </w:p>
        </w:tc>
      </w:tr>
      <w:tr>
        <w:tc>
          <w:tcPr>
            <w:tcW w:type="dxa" w:w="2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Mechanical (Cooling)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$980,000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$640,000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-$340,000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65%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Structural / Shell / Sitework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$1,020,000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$1,005,000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-$15,000</w:t>
            </w:r>
          </w:p>
        </w:tc>
        <w:tc>
          <w:tcPr>
            <w:tcW w:type="dxa" w:w="21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99%</w:t>
            </w:r>
          </w:p>
        </w:tc>
      </w:tr>
      <w:tr>
        <w:tc>
          <w:tcPr>
            <w:tcW w:type="dxa" w:w="2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Contingency Remaining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$340,000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$61,000 used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$279,000 remaining</w:t>
            </w:r>
          </w:p>
        </w:tc>
        <w:tc>
          <w:tcPr>
            <w:tcW w:type="dxa" w:w="21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18%</w:t>
            </w:r>
          </w:p>
        </w:tc>
      </w:tr>
    </w:tbl>
    <w:p>
      <w:pPr>
        <w:spacing w:after="2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Top Risks &amp; Issues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3500"/>
        <w:gridCol w:w="1600"/>
        <w:gridCol w:w="3200"/>
        <w:gridCol w:w="1600"/>
      </w:tblGrid>
      <w:tr>
        <w:trPr>
          <w:tblHeader/>
        </w:trPr>
        <w:tc>
          <w:tcPr>
            <w:tcW w:type="dxa" w:w="9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ID</w:t>
            </w:r>
          </w:p>
        </w:tc>
        <w:tc>
          <w:tcPr>
            <w:tcW w:type="dxa" w:w="35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Description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Impact</w:t>
            </w:r>
          </w:p>
        </w:tc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Mitigation / Next Step</w:t>
            </w:r>
          </w:p>
        </w:tc>
        <w:tc>
          <w:tcPr>
            <w:tcW w:type="dxa" w:w="1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Owner</w:t>
            </w:r>
          </w:p>
        </w:tc>
      </w:tr>
      <w:tr>
        <w:tc>
          <w:tcPr>
            <w:tcW w:type="dxa" w:w="9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R3</w:t>
            </w:r>
          </w:p>
        </w:tc>
        <w:tc>
          <w:tcPr>
            <w:tcW w:type="dxa" w:w="3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Medium-voltage switchgear lead time extended by supplier 4 weeks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High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Expedite fee approved; resequencing rough-in tasks to protect Cx start</w:t>
            </w:r>
          </w:p>
        </w:tc>
        <w:tc>
          <w:tcPr>
            <w:tcW w:type="dxa" w:w="1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PM / MEP Engineer</w:t>
            </w:r>
          </w:p>
        </w:tc>
      </w:tr>
      <w:tr>
        <w:tc>
          <w:tcPr>
            <w:tcW w:type="dxa" w:w="9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I2</w:t>
            </w:r>
          </w:p>
        </w:tc>
        <w:tc>
          <w:tcPr>
            <w:tcW w:type="dxa" w:w="35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AHJ requested additional egress-lighting detail before final rough-in sign-off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Medium</w:t>
            </w:r>
          </w:p>
        </w:tc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Revised detail submitted; re-inspection scheduled next week</w:t>
            </w:r>
          </w:p>
        </w:tc>
        <w:tc>
          <w:tcPr>
            <w:tcW w:type="dxa" w:w="1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GC</w:t>
            </w:r>
          </w:p>
        </w:tc>
      </w:tr>
    </w:tbl>
    <w:p>
      <w:pPr>
        <w:spacing w:after="2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Decisions Needed / Escalations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Sponsor approval requested to absorb the 4-week switchgear delay via schedule compression (added weekend shift, GC cost within contingency) rather than pushing Substantial Completion — decision needed within 5 business days.</w:t>
      </w:r>
    </w:p>
    <w:p>
      <w:r>
        <w:br w:type="page"/>
      </w:r>
    </w:p>
    <w:p>
      <w:pPr>
        <w:spacing w:after="40"/>
      </w:pPr>
      <w:r>
        <w:rPr>
          <w:b/>
          <w:bCs/>
          <w:color w:val="44546A"/>
          <w:sz w:val="20"/>
          <w:szCs w:val="20"/>
        </w:rPr>
        <w:t xml:space="preserve">METRO DETROIT AIRPORT — IT CENTER</w:t>
      </w:r>
    </w:p>
    <w:p>
      <w:pPr>
        <w:spacing w:after="40"/>
      </w:pPr>
      <w:r>
        <w:rPr>
          <w:b/>
          <w:bCs/>
          <w:color w:val="1F3864"/>
          <w:sz w:val="34"/>
          <w:szCs w:val="34"/>
        </w:rPr>
        <w:t xml:space="preserve">IT Center Data Center &amp; NOC Build-Out — Project Closeout Report</w:t>
      </w:r>
    </w:p>
    <w:p>
      <w:pPr>
        <w:spacing w:after="220"/>
      </w:pPr>
      <w:r>
        <w:rPr>
          <w:i/>
          <w:iCs/>
          <w:color w:val="44546A"/>
          <w:sz w:val="21"/>
          <w:szCs w:val="21"/>
        </w:rPr>
        <w:t xml:space="preserve">Final Closeout Report — Illustrative Snapshot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Final Summary vs. Baseline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800"/>
        <w:gridCol w:w="2800"/>
        <w:gridCol w:w="2800"/>
      </w:tblGrid>
      <w:tr>
        <w:trPr>
          <w:tblHeader/>
        </w:trPr>
        <w:tc>
          <w:tcPr>
            <w:tcW w:type="dxa" w:w="2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Dimension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Baseline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Final (Actual)</w:t>
            </w:r>
          </w:p>
        </w:tc>
        <w:tc>
          <w:tcPr>
            <w:tcW w:type="dxa" w:w="2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Variance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Schedule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14 Substantial Completion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14 + 6 business days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+6 business days (switchgear lead time; recovered via compression)</w:t>
            </w:r>
          </w:p>
        </w:tc>
      </w:tr>
      <w:tr>
        <w:tc>
          <w:tcPr>
            <w:tcW w:type="dxa" w:w="2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Budget</w:t>
            </w:r>
          </w:p>
        </w:tc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$4,250,000 GMP</w:t>
            </w:r>
          </w:p>
        </w:tc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$4,168,400</w:t>
            </w:r>
          </w:p>
        </w:tc>
        <w:tc>
          <w:tcPr>
            <w:tcW w:type="dxa" w:w="2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-$81,600 (1.9% under GMP)</w:t>
            </w:r>
          </w:p>
        </w:tc>
      </w:tr>
      <w:t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Scope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9,000 sq. ft. data center/NOC shell + N+1 MEP + security rough-in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Delivered as baselined; one approved Change Order for added egress lighting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1 Change Order, $18,200 (within contingency)</w:t>
            </w:r>
          </w:p>
        </w:tc>
      </w:tr>
    </w:tbl>
    <w:p>
      <w:pPr>
        <w:spacing w:after="2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Deliverables Accepted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600"/>
        <w:gridCol w:w="1800"/>
        <w:gridCol w:w="3000"/>
      </w:tblGrid>
      <w:tr>
        <w:trPr>
          <w:tblHeader/>
        </w:trPr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Deliverable</w:t>
            </w:r>
          </w:p>
        </w:tc>
        <w:tc>
          <w:tcPr>
            <w:tcW w:type="dxa" w:w="26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Accepted By</w:t>
            </w:r>
          </w:p>
        </w:tc>
        <w:tc>
          <w:tcPr>
            <w:tcW w:type="dxa" w:w="18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Date</w:t>
            </w:r>
          </w:p>
        </w:tc>
        <w:tc>
          <w:tcPr>
            <w:tcW w:type="dxa" w:w="30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Certificate of Occupancy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 Building Department (AHJ)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14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Issued on first re-inspection</w:t>
            </w:r>
          </w:p>
        </w:tc>
      </w:tr>
      <w:tr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Level 1–4 Commissioning Report</w:t>
            </w:r>
          </w:p>
        </w:tc>
        <w:tc>
          <w:tcPr>
            <w:tcW w:type="dxa" w:w="26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 Center Operations Manager</w:t>
            </w:r>
          </w:p>
        </w:tc>
        <w:tc>
          <w:tcPr>
            <w:tcW w:type="dxa" w:w="18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14</w:t>
            </w:r>
          </w:p>
        </w:tc>
        <w:tc>
          <w:tcPr>
            <w:tcW w:type="dxa" w:w="30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All checklist items passed; two minor punch items closed same week</w:t>
            </w:r>
          </w:p>
        </w:tc>
      </w:tr>
      <w:tr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As-Built Drawings &amp; O&amp;M Manuals</w:t>
            </w:r>
          </w:p>
        </w:tc>
        <w:tc>
          <w:tcPr>
            <w:tcW w:type="dxa" w:w="26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 Center Operations Manager</w:t>
            </w:r>
          </w:p>
        </w:tc>
        <w:tc>
          <w:tcPr>
            <w:tcW w:type="dxa" w:w="18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Month 14</w:t>
            </w:r>
          </w:p>
        </w:tc>
        <w:tc>
          <w:tcPr>
            <w:tcW w:type="dxa" w:w="30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Delivered in hard copy and shared document repository</w:t>
            </w:r>
          </w:p>
        </w:tc>
      </w:tr>
    </w:tbl>
    <w:p>
      <w:pPr>
        <w:spacing w:after="220"/>
      </w:pP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Lessons Learned — What Went Well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Ordering long-lead electrical/mechanical equipment at Notice to Proceed absorbed most supply-chain risk before it could hit the critical path.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Weekly GC site meetings with a standing RFI/submittal log kept design clarifications from stalling rough-in work.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Early, direct coordination with Airport Security on contractor badging avoided access delays during the finishes phase.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Lessons Learned — What Could Improve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Switchgear lead time should have been reconfirmed with the supplier at the 60%-design milestone, not only at order placement.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AHJ egress-lighting requirements surfaced late; a pre-submission code walkthrough with the AHJ earlier in Design Development would have caught this.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Recommendations for Future Projects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For future data-center builds, add a supplier lead-time reconfirmation checkpoint at each design milestone for all long-lead MEP equipment.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Schedule an informal AHJ pre-review at 60% design for any project with life-safety systems (egress, fire suppression) to reduce re-inspection cycles.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Outstanding Items / Transition to Operations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Two minor punch-list items (door hardware adjustment, label plate reorder) — owner: GC, due within 30 days of handover.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sz w:val="21"/>
          <w:szCs w:val="21"/>
        </w:rPr>
        <w:t xml:space="preserve">Transition of the facility to the companion Network &amp; Systems Modernization project for technology fit-out — owner: PM, kickoff scheduled next reporting period.</w:t>
      </w:r>
    </w:p>
    <w:p>
      <w:pPr>
        <w:pStyle w:val="Heading2"/>
        <w:spacing w:after="100" w:before="220"/>
      </w:pPr>
      <w:r>
        <w:rPr>
          <w:b/>
          <w:bCs/>
          <w:color w:val="44546A"/>
          <w:sz w:val="23"/>
          <w:szCs w:val="23"/>
        </w:rPr>
        <w:t xml:space="preserve">Sign-Off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4200"/>
        <w:gridCol w:w="3400"/>
      </w:tblGrid>
      <w:tr>
        <w:trPr>
          <w:tblHeader/>
        </w:trPr>
        <w:tc>
          <w:tcPr>
            <w:tcW w:type="dxa" w:w="3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Role</w:t>
            </w:r>
          </w:p>
        </w:tc>
        <w:tc>
          <w:tcPr>
            <w:tcW w:type="dxa" w:w="42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Name</w:t>
            </w:r>
          </w:p>
        </w:tc>
        <w:tc>
          <w:tcPr>
            <w:tcW w:type="dxa" w:w="3400"/>
            <w:shd w:fill="1F3864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Signature / Date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Executive Sponsor — Director, Facilities &amp; Infrastructure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Project Manager</w:t>
            </w:r>
          </w:p>
        </w:tc>
        <w:tc>
          <w:tcPr>
            <w:tcW w:type="dxa" w:w="42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Lisa Lewandowski</w:t>
            </w:r>
          </w:p>
        </w:tc>
        <w:tc>
          <w:tcPr>
            <w:tcW w:type="dxa" w:w="3400"/>
            <w:shd w:fill="D9E2F3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[Signature / Date]</w:t>
            </w:r>
          </w:p>
        </w:tc>
      </w:tr>
      <w:tr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IT Center Operations Manager (Receiving Owner)</w:t>
            </w:r>
          </w:p>
        </w:tc>
        <w:tc>
          <w:tcPr>
            <w:tcW w:type="dxa" w:w="4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[Name]</w:t>
            </w:r>
          </w:p>
        </w:tc>
        <w:tc>
          <w:tcPr>
            <w:tcW w:type="dxa" w:w="34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[Signature / Date]</w:t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2026-07-24T16:03:44.096Z</dcterms:created>
  <dcterms:modified xsi:type="dcterms:W3CDTF">2026-07-24T16:03:44.096Z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