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[Project Name]</w:t>
      </w:r>
    </w:p>
    <w:p>
      <w:pPr>
        <w:spacing w:after="220"/>
      </w:pPr>
      <w:r>
        <w:rPr>
          <w:i/>
          <w:iCs/>
          <w:color w:val="44546A"/>
          <w:sz w:val="22"/>
          <w:szCs w:val="22"/>
        </w:rPr>
        <w:t xml:space="preserve">Project Charter · Communication Plan · Training/Transition Plan — Fillable Template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Project Type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[Construction/Infrastructure  or  Technology]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[Your Name, PM]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Date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8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[Draft / Approved / Baselined]</w:t>
            </w:r>
          </w:p>
        </w:tc>
      </w:tr>
    </w:tbl>
    <w:p>
      <w:pPr>
        <w:spacing w:after="260"/>
      </w:pP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40" w:before="120"/>
      </w:pPr>
      <w:r>
        <w:rPr>
          <w:i/>
          <w:iCs/>
          <w:color w:val="7F6000"/>
          <w:sz w:val="19"/>
          <w:szCs w:val="19"/>
        </w:rPr>
        <w:t xml:space="preserve">TEMPLATE — replace all bracketed [placeholder] text. This template pairs with the PM Tracking Workbook (schedule, budget, RACI, stakeholders, risks, issues, vendors) and the Status &amp; Closeout Report template. Delete this note box before distributing a completed charter.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1. Project Charter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1.1  Purpose / Business Case</w:t>
      </w:r>
    </w:p>
    <w:p>
      <w:pPr>
        <w:spacing w:after="160"/>
      </w:pPr>
      <w:r>
        <w:rPr>
          <w:sz w:val="21"/>
          <w:szCs w:val="21"/>
        </w:rPr>
        <w:t xml:space="preserve">[State the business problem or opportunity, why this project exists now, and the outcome the organization needs. Tie it to a strategic driver — e.g., capacity, compliance, risk reduction, or operational continuity.]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1.2 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[Objective 1 — specific, measurable outcome]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[Objective 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[Objective 3]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1.3  Success Criteria / KPIs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[KPI or acceptance threshold 1, e.g., on-time within X% of baseline schedule]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[KPI or acceptance threshold 2, e.g., within approved budget +/- X%]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[KPI or acceptance threshold 3, e.g., zero critical defects at handover]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1.4  Sponsor &amp; Project Team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Executive Sponsor:  </w:t>
      </w:r>
      <w:r>
        <w:rPr>
          <w:sz w:val="21"/>
          <w:szCs w:val="21"/>
        </w:rPr>
        <w:t xml:space="preserve">[Executive Sponsor Name / Title]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Project Manager:  </w:t>
      </w:r>
      <w:r>
        <w:rPr>
          <w:sz w:val="21"/>
          <w:szCs w:val="21"/>
        </w:rPr>
        <w:t xml:space="preserve">[Project Manager Name]</w:t>
      </w:r>
    </w:p>
    <w:p>
      <w:pPr>
        <w:spacing w:after="160"/>
      </w:pPr>
      <w:r>
        <w:rPr>
          <w:sz w:val="21"/>
          <w:szCs w:val="21"/>
        </w:rPr>
        <w:t xml:space="preserve">[List core team roles and any cross-functional groups: e.g., Facilities, IT Security, Network Engineering, Procurement, external contractors/vendors.]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1.5  Scope</w:t>
      </w:r>
    </w:p>
    <w:p>
      <w:pPr>
        <w:spacing w:after="60"/>
      </w:pPr>
      <w:r>
        <w:rPr>
          <w:b/>
          <w:bCs/>
          <w:color w:val="44546A"/>
          <w:sz w:val="21"/>
          <w:szCs w:val="21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[In-scope item 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[In-scope item 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[In-scope item 3]</w:t>
      </w:r>
    </w:p>
    <w:p>
      <w:pPr>
        <w:spacing w:after="60" w:before="100"/>
      </w:pPr>
      <w:r>
        <w:rPr>
          <w:b/>
          <w:bCs/>
          <w:color w:val="44546A"/>
          <w:sz w:val="21"/>
          <w:szCs w:val="21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[Explicitly out-of-scope item 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[Explicitly out-of-scope item 2]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1.6  High-Level Milestones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50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[Milestone 1 — e.g., Design/Plans Approved]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[Date]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[Deliverable]</w:t>
            </w:r>
          </w:p>
        </w:tc>
      </w:tr>
      <w:t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[Milestone 2]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[Date]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[Deliverable]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[Milestone 3]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[Date]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[Deliverable]</w:t>
            </w:r>
          </w:p>
        </w:tc>
      </w:tr>
      <w:t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[Final Milestone — Go-Live / Handover]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[Date]</w:t>
            </w:r>
          </w:p>
        </w:tc>
        <w:tc>
          <w:tcPr>
            <w:tcW w:type="dxa" w:w="5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[Deliverable]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1.7 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[Assumption 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[Assumption 2]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1.8 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[Constraint 1 — budget, schedule, regulatory, technical]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[Constraint 2]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1.9  Budget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rPr>
          <w:tblHeader/>
        </w:trPr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Total Approved Budget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[$ amount]</w:t>
            </w:r>
          </w:p>
        </w:tc>
      </w:tr>
      <w:tr>
        <w:tc>
          <w:tcPr>
            <w:tcW w:type="dxa" w:w="7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Contingency Reserve</w:t>
            </w:r>
          </w:p>
        </w:tc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[$ amount / %]</w:t>
            </w:r>
          </w:p>
        </w:tc>
      </w:tr>
      <w:tr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Funding Source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[Source]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1.10  Approval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Executive Sponsor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[Department Head]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[Signature / Date]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2. Stakeholder Communication Management Plan</w:t>
      </w:r>
    </w:p>
    <w:p>
      <w:pPr>
        <w:spacing w:after="160"/>
      </w:pPr>
      <w:r>
        <w:rPr>
          <w:sz w:val="21"/>
          <w:szCs w:val="21"/>
        </w:rPr>
        <w:t xml:space="preserve">[Describe the overall communication approach: cadence philosophy, escalation path, and where documentation of record lives.]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000"/>
        <w:gridCol w:w="1600"/>
        <w:gridCol w:w="1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Information Needs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[Executive Sponsor]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[High-level status, risks, decisions needed]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[Steering meeting]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[Monthly]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[PM]</w:t>
            </w:r>
          </w:p>
        </w:tc>
      </w:tr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[Project Team]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[Task status, blockers]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[Stand-up]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[Weekly]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[PM]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[Vendors/Contractors]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[Schedule, deliverable acceptance]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[Site/vendor meeting]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[Bi-weekly]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[PM]</w:t>
            </w:r>
          </w:p>
        </w:tc>
      </w:tr>
      <w:tr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[End Users/Impacted Staff]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[Change impact, training, cutover dates]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[Email/briefing]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[As needed]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[PM]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3. Quality Management Plan</w:t>
      </w:r>
    </w:p>
    <w:p>
      <w:pPr>
        <w:spacing w:after="160"/>
      </w:pPr>
      <w:r>
        <w:rPr>
          <w:sz w:val="21"/>
          <w:szCs w:val="21"/>
        </w:rPr>
        <w:t xml:space="preserve">[State the quality standards this project must meet — code/regulatory standards, industry standards, technical standards, or organizational standards — and the overall approach to assuring and controlling quality throughout delivery, not just at the end.]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3.1  Quality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[Quality objective 1 — e.g., zero critical defects/non-conformances at acceptance]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[Quality objective 2 — e.g., first-pass inspection/test pass rate target]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[Quality objective 3 — e.g., rework rate threshold]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3.2  Quality Assurance Activities</w:t>
      </w:r>
    </w:p>
    <w:p>
      <w:pPr>
        <w:spacing w:after="160"/>
      </w:pPr>
      <w:r>
        <w:rPr>
          <w:sz w:val="21"/>
          <w:szCs w:val="21"/>
        </w:rPr>
        <w:t xml:space="preserve">[Describe the proactive, process-focused activities used to prevent defects — reviews, audits, standards walkthroughs — performed during delivery, not after.]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000"/>
        <w:gridCol w:w="2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[QA activity 1 — e.g., design review]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[Method]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[Frequency]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  <w:t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[QA activity 2 — e.g., standards/code compliance walkthrough]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[Method]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[Frequency]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[QA activity 3 — e.g., vendor/subcontractor performance audit]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[Method]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[Frequency]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3.3  Quality Control / Inspection &amp; Test Plan</w:t>
      </w:r>
    </w:p>
    <w:p>
      <w:pPr>
        <w:spacing w:after="160"/>
      </w:pPr>
      <w:r>
        <w:rPr>
          <w:sz w:val="21"/>
          <w:szCs w:val="21"/>
        </w:rPr>
        <w:t xml:space="preserve">[Describe the inspection/test checkpoints used to verify each deliverable meets acceptance criteria before it is accepted or the project moves to the next phase.]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600"/>
        <w:gridCol w:w="20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 / Checkpoint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Inspection Method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[Checkpoint 1 — e.g., a specific inspection or test]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[Acceptance criteria]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[Inspection/test method]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  <w:tr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[Checkpoint 2]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[Acceptance criteria]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[Inspection/test method]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[Checkpoint 3]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[Acceptance criteria]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[Inspection/test method]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7"/>
          <w:szCs w:val="27"/>
        </w:rPr>
        <w:t xml:space="preserve">4. Training / Transition / Commissioning Plan</w:t>
      </w:r>
    </w:p>
    <w:p>
      <w:pPr>
        <w:spacing w:after="160"/>
      </w:pPr>
      <w:r>
        <w:rPr>
          <w:sz w:val="21"/>
          <w:szCs w:val="21"/>
        </w:rPr>
        <w:t xml:space="preserve">[Describe how the project's output will be validated, accepted, and handed to the group that will own/operate it going forward — training, documentation, commissioning, or cutover support as applicable.]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18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[Activity 1 — e.g., end-user training session]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[Audience]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[Method]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[Timing]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  <w:tr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[Activity 2 — e.g., punch-list walkthrough]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[Audience]</w:t>
            </w:r>
          </w:p>
        </w:tc>
        <w:tc>
          <w:tcPr>
            <w:tcW w:type="dxa" w:w="2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[Method]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[Timing]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[Activity 3 — e.g., go-live hypercare support]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[Audience]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[Method]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[Timing]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[Owner]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2026-07-24T16:48:40.856Z</dcterms:created>
  <dcterms:modified xsi:type="dcterms:W3CDTF">2026-07-24T16:48:40.857Z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