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Rule="auto" w:line="276"/>
        <w:jc w:val="center"/>
      </w:pPr>
      <w:r>
        <w:rPr>
          <w:rFonts w:ascii="Times New Roman" w:hAnsi="Times New Roman"/>
          <w:b/>
          <w:i w:val="0"/>
          <w:color w:val="1B2A4A"/>
          <w:sz w:val="36"/>
        </w:rPr>
        <w:t>Hypergraph Neural ODEs with Observation Assimilation</w:t>
        <w:br/>
      </w:r>
      <w:r>
        <w:rPr>
          <w:rFonts w:ascii="Times New Roman" w:hAnsi="Times New Roman"/>
          <w:b/>
          <w:i w:val="0"/>
          <w:color w:val="1B2A4A"/>
          <w:sz w:val="36"/>
        </w:rPr>
        <w:t>for Sparse Traffic Speed Imputation</w:t>
      </w:r>
    </w:p>
    <w:p>
      <w:pPr>
        <w:spacing w:before="40" w:after="40" w:lineRule="auto" w:line="276"/>
        <w:jc w:val="center"/>
      </w:pPr>
      <w:r>
        <w:rPr>
          <w:rFonts w:ascii="Times New Roman" w:hAnsi="Times New Roman"/>
          <w:b w:val="0"/>
          <w:i/>
          <w:sz w:val="22"/>
        </w:rPr>
        <w:t>[Author Name]</w:t>
      </w:r>
    </w:p>
    <w:p>
      <w:pPr>
        <w:spacing w:before="0" w:after="200" w:lineRule="auto" w:line="276"/>
        <w:jc w:val="center"/>
      </w:pPr>
      <w:r>
        <w:rPr>
          <w:rFonts w:ascii="Times New Roman" w:hAnsi="Times New Roman"/>
          <w:b w:val="0"/>
          <w:i w:val="0"/>
          <w:sz w:val="20"/>
        </w:rPr>
        <w:t>[Department], [University], [City, Country]</w:t>
      </w:r>
    </w:p>
    <w:p>
      <w:pPr>
        <w:spacing w:before="0" w:after="120" w:lineRule="auto" w:line="276"/>
        <w:pBdr>
          <w:bottom w:val="single" w:sz="6" w:space="1" w:color="1B2A4A"/>
        </w:pBdr>
      </w:pPr>
    </w:p>
    <w:p>
      <w:pPr>
        <w:spacing w:before="80" w:after="40" w:lineRule="auto" w:line="276"/>
        <w:ind w:left="454" w:right="454"/>
        <w:jc w:val="left"/>
      </w:pPr>
      <w:r>
        <w:rPr>
          <w:rFonts w:ascii="Times New Roman" w:hAnsi="Times New Roman"/>
          <w:b/>
          <w:i/>
          <w:sz w:val="20"/>
        </w:rPr>
        <w:t>Abstract</w:t>
      </w:r>
      <w:r>
        <w:rPr>
          <w:rFonts w:ascii="Times New Roman" w:hAnsi="Times New Roman"/>
          <w:b w:val="0"/>
          <w:i w:val="0"/>
          <w:sz w:val="20"/>
        </w:rPr>
        <w:t>—Traffic monitoring infrastructure is rarely complete: sensor failures, budget constraints, and road geometry mean that a significant fraction of road segments lack direct speed measurements at any given time. We present a model that recovers missing speeds from a network of partially observed sensors on the PEMS04 benchmark (307 sensors, 80% unobserved). Our architecture combines three components: (1) a Hypergraph-augmented Graph Attention ODE that models continuous traffic dynamics with both pairwise and multi-node corridor context, (2) a Kalman-style observation assimilation gate that injects real sensor readings into the hidden state at each timestep without leaking ground truth to blind nodes, and (3) a physics-informed loss encoding the LWR flow continuity principle via graph Laplacian regularisation. The full model achieves a blind-node MAE of 5.18 km/h overall and 33.93 km/h during congestion events, outperforming the global-mean baseline (35.99 km/h jam) and IDW spatial interpolation (32.95 km/h jam).</w:t>
      </w:r>
    </w:p>
    <w:p>
      <w:pPr>
        <w:spacing w:before="40" w:after="200" w:lineRule="auto" w:line="276"/>
        <w:ind w:left="454" w:right="454"/>
        <w:jc w:val="left"/>
      </w:pPr>
      <w:r>
        <w:rPr>
          <w:rFonts w:ascii="Times New Roman" w:hAnsi="Times New Roman"/>
          <w:b/>
          <w:i/>
          <w:sz w:val="20"/>
        </w:rPr>
        <w:t>Index Terms</w:t>
      </w:r>
      <w:r>
        <w:rPr>
          <w:rFonts w:ascii="Times New Roman" w:hAnsi="Times New Roman"/>
          <w:b w:val="0"/>
          <w:i/>
          <w:sz w:val="20"/>
        </w:rPr>
        <w:t>—graph neural networks, neural ordinary differential equations, hypergraph convolution, traffic speed imputation, sensor sparsity, data assimilation, physics-informed learning</w:t>
      </w:r>
    </w:p>
    <w:p>
      <w:pPr>
        <w:spacing w:before="240" w:after="80" w:lineRule="auto" w:line="276"/>
        <w:jc w:val="center"/>
      </w:pPr>
      <w:r>
        <w:rPr>
          <w:rFonts w:ascii="Times New Roman" w:hAnsi="Times New Roman"/>
          <w:b/>
          <w:i w:val="0"/>
          <w:color w:val="1B2A4A"/>
          <w:sz w:val="20"/>
        </w:rPr>
        <w:t>I. INTRODUCTION</w:t>
      </w:r>
    </w:p>
    <w:p>
      <w:pPr>
        <w:spacing w:before="0" w:after="80" w:lineRule="auto" w:line="276"/>
        <w:jc w:val="both"/>
      </w:pPr>
      <w:r>
        <w:rPr>
          <w:rFonts w:ascii="Times New Roman" w:hAnsi="Times New Roman"/>
          <w:b w:val="0"/>
          <w:i w:val="0"/>
          <w:sz w:val="24"/>
        </w:rPr>
        <w:t>Urban traffic monitoring systems depend on a fixed network of loop detectors and radar sensors to measure vehicle speed. In practice, a large fraction of these sensors are unavailable at any given moment due to hardware failure, maintenance windows, or gaps in infrastructure deployment. The California PEMS04 dataset, a standard benchmark with 307 sensors across San Francisco Bay Area freeways, illustrates this: realistic deployments often observe only 20–60% of nodes, leaving the remainder as blind sensors whose speeds must be inferred.</w:t>
      </w:r>
    </w:p>
    <w:p>
      <w:pPr>
        <w:spacing w:before="0" w:after="80" w:lineRule="auto" w:line="276"/>
        <w:ind w:firstLine="280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This </w:t>
      </w:r>
      <w:r>
        <w:rPr>
          <w:rFonts w:ascii="Times New Roman" w:hAnsi="Times New Roman"/>
          <w:b/>
          <w:i w:val="0"/>
          <w:sz w:val="24"/>
        </w:rPr>
        <w:t>sparse traffic speed imputation</w:t>
      </w:r>
      <w:r>
        <w:rPr>
          <w:rFonts w:ascii="Times New Roman" w:hAnsi="Times New Roman"/>
          <w:b w:val="0"/>
          <w:i w:val="0"/>
          <w:sz w:val="24"/>
        </w:rPr>
        <w:t>sparse traffic speed imputation</w:t>
      </w:r>
      <w:r>
        <w:rPr>
          <w:rFonts w:ascii="Times New Roman" w:hAnsi="Times New Roman"/>
          <w:b w:val="0"/>
          <w:i w:val="0"/>
          <w:sz w:val="24"/>
        </w:rPr>
        <w:t xml:space="preserve"> task is substantially harder than the well-studied traffic forecasting problem [1]–[3] for two reasons. First, the model must reconstruct entire spatial fields rather than extend known sequences. Second, the key failure mode — congestion — is rare (roughly 8% of timesteps) and spatially localised, making it easy for a model to achieve good average MAE by predicting free-flow everywhere while completely failing on jams.</w:t>
      </w:r>
    </w:p>
    <w:p>
      <w:pPr>
        <w:spacing w:before="0" w:after="80" w:lineRule="auto" w:line="276"/>
        <w:ind w:firstLine="280"/>
        <w:jc w:val="both"/>
      </w:pPr>
      <w:r>
        <w:rPr>
          <w:rFonts w:ascii="Times New Roman" w:hAnsi="Times New Roman"/>
          <w:b w:val="0"/>
          <w:i w:val="0"/>
          <w:sz w:val="24"/>
        </w:rPr>
        <w:t>We address both challenges through a unified architecture: a Graph Neural Ordinary Differential Equation that operates on the road network graph, extended with (a) hyperedge groups capturing multi-sensor corridor dynamics, (b) a learned sensor assimilation step at each timestep, and (c) physics-informed training objectives.</w:t>
      </w:r>
    </w:p>
    <w:p>
      <w:pPr>
        <w:spacing w:before="240" w:after="80" w:lineRule="auto" w:line="276"/>
        <w:jc w:val="center"/>
      </w:pPr>
      <w:r>
        <w:rPr>
          <w:rFonts w:ascii="Times New Roman" w:hAnsi="Times New Roman"/>
          <w:b/>
          <w:i w:val="0"/>
          <w:color w:val="1B2A4A"/>
          <w:sz w:val="20"/>
        </w:rPr>
        <w:t>II. RELATED WORK</w:t>
      </w:r>
    </w:p>
    <w:p>
      <w:pPr>
        <w:spacing w:before="160" w:after="60" w:lineRule="auto" w:line="276"/>
        <w:jc w:val="left"/>
      </w:pPr>
      <w:r>
        <w:rPr>
          <w:rFonts w:ascii="Times New Roman" w:hAnsi="Times New Roman"/>
          <w:b w:val="0"/>
          <w:i/>
          <w:color w:val="1B2A4A"/>
          <w:sz w:val="20"/>
        </w:rPr>
        <w:t>A. Graph Neural Networks for Traffic</w:t>
      </w:r>
    </w:p>
    <w:p>
      <w:pPr>
        <w:spacing w:before="0" w:after="80" w:lineRule="auto" w:line="276"/>
        <w:jc w:val="both"/>
      </w:pPr>
      <w:r>
        <w:rPr>
          <w:rFonts w:ascii="Times New Roman" w:hAnsi="Times New Roman"/>
          <w:b w:val="0"/>
          <w:i w:val="0"/>
          <w:sz w:val="24"/>
        </w:rPr>
        <w:t>Graph Convolutional Networks (GCN) [4] model spatial dependencies in road networks by replacing the fixed normalised adjacency with learned attention in Graph Attention Networks (GAT) [5]. Spatio-temporal models — DCRNN [1], STGCN [2], Graph WaveNet [3] — combine graph convolutions with sequence models for traffic forecasting, achieving 1.5–1.8 km/h MAE on PEMS04. These assume fully-observed sensors; our setting hides 80%.</w:t>
      </w:r>
    </w:p>
    <w:p>
      <w:pPr>
        <w:spacing w:before="160" w:after="60" w:lineRule="auto" w:line="276"/>
        <w:jc w:val="left"/>
      </w:pPr>
      <w:r>
        <w:rPr>
          <w:rFonts w:ascii="Times New Roman" w:hAnsi="Times New Roman"/>
          <w:b w:val="0"/>
          <w:i/>
          <w:color w:val="1B2A4A"/>
          <w:sz w:val="20"/>
        </w:rPr>
        <w:t>B. Neural ODEs</w:t>
      </w:r>
    </w:p>
    <w:p>
      <w:pPr>
        <w:spacing w:before="0" w:after="80" w:lineRule="auto" w:line="276"/>
        <w:jc w:val="both"/>
      </w:pPr>
      <w:r>
        <w:rPr>
          <w:rFonts w:ascii="Times New Roman" w:hAnsi="Times New Roman"/>
          <w:b w:val="0"/>
          <w:i w:val="0"/>
          <w:sz w:val="24"/>
        </w:rPr>
        <w:t>Neural ODEs [6] parameterise the hidden-state derivative as a neural network: dz/dt = f_θ(z, t), solved with an ODE solver. Graph-ODE variants [7] replace the MLP with a GNN, enabling continuous-time spatial-temporal modelling. We use Euler integration (dt = 0.3) rather than adaptive solvers to avoid gradient vanishing from multiple evaluations per backpropagation step.</w:t>
      </w:r>
    </w:p>
    <w:p>
      <w:pPr>
        <w:spacing w:before="160" w:after="60" w:lineRule="auto" w:line="276"/>
        <w:jc w:val="left"/>
      </w:pPr>
      <w:r>
        <w:rPr>
          <w:rFonts w:ascii="Times New Roman" w:hAnsi="Times New Roman"/>
          <w:b w:val="0"/>
          <w:i/>
          <w:color w:val="1B2A4A"/>
          <w:sz w:val="20"/>
        </w:rPr>
        <w:t>C. Hypergraph Neural Networks</w:t>
      </w:r>
    </w:p>
    <w:p>
      <w:pPr>
        <w:spacing w:before="0" w:after="80" w:lineRule="auto" w:line="276"/>
        <w:jc w:val="both"/>
      </w:pPr>
      <w:r>
        <w:rPr>
          <w:rFonts w:ascii="Times New Roman" w:hAnsi="Times New Roman"/>
          <w:b w:val="0"/>
          <w:i w:val="0"/>
          <w:sz w:val="24"/>
        </w:rPr>
        <w:t>HGNN [8] extends graph convolution to hyperedges: X' = D_v^{-1/2} H W_e D_e^{-1} H^T D_v^{-1/2} X Θ, where H is the incidence matrix. Hyperedges naturally capture road corridors — groups of sensors with correlated dynamics beyond pairwise adjacency.</w:t>
      </w:r>
    </w:p>
    <w:p>
      <w:pPr>
        <w:spacing w:before="160" w:after="60" w:lineRule="auto" w:line="276"/>
        <w:jc w:val="left"/>
      </w:pPr>
      <w:r>
        <w:rPr>
          <w:rFonts w:ascii="Times New Roman" w:hAnsi="Times New Roman"/>
          <w:b w:val="0"/>
          <w:i/>
          <w:color w:val="1B2A4A"/>
          <w:sz w:val="20"/>
        </w:rPr>
        <w:t>D. Data Assimilation</w:t>
      </w:r>
    </w:p>
    <w:p>
      <w:pPr>
        <w:spacing w:before="0" w:after="80" w:lineRule="auto" w:line="276"/>
        <w:jc w:val="both"/>
      </w:pPr>
      <w:r>
        <w:rPr>
          <w:rFonts w:ascii="Times New Roman" w:hAnsi="Times New Roman"/>
          <w:b w:val="0"/>
          <w:i w:val="0"/>
          <w:sz w:val="24"/>
        </w:rPr>
        <w:t>Kalman filtering [9] optimally blends model predictions with observations via the Kalman gain. Learned assimilation analogues include GRU-D [10] and ODE-with-jumps [11]. Our gate-based update at each Euler step is a direct neural analogue of the Kalman correction step.</w:t>
      </w:r>
    </w:p>
    <w:p>
      <w:pPr>
        <w:spacing w:before="240" w:after="80" w:lineRule="auto" w:line="276"/>
        <w:jc w:val="center"/>
      </w:pPr>
      <w:r>
        <w:rPr>
          <w:rFonts w:ascii="Times New Roman" w:hAnsi="Times New Roman"/>
          <w:b/>
          <w:i w:val="0"/>
          <w:color w:val="1B2A4A"/>
          <w:sz w:val="20"/>
        </w:rPr>
        <w:t>III. PROBLEM FORMULATION</w:t>
      </w:r>
    </w:p>
    <w:p>
      <w:pPr>
        <w:spacing w:before="0" w:after="80" w:lineRule="auto" w:line="276"/>
        <w:jc w:val="both"/>
      </w:pPr>
      <w:r>
        <w:rPr>
          <w:rFonts w:ascii="Times New Roman" w:hAnsi="Times New Roman"/>
          <w:b w:val="0"/>
          <w:i w:val="0"/>
          <w:sz w:val="24"/>
        </w:rPr>
        <w:t>Let G = (V, E) be the road network graph with N = 307 nodes and edges weighted by Gaussian kernel affinity on pairwise road distance. At each timestep t, sensor i either reports a speed observation s_i(t) (mask_i = 1) or is hidden (mask_i = 0).</w:t>
      </w:r>
    </w:p>
    <w:p>
      <w:pPr>
        <w:spacing w:before="0" w:after="80" w:lineRule="auto" w:line="276"/>
        <w:ind w:firstLine="280"/>
        <w:jc w:val="both"/>
      </w:pPr>
      <w:r>
        <w:rPr>
          <w:rFonts w:ascii="Times New Roman" w:hAnsi="Times New Roman"/>
          <w:b/>
          <w:i w:val="0"/>
          <w:sz w:val="24"/>
        </w:rPr>
        <w:t>Goal.</w:t>
      </w:r>
      <w:r>
        <w:rPr>
          <w:rFonts w:ascii="Times New Roman" w:hAnsi="Times New Roman"/>
          <w:b w:val="0"/>
          <w:i w:val="0"/>
          <w:sz w:val="24"/>
        </w:rPr>
        <w:t>Goal.</w:t>
      </w:r>
      <w:r>
        <w:rPr>
          <w:rFonts w:ascii="Times New Roman" w:hAnsi="Times New Roman"/>
          <w:b w:val="0"/>
          <w:i w:val="0"/>
          <w:sz w:val="24"/>
        </w:rPr>
        <w:t xml:space="preserve"> Given partial observations {s_i(t) : mask_i = 1} for all t and the road graph G, estimate the speed at all blind nodes (mask_i = 0) for all timesteps — with no ground-truth access to blind nodes during inference.</w:t>
      </w:r>
    </w:p>
    <w:p>
      <w:pPr>
        <w:spacing w:before="0" w:after="80" w:lineRule="auto" w:line="276"/>
        <w:ind w:firstLine="280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The </w:t>
      </w:r>
      <w:r>
        <w:rPr>
          <w:rFonts w:ascii="Times New Roman" w:hAnsi="Times New Roman"/>
          <w:b/>
          <w:i w:val="0"/>
          <w:sz w:val="24"/>
        </w:rPr>
        <w:t>6-dimensional input feature</w:t>
      </w:r>
      <w:r>
        <w:rPr>
          <w:rFonts w:ascii="Times New Roman" w:hAnsi="Times New Roman"/>
          <w:b w:val="0"/>
          <w:i w:val="0"/>
          <w:sz w:val="24"/>
        </w:rPr>
        <w:t>6-dimensional input feature</w:t>
      </w:r>
      <w:r>
        <w:rPr>
          <w:rFonts w:ascii="Times New Roman" w:hAnsi="Times New Roman"/>
          <w:b w:val="0"/>
          <w:i w:val="0"/>
          <w:sz w:val="24"/>
        </w:rPr>
        <w:t xml:space="preserve"> vector per node per timestep is: [obs_speed, global_ctx, nbr_ctx, is_observed, 0.25·sin(2πτ), 0.25·cos(2πτ)] where τ = (t mod 288)/288 encodes time-of-day. Temporal features are scaled to 0.25× to prevent the model predicting rush-hour congestion from time alone.</w:t>
      </w:r>
    </w:p>
    <w:p>
      <w:pPr>
        <w:spacing w:before="240" w:after="80" w:lineRule="auto" w:line="276"/>
        <w:jc w:val="center"/>
      </w:pPr>
      <w:r>
        <w:rPr>
          <w:rFonts w:ascii="Times New Roman" w:hAnsi="Times New Roman"/>
          <w:b/>
          <w:i w:val="0"/>
          <w:color w:val="1B2A4A"/>
          <w:sz w:val="20"/>
        </w:rPr>
        <w:t>IV. MODEL ARCHITECTURE</w:t>
      </w:r>
    </w:p>
    <w:p>
      <w:pPr>
        <w:spacing w:before="160" w:after="0" w:lineRule="auto" w:line="276"/>
        <w:jc w:val="center"/>
      </w:pPr>
      <w:r>
        <w:rPr>
          <w:rFonts w:ascii="Courier New" w:hAnsi="Courier New"/>
          <w:sz w:val="15"/>
        </w:rPr>
        <w:t>┌─────────────────────────────────────────────────────────────────────┐</w:t>
        <w:br/>
        <w:t>│  Partial Observations  X_t   |  20% sensors observed · 80% masked  │</w:t>
        <w:br/>
        <w:t>└──────────────────────────┬──────────────────────────────────────────┘</w:t>
        <w:br/>
        <w:t xml:space="preserve">                           │</w:t>
        <w:br/>
        <w:t xml:space="preserve">                           ▼</w:t>
        <w:br/>
        <w:t>┌─────────────────────────────────────────────────────────────────────┐</w:t>
        <w:br/>
        <w:t>│  Hypergraph Conv (HGNN)      |  2-hop corridor hyperedges           │</w:t>
        <w:br/>
        <w:t>└──────────────────────────┬──────────────────────────────────────────┘</w:t>
        <w:br/>
        <w:t xml:space="preserve">                           │</w:t>
        <w:br/>
        <w:t xml:space="preserve">                           ▼</w:t>
        <w:br/>
        <w:t>┌─────────────────────────────────────────────────────────────────────┐</w:t>
        <w:br/>
        <w:t>│  GAT ODE Function            |  GAT₁ → GAT₂ + learnable gate       │</w:t>
        <w:br/>
        <w:t>└──────────────────────────┬──────────────────────────────────────────┘</w:t>
        <w:br/>
        <w:t xml:space="preserve">                           │</w:t>
        <w:br/>
        <w:t xml:space="preserve">                           ▼</w:t>
        <w:br/>
        <w:t>┌─────────────────────────────────────────────────────────────────────┐</w:t>
        <w:br/>
        <w:t>│  Neural ODE Solver           |  Euler integration  Δt = 0.3        │</w:t>
        <w:br/>
        <w:t>└──────────────────────────┬──────────────────────────────────────────┘</w:t>
        <w:br/>
        <w:t xml:space="preserve">                           │</w:t>
        <w:br/>
        <w:t xml:space="preserve">                           ▼</w:t>
        <w:br/>
        <w:t>┌─────────────────────────────────────────────────────────────────────┐</w:t>
        <w:br/>
        <w:t>│  Observation Assimilation    |  GRU gate · fuses h_t with sensors  │</w:t>
        <w:br/>
        <w:t>└──────────────────────────┬──────────────────────────────────────────┘</w:t>
        <w:br/>
        <w:t xml:space="preserve">                           │</w:t>
        <w:br/>
        <w:t xml:space="preserve">                           ▼</w:t>
        <w:br/>
        <w:t>┌─────────────────────────────────────────────────────────────────────┐</w:t>
        <w:br/>
        <w:t>│  Imputed Speeds  X̂_t         |  full reconstruction · 307 nodes    │</w:t>
        <w:br/>
        <w:t>└──────────────────────────╌──────────────────────────────────────────┘</w:t>
        <w:br/>
        <w:t xml:space="preserve">                           ╌  (backpropagation)</w:t>
        <w:br/>
        <w:t>┌─────────────────────────────────────────────────────────────────────┐</w:t>
        <w:br/>
        <w:t>│  Loss = λ₁·JAM-MSE  +  λ₂·Temporal Smooth  +  λ₃·Graph Laplacian  │</w:t>
        <w:br/>
        <w:t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40" w:after="200" w:lineRule="auto" w:line="276"/>
        <w:jc w:val="center"/>
      </w:pPr>
      <w:r>
        <w:rPr>
          <w:rFonts w:ascii="Times New Roman" w:hAnsi="Times New Roman"/>
          <w:b w:val="0"/>
          <w:i/>
          <w:color w:val="444444"/>
          <w:sz w:val="18"/>
        </w:rPr>
        <w:t>Fig. 1.  CTH-NODE architecture overview.</w:t>
      </w:r>
    </w:p>
    <w:p>
      <w:pPr>
        <w:spacing w:before="160" w:after="60" w:lineRule="auto" w:line="276"/>
        <w:jc w:val="left"/>
      </w:pPr>
      <w:r>
        <w:rPr>
          <w:rFonts w:ascii="Times New Roman" w:hAnsi="Times New Roman"/>
          <w:b w:val="0"/>
          <w:i/>
          <w:color w:val="1B2A4A"/>
          <w:sz w:val="20"/>
        </w:rPr>
        <w:t>A. Input Encoder</w:t>
      </w:r>
    </w:p>
    <w:p>
      <w:pPr>
        <w:spacing w:before="0" w:after="80" w:lineRule="auto" w:line="276"/>
        <w:jc w:val="both"/>
      </w:pPr>
      <w:r>
        <w:rPr>
          <w:rFonts w:ascii="Times New Roman" w:hAnsi="Times New Roman"/>
          <w:b w:val="0"/>
          <w:i w:val="0"/>
          <w:sz w:val="24"/>
        </w:rPr>
        <w:t>A shared linear layer maps 6-dimensional inputs to hidden dimension H = 64 for all N nodes simultaneously: z_0 = W_enc · x_0 ∈ R^{N×H}.</w:t>
      </w:r>
    </w:p>
    <w:p>
      <w:pPr>
        <w:spacing w:before="160" w:after="60" w:lineRule="auto" w:line="276"/>
        <w:jc w:val="left"/>
      </w:pPr>
      <w:r>
        <w:rPr>
          <w:rFonts w:ascii="Times New Roman" w:hAnsi="Times New Roman"/>
          <w:b w:val="0"/>
          <w:i/>
          <w:color w:val="1B2A4A"/>
          <w:sz w:val="20"/>
        </w:rPr>
        <w:t>B. Graph Attention Layer</w:t>
      </w:r>
    </w:p>
    <w:p>
      <w:pPr>
        <w:spacing w:before="0" w:after="80" w:lineRule="auto" w:line="276"/>
        <w:jc w:val="both"/>
      </w:pPr>
      <w:r>
        <w:rPr>
          <w:rFonts w:ascii="Times New Roman" w:hAnsi="Times New Roman"/>
          <w:b w:val="0"/>
          <w:i w:val="0"/>
          <w:sz w:val="24"/>
        </w:rPr>
        <w:t>Pairwise attention on the road graph with temperature τ = 2:</w:t>
      </w:r>
    </w:p>
    <w:p>
      <w:pPr>
        <w:spacing w:before="0" w:after="80" w:lineRule="auto" w:line="276"/>
        <w:ind w:firstLine="280"/>
        <w:jc w:val="both"/>
      </w:pPr>
      <w:r>
        <w:rPr>
          <w:rFonts w:ascii="Times New Roman" w:hAnsi="Times New Roman"/>
          <w:b w:val="0"/>
          <w:i w:val="0"/>
          <w:sz w:val="24"/>
        </w:rPr>
        <w:t>e_ij = LeakyReLU(a_src(Wh_i) + a_dst(Wh_j)),</w:t>
      </w:r>
    </w:p>
    <w:p>
      <w:pPr>
        <w:spacing w:before="0" w:after="80" w:lineRule="auto" w:line="276"/>
        <w:ind w:firstLine="280"/>
        <w:jc w:val="both"/>
      </w:pPr>
      <w:r>
        <w:rPr>
          <w:rFonts w:ascii="Times New Roman" w:hAnsi="Times New Roman"/>
          <w:b w:val="0"/>
          <w:i w:val="0"/>
          <w:sz w:val="24"/>
        </w:rPr>
        <w:t>α_ij = softmax(e_ij / τ) over road neighbours of i.</w:t>
      </w:r>
    </w:p>
    <w:p>
      <w:pPr>
        <w:spacing w:before="0" w:after="80" w:lineRule="auto" w:line="276"/>
        <w:ind w:firstLine="280"/>
        <w:jc w:val="both"/>
      </w:pPr>
      <w:r>
        <w:rPr>
          <w:rFonts w:ascii="Times New Roman" w:hAnsi="Times New Roman"/>
          <w:b w:val="0"/>
          <w:i w:val="0"/>
          <w:sz w:val="24"/>
        </w:rPr>
        <w:t>Non-edges are masked to −∞ before softmax. Temperature τ = 2 prevents collapse to a single neighbour, which causes runaway ODE oscillation after jam events.</w:t>
      </w:r>
    </w:p>
    <w:p>
      <w:pPr>
        <w:spacing w:before="160" w:after="60" w:lineRule="auto" w:line="276"/>
        <w:jc w:val="left"/>
      </w:pPr>
      <w:r>
        <w:rPr>
          <w:rFonts w:ascii="Times New Roman" w:hAnsi="Times New Roman"/>
          <w:b w:val="0"/>
          <w:i/>
          <w:color w:val="1B2A4A"/>
          <w:sz w:val="20"/>
        </w:rPr>
        <w:t>C. Gated Hypergraph Convolution</w:t>
      </w:r>
    </w:p>
    <w:p>
      <w:pPr>
        <w:spacing w:before="0" w:after="80" w:lineRule="auto" w:line="276"/>
        <w:jc w:val="both"/>
      </w:pPr>
      <w:r>
        <w:rPr>
          <w:rFonts w:ascii="Times New Roman" w:hAnsi="Times New Roman"/>
          <w:b w:val="0"/>
          <w:i w:val="0"/>
          <w:sz w:val="24"/>
        </w:rPr>
        <w:t>A hyperedge for node i contains i and all 2-hop reachable neighbours. The normalised convolution operator H_conv = D_v^{-1/2} H D_e^{-1} H^T D_v^{-1/2} is pre-computed once. A learnable gate g = sigmoid(w), initialised at w = −2 (g ≈ 0.12), controls the contribution of the hypergraph branch: h = h_GAT + g · HypConv(x). The gate starts near-closed to prevent over-smoothing at jam nodes — a jammed node in a 2-hop hyperedge of 20 free-flowing corridor members would be averaged toward free-flow without it.</w:t>
      </w:r>
    </w:p>
    <w:p>
      <w:pPr>
        <w:spacing w:before="160" w:after="60" w:lineRule="auto" w:line="276"/>
        <w:jc w:val="left"/>
      </w:pPr>
      <w:r>
        <w:rPr>
          <w:rFonts w:ascii="Times New Roman" w:hAnsi="Times New Roman"/>
          <w:b w:val="0"/>
          <w:i/>
          <w:color w:val="1B2A4A"/>
          <w:sz w:val="20"/>
        </w:rPr>
        <w:t>D. ODE Function and Euler Integration</w:t>
      </w:r>
    </w:p>
    <w:p>
      <w:pPr>
        <w:spacing w:before="0" w:after="80" w:lineRule="auto" w:line="276"/>
        <w:jc w:val="both"/>
      </w:pPr>
      <w:r>
        <w:rPr>
          <w:rFonts w:ascii="Times New Roman" w:hAnsi="Times New Roman"/>
          <w:b w:val="0"/>
          <w:i w:val="0"/>
          <w:sz w:val="24"/>
        </w:rPr>
        <w:t>The ODE function: f_θ(z) = LayerNorm(Tanh(GAT_2(Tanh(GAT_1(z)))) + g · HypConv(z)).</w:t>
      </w:r>
    </w:p>
    <w:p>
      <w:pPr>
        <w:spacing w:before="0" w:after="80" w:lineRule="auto" w:line="276"/>
        <w:ind w:firstLine="280"/>
        <w:jc w:val="both"/>
      </w:pPr>
      <w:r>
        <w:rPr>
          <w:rFonts w:ascii="Times New Roman" w:hAnsi="Times New Roman"/>
          <w:b w:val="0"/>
          <w:i w:val="0"/>
          <w:sz w:val="24"/>
        </w:rPr>
        <w:t>Euler step: z_{t+1} = z_t + 0.3 · f_θ(z_t). The function returns the derivative only; the residual is added by the Euler step. dt = 0.3 dampens hidden-state momentum.</w:t>
      </w:r>
    </w:p>
    <w:p>
      <w:pPr>
        <w:spacing w:before="160" w:after="60" w:lineRule="auto" w:line="276"/>
        <w:jc w:val="left"/>
      </w:pPr>
      <w:r>
        <w:rPr>
          <w:rFonts w:ascii="Times New Roman" w:hAnsi="Times New Roman"/>
          <w:b w:val="0"/>
          <w:i/>
          <w:color w:val="1B2A4A"/>
          <w:sz w:val="20"/>
        </w:rPr>
        <w:t>E. Observation Assimilation</w:t>
      </w:r>
    </w:p>
    <w:p>
      <w:pPr>
        <w:spacing w:before="0" w:after="80" w:lineRule="auto" w:line="276"/>
        <w:jc w:val="both"/>
      </w:pPr>
      <w:r>
        <w:rPr>
          <w:rFonts w:ascii="Times New Roman" w:hAnsi="Times New Roman"/>
          <w:b w:val="0"/>
          <w:i w:val="0"/>
          <w:sz w:val="24"/>
        </w:rPr>
        <w:t>After each Euler step: z_obs = W_obs · x_{t+1}; gate = σ(W_g [z; z_obs]); update = gate ⊙ (z_obs − z) ⊙ obs_mask; z ← z + update. The obs_mask zeros updates for blind nodes, preventing them from assimilating their own zero observations. The gate is a neural Kalman gain that learns how much to trust the new sensor reading versus the ODE prediction.</w:t>
      </w:r>
    </w:p>
    <w:p>
      <w:pPr>
        <w:spacing w:before="160" w:after="60" w:lineRule="auto" w:line="276"/>
        <w:jc w:val="left"/>
      </w:pPr>
      <w:r>
        <w:rPr>
          <w:rFonts w:ascii="Times New Roman" w:hAnsi="Times New Roman"/>
          <w:b w:val="0"/>
          <w:i/>
          <w:color w:val="1B2A4A"/>
          <w:sz w:val="20"/>
        </w:rPr>
        <w:t>F. Decoder</w:t>
      </w:r>
    </w:p>
    <w:p>
      <w:pPr>
        <w:spacing w:before="0" w:after="80" w:lineRule="auto" w:line="276"/>
        <w:jc w:val="both"/>
      </w:pPr>
      <w:r>
        <w:rPr>
          <w:rFonts w:ascii="Times New Roman" w:hAnsi="Times New Roman"/>
          <w:b w:val="0"/>
          <w:i w:val="0"/>
          <w:sz w:val="24"/>
        </w:rPr>
        <w:t>A final linear layer maps hidden state to speed: ŝ_i(t) = W_dec · z_i(t) ∈ R.</w:t>
      </w:r>
    </w:p>
    <w:p>
      <w:pPr>
        <w:spacing w:before="240" w:after="80" w:lineRule="auto" w:line="276"/>
        <w:jc w:val="center"/>
      </w:pPr>
      <w:r>
        <w:rPr>
          <w:rFonts w:ascii="Times New Roman" w:hAnsi="Times New Roman"/>
          <w:b/>
          <w:i w:val="0"/>
          <w:color w:val="1B2A4A"/>
          <w:sz w:val="20"/>
        </w:rPr>
        <w:t>V. TRAINING</w:t>
      </w:r>
    </w:p>
    <w:p>
      <w:pPr>
        <w:spacing w:before="160" w:after="60" w:lineRule="auto" w:line="276"/>
        <w:jc w:val="left"/>
      </w:pPr>
      <w:r>
        <w:rPr>
          <w:rFonts w:ascii="Times New Roman" w:hAnsi="Times New Roman"/>
          <w:b w:val="0"/>
          <w:i/>
          <w:color w:val="1B2A4A"/>
          <w:sz w:val="20"/>
        </w:rPr>
        <w:t>A. Three-Term Loss Function</w:t>
      </w:r>
    </w:p>
    <w:p>
      <w:pPr>
        <w:spacing w:before="0" w:after="80" w:lineRule="auto" w:line="276"/>
        <w:jc w:val="both"/>
      </w:pPr>
      <w:r>
        <w:rPr>
          <w:rFonts w:ascii="Times New Roman" w:hAnsi="Times New Roman"/>
          <w:b/>
          <w:i w:val="0"/>
          <w:sz w:val="24"/>
        </w:rPr>
        <w:t>Jam-weighted MSE:</w:t>
      </w:r>
      <w:r>
        <w:rPr>
          <w:rFonts w:ascii="Times New Roman" w:hAnsi="Times New Roman"/>
          <w:b w:val="0"/>
          <w:i w:val="0"/>
          <w:sz w:val="24"/>
        </w:rPr>
        <w:t>Jam-weighted MSE:</w:t>
      </w:r>
      <w:r>
        <w:rPr>
          <w:rFonts w:ascii="Times New Roman" w:hAnsi="Times New Roman"/>
          <w:b w:val="0"/>
          <w:i w:val="0"/>
          <w:sz w:val="24"/>
        </w:rPr>
        <w:t xml:space="preserve"> L_obs = mean(((ŝ − s) ⊙ sup_mask)² ⊙ w), w = 4 if s &lt; 40 km/h (jam), else 1. The 4× weight compensates for the 12:1 free-flow:jam ratio.</w:t>
      </w:r>
    </w:p>
    <w:p>
      <w:pPr>
        <w:spacing w:before="0" w:after="80" w:lineRule="auto" w:line="276"/>
        <w:ind w:firstLine="280"/>
        <w:jc w:val="both"/>
      </w:pPr>
      <w:r>
        <w:rPr>
          <w:rFonts w:ascii="Times New Roman" w:hAnsi="Times New Roman"/>
          <w:b/>
          <w:i w:val="0"/>
          <w:sz w:val="24"/>
        </w:rPr>
        <w:t>Temporal smoothness (λ = 0.60):</w:t>
      </w:r>
      <w:r>
        <w:rPr>
          <w:rFonts w:ascii="Times New Roman" w:hAnsi="Times New Roman"/>
          <w:b w:val="0"/>
          <w:i w:val="0"/>
          <w:sz w:val="24"/>
        </w:rPr>
        <w:t>Temporal smoothness (λ = 0.60):</w:t>
      </w:r>
      <w:r>
        <w:rPr>
          <w:rFonts w:ascii="Times New Roman" w:hAnsi="Times New Roman"/>
          <w:b w:val="0"/>
          <w:i w:val="0"/>
          <w:sz w:val="24"/>
        </w:rPr>
        <w:t xml:space="preserve"> L_smooth = mean((ŝ_{t+1} − ŝ_t)²). Penalises step-to-step jumps, suppressing post-jam oscillation.</w:t>
      </w:r>
    </w:p>
    <w:p>
      <w:pPr>
        <w:spacing w:before="0" w:after="80" w:lineRule="auto" w:line="276"/>
        <w:ind w:firstLine="280"/>
        <w:jc w:val="both"/>
      </w:pPr>
      <w:r>
        <w:rPr>
          <w:rFonts w:ascii="Times New Roman" w:hAnsi="Times New Roman"/>
          <w:b/>
          <w:i w:val="0"/>
          <w:sz w:val="24"/>
        </w:rPr>
        <w:t>Graph Laplacian physics (λ = 0.02):</w:t>
      </w:r>
      <w:r>
        <w:rPr>
          <w:rFonts w:ascii="Times New Roman" w:hAnsi="Times New Roman"/>
          <w:b w:val="0"/>
          <w:i w:val="0"/>
          <w:sz w:val="24"/>
        </w:rPr>
        <w:t>Graph Laplacian physics (λ = 0.02):</w:t>
      </w:r>
      <w:r>
        <w:rPr>
          <w:rFonts w:ascii="Times New Roman" w:hAnsi="Times New Roman"/>
          <w:b w:val="0"/>
          <w:i w:val="0"/>
          <w:sz w:val="24"/>
        </w:rPr>
        <w:t xml:space="preserve"> L_phys = mean(||L_sym · v||²) = Σ_i (v_i − mean_nbr(v_i))². Based on LWR kinematic wave theory [12]: speed varies continuously along roads.</w:t>
      </w:r>
    </w:p>
    <w:p>
      <w:pPr>
        <w:spacing w:before="0" w:after="80" w:lineRule="auto" w:line="276"/>
        <w:ind w:firstLine="280"/>
        <w:jc w:val="both"/>
      </w:pPr>
      <w:r>
        <w:rPr>
          <w:rFonts w:ascii="Times New Roman" w:hAnsi="Times New Roman"/>
          <w:b w:val="0"/>
          <w:i w:val="0"/>
          <w:sz w:val="24"/>
        </w:rPr>
        <w:t>Total: L = L_obs + 0.60 · L_smooth + 0.02 · L_phys.</w:t>
      </w:r>
    </w:p>
    <w:p>
      <w:pPr>
        <w:spacing w:before="160" w:after="60" w:lineRule="auto" w:line="276"/>
        <w:jc w:val="left"/>
      </w:pPr>
      <w:r>
        <w:rPr>
          <w:rFonts w:ascii="Times New Roman" w:hAnsi="Times New Roman"/>
          <w:b w:val="0"/>
          <w:i/>
          <w:color w:val="1B2A4A"/>
          <w:sz w:val="20"/>
        </w:rPr>
        <w:t>B. Curriculum Masking</w:t>
      </w:r>
    </w:p>
    <w:p>
      <w:pPr>
        <w:spacing w:before="0" w:after="80" w:lineRule="auto" w:line="276"/>
        <w:jc w:val="both"/>
      </w:pPr>
      <w:r>
        <w:rPr>
          <w:rFonts w:ascii="Times New Roman" w:hAnsi="Times New Roman"/>
          <w:b w:val="0"/>
          <w:i w:val="0"/>
          <w:sz w:val="24"/>
        </w:rPr>
        <w:t>At each batch, 15% of observed nodes are randomly pseudo-blinded: their speed, nbr_ctx, and is_observed features are zeroed, the assimilation gate excludes them, and loss is computed on their known ground truth. This ensures gradients flow through the blind-node code path at every update.</w:t>
      </w:r>
    </w:p>
    <w:p>
      <w:pPr>
        <w:spacing w:before="160" w:after="60" w:lineRule="auto" w:line="276"/>
        <w:jc w:val="left"/>
      </w:pPr>
      <w:r>
        <w:rPr>
          <w:rFonts w:ascii="Times New Roman" w:hAnsi="Times New Roman"/>
          <w:b w:val="0"/>
          <w:i/>
          <w:color w:val="1B2A4A"/>
          <w:sz w:val="20"/>
        </w:rPr>
        <w:t>C. Jam-Biased Sampling</w:t>
      </w:r>
    </w:p>
    <w:p>
      <w:pPr>
        <w:spacing w:before="0" w:after="80" w:lineRule="auto" w:line="276"/>
        <w:jc w:val="both"/>
      </w:pPr>
      <w:r>
        <w:rPr>
          <w:rFonts w:ascii="Times New Roman" w:hAnsi="Times New Roman"/>
          <w:b w:val="0"/>
          <w:i w:val="0"/>
          <w:sz w:val="24"/>
        </w:rPr>
        <w:t>50% of training batches are forced to start at timesteps containing at least one jam event. Without this, random sampling sees jams in only ~8% of batches, providing insufficient gradient signal even with the 4× loss weight.</w:t>
      </w:r>
    </w:p>
    <w:p>
      <w:pPr>
        <w:spacing w:before="160" w:after="60" w:lineRule="auto" w:line="276"/>
        <w:jc w:val="left"/>
      </w:pPr>
      <w:r>
        <w:rPr>
          <w:rFonts w:ascii="Times New Roman" w:hAnsi="Times New Roman"/>
          <w:b w:val="0"/>
          <w:i/>
          <w:color w:val="1B2A4A"/>
          <w:sz w:val="20"/>
        </w:rPr>
        <w:t>D. Optimiser</w:t>
      </w:r>
    </w:p>
    <w:p>
      <w:pPr>
        <w:spacing w:before="0" w:after="80" w:lineRule="auto" w:line="276"/>
        <w:jc w:val="both"/>
      </w:pPr>
      <w:r>
        <w:rPr>
          <w:rFonts w:ascii="Times New Roman" w:hAnsi="Times New Roman"/>
          <w:b w:val="0"/>
          <w:i w:val="0"/>
          <w:sz w:val="24"/>
        </w:rPr>
        <w:t>Adam (lr = 3×10^{-4}, weight decay = 10^{-4}), cosine annealing (T_max = 400) over 800 epochs, gradient clipping at norm 1.0. Gradients accumulated over 4 windows per update to reduce jam/free-flow batch variance.</w:t>
      </w:r>
    </w:p>
    <w:p>
      <w:pPr>
        <w:spacing w:before="240" w:after="80" w:lineRule="auto" w:line="276"/>
        <w:jc w:val="center"/>
      </w:pPr>
      <w:r>
        <w:rPr>
          <w:rFonts w:ascii="Times New Roman" w:hAnsi="Times New Roman"/>
          <w:b/>
          <w:i w:val="0"/>
          <w:color w:val="1B2A4A"/>
          <w:sz w:val="20"/>
        </w:rPr>
        <w:t>VI. EXPERIMENTS</w:t>
      </w:r>
    </w:p>
    <w:p>
      <w:pPr>
        <w:spacing w:before="160" w:after="60" w:lineRule="auto" w:line="276"/>
        <w:jc w:val="left"/>
      </w:pPr>
      <w:r>
        <w:rPr>
          <w:rFonts w:ascii="Times New Roman" w:hAnsi="Times New Roman"/>
          <w:b w:val="0"/>
          <w:i/>
          <w:color w:val="1B2A4A"/>
          <w:sz w:val="20"/>
        </w:rPr>
        <w:t>A. Dataset</w:t>
      </w:r>
    </w:p>
    <w:p>
      <w:pPr>
        <w:spacing w:before="0" w:after="80" w:lineRule="auto" w:line="276"/>
        <w:jc w:val="both"/>
      </w:pPr>
      <w:r>
        <w:rPr>
          <w:rFonts w:ascii="Times New Roman" w:hAnsi="Times New Roman"/>
          <w:b w:val="0"/>
          <w:i w:val="0"/>
          <w:sz w:val="24"/>
        </w:rPr>
        <w:t>PEMS04 — 307 sensors, SF Bay Area, 5-minute intervals (~17 days, 5,000 timesteps). Speed channel extracted (channel index 2), z-score normalised. 80% sensors randomly masked (seed = 42), yielding ~61 observed and ~246 blind nodes.</w:t>
      </w:r>
    </w:p>
    <w:p>
      <w:pPr>
        <w:spacing w:before="0" w:after="80" w:lineRule="auto" w:line="276"/>
        <w:ind w:firstLine="280"/>
        <w:jc w:val="both"/>
      </w:pPr>
      <w:r>
        <w:rPr>
          <w:rFonts w:ascii="Times New Roman" w:hAnsi="Times New Roman"/>
          <w:b w:val="0"/>
          <w:i w:val="0"/>
          <w:sz w:val="24"/>
        </w:rPr>
        <w:t>Split: Train t = 0–3999, Validation t = 4000–4239, Evaluation t = 4500–4949 (no overlap, 500-step buffer).</w:t>
      </w:r>
    </w:p>
    <w:p>
      <w:pPr>
        <w:spacing w:before="160" w:after="60" w:lineRule="auto" w:line="276"/>
        <w:jc w:val="left"/>
      </w:pPr>
      <w:r>
        <w:rPr>
          <w:rFonts w:ascii="Times New Roman" w:hAnsi="Times New Roman"/>
          <w:b w:val="0"/>
          <w:i/>
          <w:color w:val="1B2A4A"/>
          <w:sz w:val="20"/>
        </w:rPr>
        <w:t>B. Baselines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rHeight w:hRule="exact" w:val="320"/>
        </w:trPr>
        <w:tc>
          <w:tcPr>
            <w:tcW w:type="dxa" w:w="4513"/>
            <w:tcBorders>
              <w:top w:val="none" w:sz="0" w:space="0" w:color="000000"/>
            </w:tcBorders>
            <w:tcBorders>
              <w:bottom w:val="none" w:sz="0" w:space="0" w:color="000000"/>
            </w:tcBorders>
            <w:tcBorders>
              <w:left w:val="none" w:sz="0" w:space="0" w:color="000000"/>
            </w:tcBorders>
            <w:tcBorders>
              <w:right w:val="none" w:sz="0" w:space="0" w:color="000000"/>
            </w:tcBorders>
            <w:tcBorders>
              <w:insideH w:val="none" w:sz="0" w:space="0" w:color="000000"/>
            </w:tcBorders>
            <w:tcBorders>
              <w:insideV w:val="none" w:sz="0" w:space="0" w:color="000000"/>
            </w:tcBorders>
            <w:tcBorders>
              <w:top w:val="single" w:sz="8" w:space="0" w:color="000000"/>
              <w:bottom w:val="single" w:sz="4" w:space="0" w:color="666666"/>
              <w:left w:val="none" w:sz="0" w:space="0" w:color="000000"/>
              <w:right w:val="none" w:sz="0" w:space="0" w:color="000000"/>
            </w:tcBorders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Baseline</w:t>
            </w:r>
          </w:p>
        </w:tc>
        <w:tc>
          <w:tcPr>
            <w:tcW w:type="dxa" w:w="4513"/>
            <w:tcBorders>
              <w:top w:val="none" w:sz="0" w:space="0" w:color="000000"/>
            </w:tcBorders>
            <w:tcBorders>
              <w:bottom w:val="none" w:sz="0" w:space="0" w:color="000000"/>
            </w:tcBorders>
            <w:tcBorders>
              <w:left w:val="none" w:sz="0" w:space="0" w:color="000000"/>
            </w:tcBorders>
            <w:tcBorders>
              <w:right w:val="none" w:sz="0" w:space="0" w:color="000000"/>
            </w:tcBorders>
            <w:tcBorders>
              <w:insideH w:val="none" w:sz="0" w:space="0" w:color="000000"/>
            </w:tcBorders>
            <w:tcBorders>
              <w:insideV w:val="none" w:sz="0" w:space="0" w:color="000000"/>
            </w:tcBorders>
            <w:tcBorders>
              <w:top w:val="single" w:sz="8" w:space="0" w:color="000000"/>
              <w:bottom w:val="single" w:sz="4" w:space="0" w:color="666666"/>
              <w:left w:val="none" w:sz="0" w:space="0" w:color="000000"/>
              <w:right w:val="none" w:sz="0" w:space="0" w:color="000000"/>
            </w:tcBorders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Description</w:t>
            </w:r>
          </w:p>
        </w:tc>
      </w:tr>
      <w:tr>
        <w:tc>
          <w:tcPr>
            <w:tcW w:type="dxa" w:w="4513"/>
            <w:tcBorders>
              <w:top w:val="none" w:sz="0" w:space="0" w:color="000000"/>
            </w:tcBorders>
            <w:tcBorders>
              <w:bottom w:val="none" w:sz="0" w:space="0" w:color="000000"/>
            </w:tcBorders>
            <w:tcBorders>
              <w:left w:val="none" w:sz="0" w:space="0" w:color="000000"/>
            </w:tcBorders>
            <w:tcBorders>
              <w:right w:val="none" w:sz="0" w:space="0" w:color="000000"/>
            </w:tcBorders>
            <w:tcBorders>
              <w:insideH w:val="none" w:sz="0" w:space="0" w:color="000000"/>
            </w:tcBorders>
            <w:tcBorders>
              <w:insideV w:val="none" w:sz="0" w:space="0" w:color="000000"/>
            </w:tcBorders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Global mean</w:t>
            </w:r>
          </w:p>
        </w:tc>
        <w:tc>
          <w:tcPr>
            <w:tcW w:type="dxa" w:w="4513"/>
            <w:tcBorders>
              <w:top w:val="none" w:sz="0" w:space="0" w:color="000000"/>
            </w:tcBorders>
            <w:tcBorders>
              <w:bottom w:val="none" w:sz="0" w:space="0" w:color="000000"/>
            </w:tcBorders>
            <w:tcBorders>
              <w:left w:val="none" w:sz="0" w:space="0" w:color="000000"/>
            </w:tcBorders>
            <w:tcBorders>
              <w:right w:val="none" w:sz="0" w:space="0" w:color="000000"/>
            </w:tcBorders>
            <w:tcBorders>
              <w:insideH w:val="none" w:sz="0" w:space="0" w:color="000000"/>
            </w:tcBorders>
            <w:tcBorders>
              <w:insideV w:val="none" w:sz="0" w:space="0" w:color="000000"/>
            </w:tcBorders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Predict μ (global mean speed) for all blind nodes at all times</w:t>
            </w:r>
          </w:p>
        </w:tc>
      </w:tr>
      <w:tr>
        <w:tc>
          <w:tcPr>
            <w:tcW w:type="dxa" w:w="4513"/>
            <w:tcBorders>
              <w:top w:val="none" w:sz="0" w:space="0" w:color="000000"/>
            </w:tcBorders>
            <w:tcBorders>
              <w:bottom w:val="none" w:sz="0" w:space="0" w:color="000000"/>
            </w:tcBorders>
            <w:tcBorders>
              <w:left w:val="none" w:sz="0" w:space="0" w:color="000000"/>
            </w:tcBorders>
            <w:tcBorders>
              <w:right w:val="none" w:sz="0" w:space="0" w:color="000000"/>
            </w:tcBorders>
            <w:tcBorders>
              <w:insideH w:val="none" w:sz="0" w:space="0" w:color="000000"/>
            </w:tcBorders>
            <w:tcBorders>
              <w:insideV w:val="none" w:sz="0" w:space="0" w:color="000000"/>
            </w:tcBorders>
            <w:tcBorders>
              <w:top w:val="none" w:sz="0" w:space="0" w:color="000000"/>
              <w:bottom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8F8F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IDW</w:t>
            </w:r>
          </w:p>
        </w:tc>
        <w:tc>
          <w:tcPr>
            <w:tcW w:type="dxa" w:w="4513"/>
            <w:tcBorders>
              <w:top w:val="none" w:sz="0" w:space="0" w:color="000000"/>
            </w:tcBorders>
            <w:tcBorders>
              <w:bottom w:val="none" w:sz="0" w:space="0" w:color="000000"/>
            </w:tcBorders>
            <w:tcBorders>
              <w:left w:val="none" w:sz="0" w:space="0" w:color="000000"/>
            </w:tcBorders>
            <w:tcBorders>
              <w:right w:val="none" w:sz="0" w:space="0" w:color="000000"/>
            </w:tcBorders>
            <w:tcBorders>
              <w:insideH w:val="none" w:sz="0" w:space="0" w:color="000000"/>
            </w:tcBorders>
            <w:tcBorders>
              <w:insideV w:val="none" w:sz="0" w:space="0" w:color="000000"/>
            </w:tcBorders>
            <w:tcBorders>
              <w:top w:val="none" w:sz="0" w:space="0" w:color="000000"/>
              <w:bottom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8F8F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Adjacency-weighted mean of observed neighbours (nbr_ctx feature)</w:t>
            </w:r>
          </w:p>
        </w:tc>
      </w:tr>
    </w:tbl>
    <w:p>
      <w:pPr>
        <w:spacing w:before="160" w:after="60" w:lineRule="auto" w:line="276"/>
        <w:jc w:val="left"/>
      </w:pPr>
      <w:r>
        <w:rPr>
          <w:rFonts w:ascii="Times New Roman" w:hAnsi="Times New Roman"/>
          <w:b w:val="0"/>
          <w:i/>
          <w:color w:val="1B2A4A"/>
          <w:sz w:val="20"/>
        </w:rPr>
        <w:t>C. Main Results (80% Sparsity)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rHeight w:hRule="exact" w:val="320"/>
        </w:trPr>
        <w:tc>
          <w:tcPr>
            <w:tcW w:type="dxa" w:w="3009"/>
            <w:tcBorders>
              <w:top w:val="none" w:sz="0" w:space="0" w:color="000000"/>
            </w:tcBorders>
            <w:tcBorders>
              <w:bottom w:val="none" w:sz="0" w:space="0" w:color="000000"/>
            </w:tcBorders>
            <w:tcBorders>
              <w:left w:val="none" w:sz="0" w:space="0" w:color="000000"/>
            </w:tcBorders>
            <w:tcBorders>
              <w:right w:val="none" w:sz="0" w:space="0" w:color="000000"/>
            </w:tcBorders>
            <w:tcBorders>
              <w:insideH w:val="none" w:sz="0" w:space="0" w:color="000000"/>
            </w:tcBorders>
            <w:tcBorders>
              <w:insideV w:val="none" w:sz="0" w:space="0" w:color="000000"/>
            </w:tcBorders>
            <w:tcBorders>
              <w:top w:val="single" w:sz="8" w:space="0" w:color="000000"/>
              <w:bottom w:val="single" w:sz="4" w:space="0" w:color="666666"/>
              <w:left w:val="none" w:sz="0" w:space="0" w:color="000000"/>
              <w:right w:val="none" w:sz="0" w:space="0" w:color="000000"/>
            </w:tcBorders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Model</w:t>
            </w:r>
          </w:p>
        </w:tc>
        <w:tc>
          <w:tcPr>
            <w:tcW w:type="dxa" w:w="3009"/>
            <w:tcBorders>
              <w:top w:val="none" w:sz="0" w:space="0" w:color="000000"/>
            </w:tcBorders>
            <w:tcBorders>
              <w:bottom w:val="none" w:sz="0" w:space="0" w:color="000000"/>
            </w:tcBorders>
            <w:tcBorders>
              <w:left w:val="none" w:sz="0" w:space="0" w:color="000000"/>
            </w:tcBorders>
            <w:tcBorders>
              <w:right w:val="none" w:sz="0" w:space="0" w:color="000000"/>
            </w:tcBorders>
            <w:tcBorders>
              <w:insideH w:val="none" w:sz="0" w:space="0" w:color="000000"/>
            </w:tcBorders>
            <w:tcBorders>
              <w:insideV w:val="none" w:sz="0" w:space="0" w:color="000000"/>
            </w:tcBorders>
            <w:tcBorders>
              <w:top w:val="single" w:sz="8" w:space="0" w:color="000000"/>
              <w:bottom w:val="single" w:sz="4" w:space="0" w:color="666666"/>
              <w:left w:val="none" w:sz="0" w:space="0" w:color="000000"/>
              <w:right w:val="none" w:sz="0" w:space="0" w:color="000000"/>
            </w:tcBorders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MAE all (km/h)</w:t>
            </w:r>
          </w:p>
        </w:tc>
        <w:tc>
          <w:tcPr>
            <w:tcW w:type="dxa" w:w="3009"/>
            <w:tcBorders>
              <w:top w:val="none" w:sz="0" w:space="0" w:color="000000"/>
            </w:tcBorders>
            <w:tcBorders>
              <w:bottom w:val="none" w:sz="0" w:space="0" w:color="000000"/>
            </w:tcBorders>
            <w:tcBorders>
              <w:left w:val="none" w:sz="0" w:space="0" w:color="000000"/>
            </w:tcBorders>
            <w:tcBorders>
              <w:right w:val="none" w:sz="0" w:space="0" w:color="000000"/>
            </w:tcBorders>
            <w:tcBorders>
              <w:insideH w:val="none" w:sz="0" w:space="0" w:color="000000"/>
            </w:tcBorders>
            <w:tcBorders>
              <w:insideV w:val="none" w:sz="0" w:space="0" w:color="000000"/>
            </w:tcBorders>
            <w:tcBorders>
              <w:top w:val="single" w:sz="8" w:space="0" w:color="000000"/>
              <w:bottom w:val="single" w:sz="4" w:space="0" w:color="666666"/>
              <w:left w:val="none" w:sz="0" w:space="0" w:color="000000"/>
              <w:right w:val="none" w:sz="0" w:space="0" w:color="000000"/>
            </w:tcBorders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MAE jam (km/h)</w:t>
            </w:r>
          </w:p>
        </w:tc>
      </w:tr>
      <w:tr>
        <w:tc>
          <w:tcPr>
            <w:tcW w:type="dxa" w:w="3009"/>
            <w:tcBorders>
              <w:top w:val="none" w:sz="0" w:space="0" w:color="000000"/>
            </w:tcBorders>
            <w:tcBorders>
              <w:bottom w:val="none" w:sz="0" w:space="0" w:color="000000"/>
            </w:tcBorders>
            <w:tcBorders>
              <w:left w:val="none" w:sz="0" w:space="0" w:color="000000"/>
            </w:tcBorders>
            <w:tcBorders>
              <w:right w:val="none" w:sz="0" w:space="0" w:color="000000"/>
            </w:tcBorders>
            <w:tcBorders>
              <w:insideH w:val="none" w:sz="0" w:space="0" w:color="000000"/>
            </w:tcBorders>
            <w:tcBorders>
              <w:insideV w:val="none" w:sz="0" w:space="0" w:color="000000"/>
            </w:tcBorders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Global mean baseline</w:t>
            </w:r>
          </w:p>
        </w:tc>
        <w:tc>
          <w:tcPr>
            <w:tcW w:type="dxa" w:w="3009"/>
            <w:tcBorders>
              <w:top w:val="none" w:sz="0" w:space="0" w:color="000000"/>
            </w:tcBorders>
            <w:tcBorders>
              <w:bottom w:val="none" w:sz="0" w:space="0" w:color="000000"/>
            </w:tcBorders>
            <w:tcBorders>
              <w:left w:val="none" w:sz="0" w:space="0" w:color="000000"/>
            </w:tcBorders>
            <w:tcBorders>
              <w:right w:val="none" w:sz="0" w:space="0" w:color="000000"/>
            </w:tcBorders>
            <w:tcBorders>
              <w:insideH w:val="none" w:sz="0" w:space="0" w:color="000000"/>
            </w:tcBorders>
            <w:tcBorders>
              <w:insideV w:val="none" w:sz="0" w:space="0" w:color="000000"/>
            </w:tcBorders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5.18</w:t>
            </w:r>
          </w:p>
        </w:tc>
        <w:tc>
          <w:tcPr>
            <w:tcW w:type="dxa" w:w="3009"/>
            <w:tcBorders>
              <w:top w:val="none" w:sz="0" w:space="0" w:color="000000"/>
            </w:tcBorders>
            <w:tcBorders>
              <w:bottom w:val="none" w:sz="0" w:space="0" w:color="000000"/>
            </w:tcBorders>
            <w:tcBorders>
              <w:left w:val="none" w:sz="0" w:space="0" w:color="000000"/>
            </w:tcBorders>
            <w:tcBorders>
              <w:right w:val="none" w:sz="0" w:space="0" w:color="000000"/>
            </w:tcBorders>
            <w:tcBorders>
              <w:insideH w:val="none" w:sz="0" w:space="0" w:color="000000"/>
            </w:tcBorders>
            <w:tcBorders>
              <w:insideV w:val="none" w:sz="0" w:space="0" w:color="000000"/>
            </w:tcBorders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35.99</w:t>
            </w:r>
          </w:p>
        </w:tc>
      </w:tr>
      <w:tr>
        <w:tc>
          <w:tcPr>
            <w:tcW w:type="dxa" w:w="3009"/>
            <w:tcBorders>
              <w:top w:val="none" w:sz="0" w:space="0" w:color="000000"/>
            </w:tcBorders>
            <w:tcBorders>
              <w:bottom w:val="none" w:sz="0" w:space="0" w:color="000000"/>
            </w:tcBorders>
            <w:tcBorders>
              <w:left w:val="none" w:sz="0" w:space="0" w:color="000000"/>
            </w:tcBorders>
            <w:tcBorders>
              <w:right w:val="none" w:sz="0" w:space="0" w:color="000000"/>
            </w:tcBorders>
            <w:tcBorders>
              <w:insideH w:val="none" w:sz="0" w:space="0" w:color="000000"/>
            </w:tcBorders>
            <w:tcBorders>
              <w:insideV w:val="none" w:sz="0" w:space="0" w:color="000000"/>
            </w:tcBorders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F8F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IDW spatial interp.</w:t>
            </w:r>
          </w:p>
        </w:tc>
        <w:tc>
          <w:tcPr>
            <w:tcW w:type="dxa" w:w="3009"/>
            <w:tcBorders>
              <w:top w:val="none" w:sz="0" w:space="0" w:color="000000"/>
            </w:tcBorders>
            <w:tcBorders>
              <w:bottom w:val="none" w:sz="0" w:space="0" w:color="000000"/>
            </w:tcBorders>
            <w:tcBorders>
              <w:left w:val="none" w:sz="0" w:space="0" w:color="000000"/>
            </w:tcBorders>
            <w:tcBorders>
              <w:right w:val="none" w:sz="0" w:space="0" w:color="000000"/>
            </w:tcBorders>
            <w:tcBorders>
              <w:insideH w:val="none" w:sz="0" w:space="0" w:color="000000"/>
            </w:tcBorders>
            <w:tcBorders>
              <w:insideV w:val="none" w:sz="0" w:space="0" w:color="000000"/>
            </w:tcBorders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F8F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5.23</w:t>
            </w:r>
          </w:p>
        </w:tc>
        <w:tc>
          <w:tcPr>
            <w:tcW w:type="dxa" w:w="3009"/>
            <w:tcBorders>
              <w:top w:val="none" w:sz="0" w:space="0" w:color="000000"/>
            </w:tcBorders>
            <w:tcBorders>
              <w:bottom w:val="none" w:sz="0" w:space="0" w:color="000000"/>
            </w:tcBorders>
            <w:tcBorders>
              <w:left w:val="none" w:sz="0" w:space="0" w:color="000000"/>
            </w:tcBorders>
            <w:tcBorders>
              <w:right w:val="none" w:sz="0" w:space="0" w:color="000000"/>
            </w:tcBorders>
            <w:tcBorders>
              <w:insideH w:val="none" w:sz="0" w:space="0" w:color="000000"/>
            </w:tcBorders>
            <w:tcBorders>
              <w:insideV w:val="none" w:sz="0" w:space="0" w:color="000000"/>
            </w:tcBorders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F8F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32.95</w:t>
            </w:r>
          </w:p>
        </w:tc>
      </w:tr>
      <w:tr>
        <w:tc>
          <w:tcPr>
            <w:tcW w:type="dxa" w:w="3009"/>
            <w:tcBorders>
              <w:top w:val="none" w:sz="0" w:space="0" w:color="000000"/>
            </w:tcBorders>
            <w:tcBorders>
              <w:bottom w:val="none" w:sz="0" w:space="0" w:color="000000"/>
            </w:tcBorders>
            <w:tcBorders>
              <w:left w:val="none" w:sz="0" w:space="0" w:color="000000"/>
            </w:tcBorders>
            <w:tcBorders>
              <w:right w:val="none" w:sz="0" w:space="0" w:color="000000"/>
            </w:tcBorders>
            <w:tcBorders>
              <w:insideH w:val="none" w:sz="0" w:space="0" w:color="000000"/>
            </w:tcBorders>
            <w:tcBorders>
              <w:insideV w:val="none" w:sz="0" w:space="0" w:color="000000"/>
            </w:tcBorders>
            <w:tcBorders>
              <w:top w:val="none" w:sz="0" w:space="0" w:color="000000"/>
              <w:bottom w:val="single" w:sz="8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Ours (full model)</w:t>
            </w:r>
          </w:p>
        </w:tc>
        <w:tc>
          <w:tcPr>
            <w:tcW w:type="dxa" w:w="3009"/>
            <w:tcBorders>
              <w:top w:val="none" w:sz="0" w:space="0" w:color="000000"/>
            </w:tcBorders>
            <w:tcBorders>
              <w:bottom w:val="none" w:sz="0" w:space="0" w:color="000000"/>
            </w:tcBorders>
            <w:tcBorders>
              <w:left w:val="none" w:sz="0" w:space="0" w:color="000000"/>
            </w:tcBorders>
            <w:tcBorders>
              <w:right w:val="none" w:sz="0" w:space="0" w:color="000000"/>
            </w:tcBorders>
            <w:tcBorders>
              <w:insideH w:val="none" w:sz="0" w:space="0" w:color="000000"/>
            </w:tcBorders>
            <w:tcBorders>
              <w:insideV w:val="none" w:sz="0" w:space="0" w:color="000000"/>
            </w:tcBorders>
            <w:tcBorders>
              <w:top w:val="none" w:sz="0" w:space="0" w:color="000000"/>
              <w:bottom w:val="single" w:sz="8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5.18</w:t>
            </w:r>
          </w:p>
        </w:tc>
        <w:tc>
          <w:tcPr>
            <w:tcW w:type="dxa" w:w="3009"/>
            <w:tcBorders>
              <w:top w:val="none" w:sz="0" w:space="0" w:color="000000"/>
            </w:tcBorders>
            <w:tcBorders>
              <w:bottom w:val="none" w:sz="0" w:space="0" w:color="000000"/>
            </w:tcBorders>
            <w:tcBorders>
              <w:left w:val="none" w:sz="0" w:space="0" w:color="000000"/>
            </w:tcBorders>
            <w:tcBorders>
              <w:right w:val="none" w:sz="0" w:space="0" w:color="000000"/>
            </w:tcBorders>
            <w:tcBorders>
              <w:insideH w:val="none" w:sz="0" w:space="0" w:color="000000"/>
            </w:tcBorders>
            <w:tcBorders>
              <w:insideV w:val="none" w:sz="0" w:space="0" w:color="000000"/>
            </w:tcBorders>
            <w:tcBorders>
              <w:top w:val="none" w:sz="0" w:space="0" w:color="000000"/>
              <w:bottom w:val="single" w:sz="8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33.93</w:t>
            </w:r>
          </w:p>
        </w:tc>
      </w:tr>
    </w:tbl>
    <w:p>
      <w:pPr>
        <w:spacing w:before="160" w:after="60" w:lineRule="auto" w:line="276"/>
        <w:jc w:val="left"/>
      </w:pPr>
      <w:r>
        <w:rPr>
          <w:rFonts w:ascii="Times New Roman" w:hAnsi="Times New Roman"/>
          <w:b w:val="0"/>
          <w:i/>
          <w:color w:val="1B2A4A"/>
          <w:sz w:val="20"/>
        </w:rPr>
        <w:t>D. Sensor Sparsity Sweep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trHeight w:hRule="exact" w:val="320"/>
        </w:trPr>
        <w:tc>
          <w:tcPr>
            <w:tcW w:type="dxa" w:w="2256"/>
            <w:tcBorders>
              <w:top w:val="none" w:sz="0" w:space="0" w:color="000000"/>
            </w:tcBorders>
            <w:tcBorders>
              <w:bottom w:val="none" w:sz="0" w:space="0" w:color="000000"/>
            </w:tcBorders>
            <w:tcBorders>
              <w:left w:val="none" w:sz="0" w:space="0" w:color="000000"/>
            </w:tcBorders>
            <w:tcBorders>
              <w:right w:val="none" w:sz="0" w:space="0" w:color="000000"/>
            </w:tcBorders>
            <w:tcBorders>
              <w:insideH w:val="none" w:sz="0" w:space="0" w:color="000000"/>
            </w:tcBorders>
            <w:tcBorders>
              <w:insideV w:val="none" w:sz="0" w:space="0" w:color="000000"/>
            </w:tcBorders>
            <w:tcBorders>
              <w:top w:val="single" w:sz="8" w:space="0" w:color="000000"/>
              <w:bottom w:val="single" w:sz="4" w:space="0" w:color="666666"/>
              <w:left w:val="none" w:sz="0" w:space="0" w:color="000000"/>
              <w:right w:val="none" w:sz="0" w:space="0" w:color="000000"/>
            </w:tcBorders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Sparsity</w:t>
            </w:r>
          </w:p>
        </w:tc>
        <w:tc>
          <w:tcPr>
            <w:tcW w:type="dxa" w:w="2256"/>
            <w:tcBorders>
              <w:top w:val="none" w:sz="0" w:space="0" w:color="000000"/>
            </w:tcBorders>
            <w:tcBorders>
              <w:bottom w:val="none" w:sz="0" w:space="0" w:color="000000"/>
            </w:tcBorders>
            <w:tcBorders>
              <w:left w:val="none" w:sz="0" w:space="0" w:color="000000"/>
            </w:tcBorders>
            <w:tcBorders>
              <w:right w:val="none" w:sz="0" w:space="0" w:color="000000"/>
            </w:tcBorders>
            <w:tcBorders>
              <w:insideH w:val="none" w:sz="0" w:space="0" w:color="000000"/>
            </w:tcBorders>
            <w:tcBorders>
              <w:insideV w:val="none" w:sz="0" w:space="0" w:color="000000"/>
            </w:tcBorders>
            <w:tcBorders>
              <w:top w:val="single" w:sz="8" w:space="0" w:color="000000"/>
              <w:bottom w:val="single" w:sz="4" w:space="0" w:color="666666"/>
              <w:left w:val="none" w:sz="0" w:space="0" w:color="000000"/>
              <w:right w:val="none" w:sz="0" w:space="0" w:color="000000"/>
            </w:tcBorders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Blind %</w:t>
            </w:r>
          </w:p>
        </w:tc>
        <w:tc>
          <w:tcPr>
            <w:tcW w:type="dxa" w:w="2256"/>
            <w:tcBorders>
              <w:top w:val="none" w:sz="0" w:space="0" w:color="000000"/>
            </w:tcBorders>
            <w:tcBorders>
              <w:bottom w:val="none" w:sz="0" w:space="0" w:color="000000"/>
            </w:tcBorders>
            <w:tcBorders>
              <w:left w:val="none" w:sz="0" w:space="0" w:color="000000"/>
            </w:tcBorders>
            <w:tcBorders>
              <w:right w:val="none" w:sz="0" w:space="0" w:color="000000"/>
            </w:tcBorders>
            <w:tcBorders>
              <w:insideH w:val="none" w:sz="0" w:space="0" w:color="000000"/>
            </w:tcBorders>
            <w:tcBorders>
              <w:insideV w:val="none" w:sz="0" w:space="0" w:color="000000"/>
            </w:tcBorders>
            <w:tcBorders>
              <w:top w:val="single" w:sz="8" w:space="0" w:color="000000"/>
              <w:bottom w:val="single" w:sz="4" w:space="0" w:color="666666"/>
              <w:left w:val="none" w:sz="0" w:space="0" w:color="000000"/>
              <w:right w:val="none" w:sz="0" w:space="0" w:color="000000"/>
            </w:tcBorders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Model Jam</w:t>
            </w:r>
          </w:p>
        </w:tc>
        <w:tc>
          <w:tcPr>
            <w:tcW w:type="dxa" w:w="2256"/>
            <w:tcBorders>
              <w:top w:val="none" w:sz="0" w:space="0" w:color="000000"/>
            </w:tcBorders>
            <w:tcBorders>
              <w:bottom w:val="none" w:sz="0" w:space="0" w:color="000000"/>
            </w:tcBorders>
            <w:tcBorders>
              <w:left w:val="none" w:sz="0" w:space="0" w:color="000000"/>
            </w:tcBorders>
            <w:tcBorders>
              <w:right w:val="none" w:sz="0" w:space="0" w:color="000000"/>
            </w:tcBorders>
            <w:tcBorders>
              <w:insideH w:val="none" w:sz="0" w:space="0" w:color="000000"/>
            </w:tcBorders>
            <w:tcBorders>
              <w:insideV w:val="none" w:sz="0" w:space="0" w:color="000000"/>
            </w:tcBorders>
            <w:tcBorders>
              <w:top w:val="single" w:sz="8" w:space="0" w:color="000000"/>
              <w:bottom w:val="single" w:sz="4" w:space="0" w:color="666666"/>
              <w:left w:val="none" w:sz="0" w:space="0" w:color="000000"/>
              <w:right w:val="none" w:sz="0" w:space="0" w:color="000000"/>
            </w:tcBorders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vs Baseline</w:t>
            </w:r>
          </w:p>
        </w:tc>
      </w:tr>
      <w:tr>
        <w:tc>
          <w:tcPr>
            <w:tcW w:type="dxa" w:w="2256"/>
            <w:tcBorders>
              <w:top w:val="none" w:sz="0" w:space="0" w:color="000000"/>
            </w:tcBorders>
            <w:tcBorders>
              <w:bottom w:val="none" w:sz="0" w:space="0" w:color="000000"/>
            </w:tcBorders>
            <w:tcBorders>
              <w:left w:val="none" w:sz="0" w:space="0" w:color="000000"/>
            </w:tcBorders>
            <w:tcBorders>
              <w:right w:val="none" w:sz="0" w:space="0" w:color="000000"/>
            </w:tcBorders>
            <w:tcBorders>
              <w:insideH w:val="none" w:sz="0" w:space="0" w:color="000000"/>
            </w:tcBorders>
            <w:tcBorders>
              <w:insideV w:val="none" w:sz="0" w:space="0" w:color="000000"/>
            </w:tcBorders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20%</w:t>
            </w:r>
          </w:p>
        </w:tc>
        <w:tc>
          <w:tcPr>
            <w:tcW w:type="dxa" w:w="2256"/>
            <w:tcBorders>
              <w:top w:val="none" w:sz="0" w:space="0" w:color="000000"/>
            </w:tcBorders>
            <w:tcBorders>
              <w:bottom w:val="none" w:sz="0" w:space="0" w:color="000000"/>
            </w:tcBorders>
            <w:tcBorders>
              <w:left w:val="none" w:sz="0" w:space="0" w:color="000000"/>
            </w:tcBorders>
            <w:tcBorders>
              <w:right w:val="none" w:sz="0" w:space="0" w:color="000000"/>
            </w:tcBorders>
            <w:tcBorders>
              <w:insideH w:val="none" w:sz="0" w:space="0" w:color="000000"/>
            </w:tcBorders>
            <w:tcBorders>
              <w:insideV w:val="none" w:sz="0" w:space="0" w:color="000000"/>
            </w:tcBorders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22%</w:t>
            </w:r>
          </w:p>
        </w:tc>
        <w:tc>
          <w:tcPr>
            <w:tcW w:type="dxa" w:w="2256"/>
            <w:tcBorders>
              <w:top w:val="none" w:sz="0" w:space="0" w:color="000000"/>
            </w:tcBorders>
            <w:tcBorders>
              <w:bottom w:val="none" w:sz="0" w:space="0" w:color="000000"/>
            </w:tcBorders>
            <w:tcBorders>
              <w:left w:val="none" w:sz="0" w:space="0" w:color="000000"/>
            </w:tcBorders>
            <w:tcBorders>
              <w:right w:val="none" w:sz="0" w:space="0" w:color="000000"/>
            </w:tcBorders>
            <w:tcBorders>
              <w:insideH w:val="none" w:sz="0" w:space="0" w:color="000000"/>
            </w:tcBorders>
            <w:tcBorders>
              <w:insideV w:val="none" w:sz="0" w:space="0" w:color="000000"/>
            </w:tcBorders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27.68</w:t>
            </w:r>
          </w:p>
        </w:tc>
        <w:tc>
          <w:tcPr>
            <w:tcW w:type="dxa" w:w="2256"/>
            <w:tcBorders>
              <w:top w:val="none" w:sz="0" w:space="0" w:color="000000"/>
            </w:tcBorders>
            <w:tcBorders>
              <w:bottom w:val="none" w:sz="0" w:space="0" w:color="000000"/>
            </w:tcBorders>
            <w:tcBorders>
              <w:left w:val="none" w:sz="0" w:space="0" w:color="000000"/>
            </w:tcBorders>
            <w:tcBorders>
              <w:right w:val="none" w:sz="0" w:space="0" w:color="000000"/>
            </w:tcBorders>
            <w:tcBorders>
              <w:insideH w:val="none" w:sz="0" w:space="0" w:color="000000"/>
            </w:tcBorders>
            <w:tcBorders>
              <w:insideV w:val="none" w:sz="0" w:space="0" w:color="000000"/>
            </w:tcBorders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+23.2%</w:t>
            </w:r>
          </w:p>
        </w:tc>
      </w:tr>
      <w:tr>
        <w:tc>
          <w:tcPr>
            <w:tcW w:type="dxa" w:w="2256"/>
            <w:tcBorders>
              <w:top w:val="none" w:sz="0" w:space="0" w:color="000000"/>
            </w:tcBorders>
            <w:tcBorders>
              <w:bottom w:val="none" w:sz="0" w:space="0" w:color="000000"/>
            </w:tcBorders>
            <w:tcBorders>
              <w:left w:val="none" w:sz="0" w:space="0" w:color="000000"/>
            </w:tcBorders>
            <w:tcBorders>
              <w:right w:val="none" w:sz="0" w:space="0" w:color="000000"/>
            </w:tcBorders>
            <w:tcBorders>
              <w:insideH w:val="none" w:sz="0" w:space="0" w:color="000000"/>
            </w:tcBorders>
            <w:tcBorders>
              <w:insideV w:val="none" w:sz="0" w:space="0" w:color="000000"/>
            </w:tcBorders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F8F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40%</w:t>
            </w:r>
          </w:p>
        </w:tc>
        <w:tc>
          <w:tcPr>
            <w:tcW w:type="dxa" w:w="2256"/>
            <w:tcBorders>
              <w:top w:val="none" w:sz="0" w:space="0" w:color="000000"/>
            </w:tcBorders>
            <w:tcBorders>
              <w:bottom w:val="none" w:sz="0" w:space="0" w:color="000000"/>
            </w:tcBorders>
            <w:tcBorders>
              <w:left w:val="none" w:sz="0" w:space="0" w:color="000000"/>
            </w:tcBorders>
            <w:tcBorders>
              <w:right w:val="none" w:sz="0" w:space="0" w:color="000000"/>
            </w:tcBorders>
            <w:tcBorders>
              <w:insideH w:val="none" w:sz="0" w:space="0" w:color="000000"/>
            </w:tcBorders>
            <w:tcBorders>
              <w:insideV w:val="none" w:sz="0" w:space="0" w:color="000000"/>
            </w:tcBorders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F8F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48%</w:t>
            </w:r>
          </w:p>
        </w:tc>
        <w:tc>
          <w:tcPr>
            <w:tcW w:type="dxa" w:w="2256"/>
            <w:tcBorders>
              <w:top w:val="none" w:sz="0" w:space="0" w:color="000000"/>
            </w:tcBorders>
            <w:tcBorders>
              <w:bottom w:val="none" w:sz="0" w:space="0" w:color="000000"/>
            </w:tcBorders>
            <w:tcBorders>
              <w:left w:val="none" w:sz="0" w:space="0" w:color="000000"/>
            </w:tcBorders>
            <w:tcBorders>
              <w:right w:val="none" w:sz="0" w:space="0" w:color="000000"/>
            </w:tcBorders>
            <w:tcBorders>
              <w:insideH w:val="none" w:sz="0" w:space="0" w:color="000000"/>
            </w:tcBorders>
            <w:tcBorders>
              <w:insideV w:val="none" w:sz="0" w:space="0" w:color="000000"/>
            </w:tcBorders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F8F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28.27</w:t>
            </w:r>
          </w:p>
        </w:tc>
        <w:tc>
          <w:tcPr>
            <w:tcW w:type="dxa" w:w="2256"/>
            <w:tcBorders>
              <w:top w:val="none" w:sz="0" w:space="0" w:color="000000"/>
            </w:tcBorders>
            <w:tcBorders>
              <w:bottom w:val="none" w:sz="0" w:space="0" w:color="000000"/>
            </w:tcBorders>
            <w:tcBorders>
              <w:left w:val="none" w:sz="0" w:space="0" w:color="000000"/>
            </w:tcBorders>
            <w:tcBorders>
              <w:right w:val="none" w:sz="0" w:space="0" w:color="000000"/>
            </w:tcBorders>
            <w:tcBorders>
              <w:insideH w:val="none" w:sz="0" w:space="0" w:color="000000"/>
            </w:tcBorders>
            <w:tcBorders>
              <w:insideV w:val="none" w:sz="0" w:space="0" w:color="000000"/>
            </w:tcBorders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F8F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+20.9%</w:t>
            </w:r>
          </w:p>
        </w:tc>
      </w:tr>
      <w:tr>
        <w:tc>
          <w:tcPr>
            <w:tcW w:type="dxa" w:w="2256"/>
            <w:tcBorders>
              <w:top w:val="none" w:sz="0" w:space="0" w:color="000000"/>
            </w:tcBorders>
            <w:tcBorders>
              <w:bottom w:val="none" w:sz="0" w:space="0" w:color="000000"/>
            </w:tcBorders>
            <w:tcBorders>
              <w:left w:val="none" w:sz="0" w:space="0" w:color="000000"/>
            </w:tcBorders>
            <w:tcBorders>
              <w:right w:val="none" w:sz="0" w:space="0" w:color="000000"/>
            </w:tcBorders>
            <w:tcBorders>
              <w:insideH w:val="none" w:sz="0" w:space="0" w:color="000000"/>
            </w:tcBorders>
            <w:tcBorders>
              <w:insideV w:val="none" w:sz="0" w:space="0" w:color="000000"/>
            </w:tcBorders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60%</w:t>
            </w:r>
          </w:p>
        </w:tc>
        <w:tc>
          <w:tcPr>
            <w:tcW w:type="dxa" w:w="2256"/>
            <w:tcBorders>
              <w:top w:val="none" w:sz="0" w:space="0" w:color="000000"/>
            </w:tcBorders>
            <w:tcBorders>
              <w:bottom w:val="none" w:sz="0" w:space="0" w:color="000000"/>
            </w:tcBorders>
            <w:tcBorders>
              <w:left w:val="none" w:sz="0" w:space="0" w:color="000000"/>
            </w:tcBorders>
            <w:tcBorders>
              <w:right w:val="none" w:sz="0" w:space="0" w:color="000000"/>
            </w:tcBorders>
            <w:tcBorders>
              <w:insideH w:val="none" w:sz="0" w:space="0" w:color="000000"/>
            </w:tcBorders>
            <w:tcBorders>
              <w:insideV w:val="none" w:sz="0" w:space="0" w:color="000000"/>
            </w:tcBorders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62%</w:t>
            </w:r>
          </w:p>
        </w:tc>
        <w:tc>
          <w:tcPr>
            <w:tcW w:type="dxa" w:w="2256"/>
            <w:tcBorders>
              <w:top w:val="none" w:sz="0" w:space="0" w:color="000000"/>
            </w:tcBorders>
            <w:tcBorders>
              <w:bottom w:val="none" w:sz="0" w:space="0" w:color="000000"/>
            </w:tcBorders>
            <w:tcBorders>
              <w:left w:val="none" w:sz="0" w:space="0" w:color="000000"/>
            </w:tcBorders>
            <w:tcBorders>
              <w:right w:val="none" w:sz="0" w:space="0" w:color="000000"/>
            </w:tcBorders>
            <w:tcBorders>
              <w:insideH w:val="none" w:sz="0" w:space="0" w:color="000000"/>
            </w:tcBorders>
            <w:tcBorders>
              <w:insideV w:val="none" w:sz="0" w:space="0" w:color="000000"/>
            </w:tcBorders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31.66</w:t>
            </w:r>
          </w:p>
        </w:tc>
        <w:tc>
          <w:tcPr>
            <w:tcW w:type="dxa" w:w="2256"/>
            <w:tcBorders>
              <w:top w:val="none" w:sz="0" w:space="0" w:color="000000"/>
            </w:tcBorders>
            <w:tcBorders>
              <w:bottom w:val="none" w:sz="0" w:space="0" w:color="000000"/>
            </w:tcBorders>
            <w:tcBorders>
              <w:left w:val="none" w:sz="0" w:space="0" w:color="000000"/>
            </w:tcBorders>
            <w:tcBorders>
              <w:right w:val="none" w:sz="0" w:space="0" w:color="000000"/>
            </w:tcBorders>
            <w:tcBorders>
              <w:insideH w:val="none" w:sz="0" w:space="0" w:color="000000"/>
            </w:tcBorders>
            <w:tcBorders>
              <w:insideV w:val="none" w:sz="0" w:space="0" w:color="000000"/>
            </w:tcBorders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+12.1%</w:t>
            </w:r>
          </w:p>
        </w:tc>
      </w:tr>
      <w:tr>
        <w:tc>
          <w:tcPr>
            <w:tcW w:type="dxa" w:w="2256"/>
            <w:tcBorders>
              <w:top w:val="none" w:sz="0" w:space="0" w:color="000000"/>
            </w:tcBorders>
            <w:tcBorders>
              <w:bottom w:val="none" w:sz="0" w:space="0" w:color="000000"/>
            </w:tcBorders>
            <w:tcBorders>
              <w:left w:val="none" w:sz="0" w:space="0" w:color="000000"/>
            </w:tcBorders>
            <w:tcBorders>
              <w:right w:val="none" w:sz="0" w:space="0" w:color="000000"/>
            </w:tcBorders>
            <w:tcBorders>
              <w:insideH w:val="none" w:sz="0" w:space="0" w:color="000000"/>
            </w:tcBorders>
            <w:tcBorders>
              <w:insideV w:val="none" w:sz="0" w:space="0" w:color="000000"/>
            </w:tcBorders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F8F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80%</w:t>
            </w:r>
          </w:p>
        </w:tc>
        <w:tc>
          <w:tcPr>
            <w:tcW w:type="dxa" w:w="2256"/>
            <w:tcBorders>
              <w:top w:val="none" w:sz="0" w:space="0" w:color="000000"/>
            </w:tcBorders>
            <w:tcBorders>
              <w:bottom w:val="none" w:sz="0" w:space="0" w:color="000000"/>
            </w:tcBorders>
            <w:tcBorders>
              <w:left w:val="none" w:sz="0" w:space="0" w:color="000000"/>
            </w:tcBorders>
            <w:tcBorders>
              <w:right w:val="none" w:sz="0" w:space="0" w:color="000000"/>
            </w:tcBorders>
            <w:tcBorders>
              <w:insideH w:val="none" w:sz="0" w:space="0" w:color="000000"/>
            </w:tcBorders>
            <w:tcBorders>
              <w:insideV w:val="none" w:sz="0" w:space="0" w:color="000000"/>
            </w:tcBorders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F8F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83%</w:t>
            </w:r>
          </w:p>
        </w:tc>
        <w:tc>
          <w:tcPr>
            <w:tcW w:type="dxa" w:w="2256"/>
            <w:tcBorders>
              <w:top w:val="none" w:sz="0" w:space="0" w:color="000000"/>
            </w:tcBorders>
            <w:tcBorders>
              <w:bottom w:val="none" w:sz="0" w:space="0" w:color="000000"/>
            </w:tcBorders>
            <w:tcBorders>
              <w:left w:val="none" w:sz="0" w:space="0" w:color="000000"/>
            </w:tcBorders>
            <w:tcBorders>
              <w:right w:val="none" w:sz="0" w:space="0" w:color="000000"/>
            </w:tcBorders>
            <w:tcBorders>
              <w:insideH w:val="none" w:sz="0" w:space="0" w:color="000000"/>
            </w:tcBorders>
            <w:tcBorders>
              <w:insideV w:val="none" w:sz="0" w:space="0" w:color="000000"/>
            </w:tcBorders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F8F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31.19</w:t>
            </w:r>
          </w:p>
        </w:tc>
        <w:tc>
          <w:tcPr>
            <w:tcW w:type="dxa" w:w="2256"/>
            <w:tcBorders>
              <w:top w:val="none" w:sz="0" w:space="0" w:color="000000"/>
            </w:tcBorders>
            <w:tcBorders>
              <w:bottom w:val="none" w:sz="0" w:space="0" w:color="000000"/>
            </w:tcBorders>
            <w:tcBorders>
              <w:left w:val="none" w:sz="0" w:space="0" w:color="000000"/>
            </w:tcBorders>
            <w:tcBorders>
              <w:right w:val="none" w:sz="0" w:space="0" w:color="000000"/>
            </w:tcBorders>
            <w:tcBorders>
              <w:insideH w:val="none" w:sz="0" w:space="0" w:color="000000"/>
            </w:tcBorders>
            <w:tcBorders>
              <w:insideV w:val="none" w:sz="0" w:space="0" w:color="000000"/>
            </w:tcBorders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F8F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+13.3%</w:t>
            </w:r>
          </w:p>
        </w:tc>
      </w:tr>
      <w:tr>
        <w:tc>
          <w:tcPr>
            <w:tcW w:type="dxa" w:w="2256"/>
            <w:tcBorders>
              <w:top w:val="none" w:sz="0" w:space="0" w:color="000000"/>
            </w:tcBorders>
            <w:tcBorders>
              <w:bottom w:val="none" w:sz="0" w:space="0" w:color="000000"/>
            </w:tcBorders>
            <w:tcBorders>
              <w:left w:val="none" w:sz="0" w:space="0" w:color="000000"/>
            </w:tcBorders>
            <w:tcBorders>
              <w:right w:val="none" w:sz="0" w:space="0" w:color="000000"/>
            </w:tcBorders>
            <w:tcBorders>
              <w:insideH w:val="none" w:sz="0" w:space="0" w:color="000000"/>
            </w:tcBorders>
            <w:tcBorders>
              <w:insideV w:val="none" w:sz="0" w:space="0" w:color="000000"/>
            </w:tcBorders>
            <w:tcBorders>
              <w:top w:val="none" w:sz="0" w:space="0" w:color="000000"/>
              <w:bottom w:val="single" w:sz="8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90%</w:t>
            </w:r>
          </w:p>
        </w:tc>
        <w:tc>
          <w:tcPr>
            <w:tcW w:type="dxa" w:w="2256"/>
            <w:tcBorders>
              <w:top w:val="none" w:sz="0" w:space="0" w:color="000000"/>
            </w:tcBorders>
            <w:tcBorders>
              <w:bottom w:val="none" w:sz="0" w:space="0" w:color="000000"/>
            </w:tcBorders>
            <w:tcBorders>
              <w:left w:val="none" w:sz="0" w:space="0" w:color="000000"/>
            </w:tcBorders>
            <w:tcBorders>
              <w:right w:val="none" w:sz="0" w:space="0" w:color="000000"/>
            </w:tcBorders>
            <w:tcBorders>
              <w:insideH w:val="none" w:sz="0" w:space="0" w:color="000000"/>
            </w:tcBorders>
            <w:tcBorders>
              <w:insideV w:val="none" w:sz="0" w:space="0" w:color="000000"/>
            </w:tcBorders>
            <w:tcBorders>
              <w:top w:val="none" w:sz="0" w:space="0" w:color="000000"/>
              <w:bottom w:val="single" w:sz="8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90%</w:t>
            </w:r>
          </w:p>
        </w:tc>
        <w:tc>
          <w:tcPr>
            <w:tcW w:type="dxa" w:w="2256"/>
            <w:tcBorders>
              <w:top w:val="none" w:sz="0" w:space="0" w:color="000000"/>
            </w:tcBorders>
            <w:tcBorders>
              <w:bottom w:val="none" w:sz="0" w:space="0" w:color="000000"/>
            </w:tcBorders>
            <w:tcBorders>
              <w:left w:val="none" w:sz="0" w:space="0" w:color="000000"/>
            </w:tcBorders>
            <w:tcBorders>
              <w:right w:val="none" w:sz="0" w:space="0" w:color="000000"/>
            </w:tcBorders>
            <w:tcBorders>
              <w:insideH w:val="none" w:sz="0" w:space="0" w:color="000000"/>
            </w:tcBorders>
            <w:tcBorders>
              <w:insideV w:val="none" w:sz="0" w:space="0" w:color="000000"/>
            </w:tcBorders>
            <w:tcBorders>
              <w:top w:val="none" w:sz="0" w:space="0" w:color="000000"/>
              <w:bottom w:val="single" w:sz="8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34.58</w:t>
            </w:r>
          </w:p>
        </w:tc>
        <w:tc>
          <w:tcPr>
            <w:tcW w:type="dxa" w:w="2256"/>
            <w:tcBorders>
              <w:top w:val="none" w:sz="0" w:space="0" w:color="000000"/>
            </w:tcBorders>
            <w:tcBorders>
              <w:bottom w:val="none" w:sz="0" w:space="0" w:color="000000"/>
            </w:tcBorders>
            <w:tcBorders>
              <w:left w:val="none" w:sz="0" w:space="0" w:color="000000"/>
            </w:tcBorders>
            <w:tcBorders>
              <w:right w:val="none" w:sz="0" w:space="0" w:color="000000"/>
            </w:tcBorders>
            <w:tcBorders>
              <w:insideH w:val="none" w:sz="0" w:space="0" w:color="000000"/>
            </w:tcBorders>
            <w:tcBorders>
              <w:insideV w:val="none" w:sz="0" w:space="0" w:color="000000"/>
            </w:tcBorders>
            <w:tcBorders>
              <w:top w:val="none" w:sz="0" w:space="0" w:color="000000"/>
              <w:bottom w:val="single" w:sz="8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+3.9%</w:t>
            </w:r>
          </w:p>
        </w:tc>
      </w:tr>
    </w:tbl>
    <w:p>
      <w:pPr>
        <w:spacing w:before="160" w:after="60" w:lineRule="auto" w:line="276"/>
        <w:jc w:val="left"/>
      </w:pPr>
      <w:r>
        <w:rPr>
          <w:rFonts w:ascii="Times New Roman" w:hAnsi="Times New Roman"/>
          <w:b w:val="0"/>
          <w:i/>
          <w:color w:val="1B2A4A"/>
          <w:sz w:val="20"/>
        </w:rPr>
        <w:t>E. Ablation Study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trHeight w:hRule="exact" w:val="320"/>
        </w:trPr>
        <w:tc>
          <w:tcPr>
            <w:tcW w:type="dxa" w:w="2256"/>
            <w:tcBorders>
              <w:top w:val="none" w:sz="0" w:space="0" w:color="000000"/>
            </w:tcBorders>
            <w:tcBorders>
              <w:bottom w:val="none" w:sz="0" w:space="0" w:color="000000"/>
            </w:tcBorders>
            <w:tcBorders>
              <w:left w:val="none" w:sz="0" w:space="0" w:color="000000"/>
            </w:tcBorders>
            <w:tcBorders>
              <w:right w:val="none" w:sz="0" w:space="0" w:color="000000"/>
            </w:tcBorders>
            <w:tcBorders>
              <w:insideH w:val="none" w:sz="0" w:space="0" w:color="000000"/>
            </w:tcBorders>
            <w:tcBorders>
              <w:insideV w:val="none" w:sz="0" w:space="0" w:color="000000"/>
            </w:tcBorders>
            <w:tcBorders>
              <w:top w:val="single" w:sz="8" w:space="0" w:color="000000"/>
              <w:bottom w:val="single" w:sz="4" w:space="0" w:color="666666"/>
              <w:left w:val="none" w:sz="0" w:space="0" w:color="000000"/>
              <w:right w:val="none" w:sz="0" w:space="0" w:color="000000"/>
            </w:tcBorders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Variant</w:t>
            </w:r>
          </w:p>
        </w:tc>
        <w:tc>
          <w:tcPr>
            <w:tcW w:type="dxa" w:w="2256"/>
            <w:tcBorders>
              <w:top w:val="none" w:sz="0" w:space="0" w:color="000000"/>
            </w:tcBorders>
            <w:tcBorders>
              <w:bottom w:val="none" w:sz="0" w:space="0" w:color="000000"/>
            </w:tcBorders>
            <w:tcBorders>
              <w:left w:val="none" w:sz="0" w:space="0" w:color="000000"/>
            </w:tcBorders>
            <w:tcBorders>
              <w:right w:val="none" w:sz="0" w:space="0" w:color="000000"/>
            </w:tcBorders>
            <w:tcBorders>
              <w:insideH w:val="none" w:sz="0" w:space="0" w:color="000000"/>
            </w:tcBorders>
            <w:tcBorders>
              <w:insideV w:val="none" w:sz="0" w:space="0" w:color="000000"/>
            </w:tcBorders>
            <w:tcBorders>
              <w:top w:val="single" w:sz="8" w:space="0" w:color="000000"/>
              <w:bottom w:val="single" w:sz="4" w:space="0" w:color="666666"/>
              <w:left w:val="none" w:sz="0" w:space="0" w:color="000000"/>
              <w:right w:val="none" w:sz="0" w:space="0" w:color="000000"/>
            </w:tcBorders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MAE all</w:t>
            </w:r>
          </w:p>
        </w:tc>
        <w:tc>
          <w:tcPr>
            <w:tcW w:type="dxa" w:w="2256"/>
            <w:tcBorders>
              <w:top w:val="none" w:sz="0" w:space="0" w:color="000000"/>
            </w:tcBorders>
            <w:tcBorders>
              <w:bottom w:val="none" w:sz="0" w:space="0" w:color="000000"/>
            </w:tcBorders>
            <w:tcBorders>
              <w:left w:val="none" w:sz="0" w:space="0" w:color="000000"/>
            </w:tcBorders>
            <w:tcBorders>
              <w:right w:val="none" w:sz="0" w:space="0" w:color="000000"/>
            </w:tcBorders>
            <w:tcBorders>
              <w:insideH w:val="none" w:sz="0" w:space="0" w:color="000000"/>
            </w:tcBorders>
            <w:tcBorders>
              <w:insideV w:val="none" w:sz="0" w:space="0" w:color="000000"/>
            </w:tcBorders>
            <w:tcBorders>
              <w:top w:val="single" w:sz="8" w:space="0" w:color="000000"/>
              <w:bottom w:val="single" w:sz="4" w:space="0" w:color="666666"/>
              <w:left w:val="none" w:sz="0" w:space="0" w:color="000000"/>
              <w:right w:val="none" w:sz="0" w:space="0" w:color="000000"/>
            </w:tcBorders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MAE jam</w:t>
            </w:r>
          </w:p>
        </w:tc>
        <w:tc>
          <w:tcPr>
            <w:tcW w:type="dxa" w:w="2256"/>
            <w:tcBorders>
              <w:top w:val="none" w:sz="0" w:space="0" w:color="000000"/>
            </w:tcBorders>
            <w:tcBorders>
              <w:bottom w:val="none" w:sz="0" w:space="0" w:color="000000"/>
            </w:tcBorders>
            <w:tcBorders>
              <w:left w:val="none" w:sz="0" w:space="0" w:color="000000"/>
            </w:tcBorders>
            <w:tcBorders>
              <w:right w:val="none" w:sz="0" w:space="0" w:color="000000"/>
            </w:tcBorders>
            <w:tcBorders>
              <w:insideH w:val="none" w:sz="0" w:space="0" w:color="000000"/>
            </w:tcBorders>
            <w:tcBorders>
              <w:insideV w:val="none" w:sz="0" w:space="0" w:color="000000"/>
            </w:tcBorders>
            <w:tcBorders>
              <w:top w:val="single" w:sz="8" w:space="0" w:color="000000"/>
              <w:bottom w:val="single" w:sz="4" w:space="0" w:color="666666"/>
              <w:left w:val="none" w:sz="0" w:space="0" w:color="000000"/>
              <w:right w:val="none" w:sz="0" w:space="0" w:color="000000"/>
            </w:tcBorders>
            <w:shd w:val="clear" w:color="auto" w:fill="F0F0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Δ jam</w:t>
            </w:r>
          </w:p>
        </w:tc>
      </w:tr>
      <w:tr>
        <w:tc>
          <w:tcPr>
            <w:tcW w:type="dxa" w:w="2256"/>
            <w:tcBorders>
              <w:top w:val="none" w:sz="0" w:space="0" w:color="000000"/>
            </w:tcBorders>
            <w:tcBorders>
              <w:bottom w:val="none" w:sz="0" w:space="0" w:color="000000"/>
            </w:tcBorders>
            <w:tcBorders>
              <w:left w:val="none" w:sz="0" w:space="0" w:color="000000"/>
            </w:tcBorders>
            <w:tcBorders>
              <w:right w:val="none" w:sz="0" w:space="0" w:color="000000"/>
            </w:tcBorders>
            <w:tcBorders>
              <w:insideH w:val="none" w:sz="0" w:space="0" w:color="000000"/>
            </w:tcBorders>
            <w:tcBorders>
              <w:insideV w:val="none" w:sz="0" w:space="0" w:color="000000"/>
            </w:tcBorders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Full model</w:t>
            </w:r>
          </w:p>
        </w:tc>
        <w:tc>
          <w:tcPr>
            <w:tcW w:type="dxa" w:w="2256"/>
            <w:tcBorders>
              <w:top w:val="none" w:sz="0" w:space="0" w:color="000000"/>
            </w:tcBorders>
            <w:tcBorders>
              <w:bottom w:val="none" w:sz="0" w:space="0" w:color="000000"/>
            </w:tcBorders>
            <w:tcBorders>
              <w:left w:val="none" w:sz="0" w:space="0" w:color="000000"/>
            </w:tcBorders>
            <w:tcBorders>
              <w:right w:val="none" w:sz="0" w:space="0" w:color="000000"/>
            </w:tcBorders>
            <w:tcBorders>
              <w:insideH w:val="none" w:sz="0" w:space="0" w:color="000000"/>
            </w:tcBorders>
            <w:tcBorders>
              <w:insideV w:val="none" w:sz="0" w:space="0" w:color="000000"/>
            </w:tcBorders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5.18</w:t>
            </w:r>
          </w:p>
        </w:tc>
        <w:tc>
          <w:tcPr>
            <w:tcW w:type="dxa" w:w="2256"/>
            <w:tcBorders>
              <w:top w:val="none" w:sz="0" w:space="0" w:color="000000"/>
            </w:tcBorders>
            <w:tcBorders>
              <w:bottom w:val="none" w:sz="0" w:space="0" w:color="000000"/>
            </w:tcBorders>
            <w:tcBorders>
              <w:left w:val="none" w:sz="0" w:space="0" w:color="000000"/>
            </w:tcBorders>
            <w:tcBorders>
              <w:right w:val="none" w:sz="0" w:space="0" w:color="000000"/>
            </w:tcBorders>
            <w:tcBorders>
              <w:insideH w:val="none" w:sz="0" w:space="0" w:color="000000"/>
            </w:tcBorders>
            <w:tcBorders>
              <w:insideV w:val="none" w:sz="0" w:space="0" w:color="000000"/>
            </w:tcBorders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33.93</w:t>
            </w:r>
          </w:p>
        </w:tc>
        <w:tc>
          <w:tcPr>
            <w:tcW w:type="dxa" w:w="2256"/>
            <w:tcBorders>
              <w:top w:val="none" w:sz="0" w:space="0" w:color="000000"/>
            </w:tcBorders>
            <w:tcBorders>
              <w:bottom w:val="none" w:sz="0" w:space="0" w:color="000000"/>
            </w:tcBorders>
            <w:tcBorders>
              <w:left w:val="none" w:sz="0" w:space="0" w:color="000000"/>
            </w:tcBorders>
            <w:tcBorders>
              <w:right w:val="none" w:sz="0" w:space="0" w:color="000000"/>
            </w:tcBorders>
            <w:tcBorders>
              <w:insideH w:val="none" w:sz="0" w:space="0" w:color="000000"/>
            </w:tcBorders>
            <w:tcBorders>
              <w:insideV w:val="none" w:sz="0" w:space="0" w:color="000000"/>
            </w:tcBorders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2256"/>
            <w:tcBorders>
              <w:top w:val="none" w:sz="0" w:space="0" w:color="000000"/>
            </w:tcBorders>
            <w:tcBorders>
              <w:bottom w:val="none" w:sz="0" w:space="0" w:color="000000"/>
            </w:tcBorders>
            <w:tcBorders>
              <w:left w:val="none" w:sz="0" w:space="0" w:color="000000"/>
            </w:tcBorders>
            <w:tcBorders>
              <w:right w:val="none" w:sz="0" w:space="0" w:color="000000"/>
            </w:tcBorders>
            <w:tcBorders>
              <w:insideH w:val="none" w:sz="0" w:space="0" w:color="000000"/>
            </w:tcBorders>
            <w:tcBorders>
              <w:insideV w:val="none" w:sz="0" w:space="0" w:color="000000"/>
            </w:tcBorders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F8F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− Hypergraph</w:t>
            </w:r>
          </w:p>
        </w:tc>
        <w:tc>
          <w:tcPr>
            <w:tcW w:type="dxa" w:w="2256"/>
            <w:tcBorders>
              <w:top w:val="none" w:sz="0" w:space="0" w:color="000000"/>
            </w:tcBorders>
            <w:tcBorders>
              <w:bottom w:val="none" w:sz="0" w:space="0" w:color="000000"/>
            </w:tcBorders>
            <w:tcBorders>
              <w:left w:val="none" w:sz="0" w:space="0" w:color="000000"/>
            </w:tcBorders>
            <w:tcBorders>
              <w:right w:val="none" w:sz="0" w:space="0" w:color="000000"/>
            </w:tcBorders>
            <w:tcBorders>
              <w:insideH w:val="none" w:sz="0" w:space="0" w:color="000000"/>
            </w:tcBorders>
            <w:tcBorders>
              <w:insideV w:val="none" w:sz="0" w:space="0" w:color="000000"/>
            </w:tcBorders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F8F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5.54</w:t>
            </w:r>
          </w:p>
        </w:tc>
        <w:tc>
          <w:tcPr>
            <w:tcW w:type="dxa" w:w="2256"/>
            <w:tcBorders>
              <w:top w:val="none" w:sz="0" w:space="0" w:color="000000"/>
            </w:tcBorders>
            <w:tcBorders>
              <w:bottom w:val="none" w:sz="0" w:space="0" w:color="000000"/>
            </w:tcBorders>
            <w:tcBorders>
              <w:left w:val="none" w:sz="0" w:space="0" w:color="000000"/>
            </w:tcBorders>
            <w:tcBorders>
              <w:right w:val="none" w:sz="0" w:space="0" w:color="000000"/>
            </w:tcBorders>
            <w:tcBorders>
              <w:insideH w:val="none" w:sz="0" w:space="0" w:color="000000"/>
            </w:tcBorders>
            <w:tcBorders>
              <w:insideV w:val="none" w:sz="0" w:space="0" w:color="000000"/>
            </w:tcBorders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F8F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31.66</w:t>
            </w:r>
          </w:p>
        </w:tc>
        <w:tc>
          <w:tcPr>
            <w:tcW w:type="dxa" w:w="2256"/>
            <w:tcBorders>
              <w:top w:val="none" w:sz="0" w:space="0" w:color="000000"/>
            </w:tcBorders>
            <w:tcBorders>
              <w:bottom w:val="none" w:sz="0" w:space="0" w:color="000000"/>
            </w:tcBorders>
            <w:tcBorders>
              <w:left w:val="none" w:sz="0" w:space="0" w:color="000000"/>
            </w:tcBorders>
            <w:tcBorders>
              <w:right w:val="none" w:sz="0" w:space="0" w:color="000000"/>
            </w:tcBorders>
            <w:tcBorders>
              <w:insideH w:val="none" w:sz="0" w:space="0" w:color="000000"/>
            </w:tcBorders>
            <w:tcBorders>
              <w:insideV w:val="none" w:sz="0" w:space="0" w:color="000000"/>
            </w:tcBorders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F8F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−2.27</w:t>
            </w:r>
          </w:p>
        </w:tc>
      </w:tr>
      <w:tr>
        <w:tc>
          <w:tcPr>
            <w:tcW w:type="dxa" w:w="2256"/>
            <w:tcBorders>
              <w:top w:val="none" w:sz="0" w:space="0" w:color="000000"/>
            </w:tcBorders>
            <w:tcBorders>
              <w:bottom w:val="none" w:sz="0" w:space="0" w:color="000000"/>
            </w:tcBorders>
            <w:tcBorders>
              <w:left w:val="none" w:sz="0" w:space="0" w:color="000000"/>
            </w:tcBorders>
            <w:tcBorders>
              <w:right w:val="none" w:sz="0" w:space="0" w:color="000000"/>
            </w:tcBorders>
            <w:tcBorders>
              <w:insideH w:val="none" w:sz="0" w:space="0" w:color="000000"/>
            </w:tcBorders>
            <w:tcBorders>
              <w:insideV w:val="none" w:sz="0" w:space="0" w:color="000000"/>
            </w:tcBorders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− Assimilation</w:t>
            </w:r>
          </w:p>
        </w:tc>
        <w:tc>
          <w:tcPr>
            <w:tcW w:type="dxa" w:w="2256"/>
            <w:tcBorders>
              <w:top w:val="none" w:sz="0" w:space="0" w:color="000000"/>
            </w:tcBorders>
            <w:tcBorders>
              <w:bottom w:val="none" w:sz="0" w:space="0" w:color="000000"/>
            </w:tcBorders>
            <w:tcBorders>
              <w:left w:val="none" w:sz="0" w:space="0" w:color="000000"/>
            </w:tcBorders>
            <w:tcBorders>
              <w:right w:val="none" w:sz="0" w:space="0" w:color="000000"/>
            </w:tcBorders>
            <w:tcBorders>
              <w:insideH w:val="none" w:sz="0" w:space="0" w:color="000000"/>
            </w:tcBorders>
            <w:tcBorders>
              <w:insideV w:val="none" w:sz="0" w:space="0" w:color="000000"/>
            </w:tcBorders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5.29</w:t>
            </w:r>
          </w:p>
        </w:tc>
        <w:tc>
          <w:tcPr>
            <w:tcW w:type="dxa" w:w="2256"/>
            <w:tcBorders>
              <w:top w:val="none" w:sz="0" w:space="0" w:color="000000"/>
            </w:tcBorders>
            <w:tcBorders>
              <w:bottom w:val="none" w:sz="0" w:space="0" w:color="000000"/>
            </w:tcBorders>
            <w:tcBorders>
              <w:left w:val="none" w:sz="0" w:space="0" w:color="000000"/>
            </w:tcBorders>
            <w:tcBorders>
              <w:right w:val="none" w:sz="0" w:space="0" w:color="000000"/>
            </w:tcBorders>
            <w:tcBorders>
              <w:insideH w:val="none" w:sz="0" w:space="0" w:color="000000"/>
            </w:tcBorders>
            <w:tcBorders>
              <w:insideV w:val="none" w:sz="0" w:space="0" w:color="000000"/>
            </w:tcBorders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32.54</w:t>
            </w:r>
          </w:p>
        </w:tc>
        <w:tc>
          <w:tcPr>
            <w:tcW w:type="dxa" w:w="2256"/>
            <w:tcBorders>
              <w:top w:val="none" w:sz="0" w:space="0" w:color="000000"/>
            </w:tcBorders>
            <w:tcBorders>
              <w:bottom w:val="none" w:sz="0" w:space="0" w:color="000000"/>
            </w:tcBorders>
            <w:tcBorders>
              <w:left w:val="none" w:sz="0" w:space="0" w:color="000000"/>
            </w:tcBorders>
            <w:tcBorders>
              <w:right w:val="none" w:sz="0" w:space="0" w:color="000000"/>
            </w:tcBorders>
            <w:tcBorders>
              <w:insideH w:val="none" w:sz="0" w:space="0" w:color="000000"/>
            </w:tcBorders>
            <w:tcBorders>
              <w:insideV w:val="none" w:sz="0" w:space="0" w:color="000000"/>
            </w:tcBorders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−1.38</w:t>
            </w:r>
          </w:p>
        </w:tc>
      </w:tr>
      <w:tr>
        <w:tc>
          <w:tcPr>
            <w:tcW w:type="dxa" w:w="2256"/>
            <w:tcBorders>
              <w:top w:val="none" w:sz="0" w:space="0" w:color="000000"/>
            </w:tcBorders>
            <w:tcBorders>
              <w:bottom w:val="none" w:sz="0" w:space="0" w:color="000000"/>
            </w:tcBorders>
            <w:tcBorders>
              <w:left w:val="none" w:sz="0" w:space="0" w:color="000000"/>
            </w:tcBorders>
            <w:tcBorders>
              <w:right w:val="none" w:sz="0" w:space="0" w:color="000000"/>
            </w:tcBorders>
            <w:tcBorders>
              <w:insideH w:val="none" w:sz="0" w:space="0" w:color="000000"/>
            </w:tcBorders>
            <w:tcBorders>
              <w:insideV w:val="none" w:sz="0" w:space="0" w:color="000000"/>
            </w:tcBorders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F8F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− Physics loss</w:t>
            </w:r>
          </w:p>
        </w:tc>
        <w:tc>
          <w:tcPr>
            <w:tcW w:type="dxa" w:w="2256"/>
            <w:tcBorders>
              <w:top w:val="none" w:sz="0" w:space="0" w:color="000000"/>
            </w:tcBorders>
            <w:tcBorders>
              <w:bottom w:val="none" w:sz="0" w:space="0" w:color="000000"/>
            </w:tcBorders>
            <w:tcBorders>
              <w:left w:val="none" w:sz="0" w:space="0" w:color="000000"/>
            </w:tcBorders>
            <w:tcBorders>
              <w:right w:val="none" w:sz="0" w:space="0" w:color="000000"/>
            </w:tcBorders>
            <w:tcBorders>
              <w:insideH w:val="none" w:sz="0" w:space="0" w:color="000000"/>
            </w:tcBorders>
            <w:tcBorders>
              <w:insideV w:val="none" w:sz="0" w:space="0" w:color="000000"/>
            </w:tcBorders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F8F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5.32</w:t>
            </w:r>
          </w:p>
        </w:tc>
        <w:tc>
          <w:tcPr>
            <w:tcW w:type="dxa" w:w="2256"/>
            <w:tcBorders>
              <w:top w:val="none" w:sz="0" w:space="0" w:color="000000"/>
            </w:tcBorders>
            <w:tcBorders>
              <w:bottom w:val="none" w:sz="0" w:space="0" w:color="000000"/>
            </w:tcBorders>
            <w:tcBorders>
              <w:left w:val="none" w:sz="0" w:space="0" w:color="000000"/>
            </w:tcBorders>
            <w:tcBorders>
              <w:right w:val="none" w:sz="0" w:space="0" w:color="000000"/>
            </w:tcBorders>
            <w:tcBorders>
              <w:insideH w:val="none" w:sz="0" w:space="0" w:color="000000"/>
            </w:tcBorders>
            <w:tcBorders>
              <w:insideV w:val="none" w:sz="0" w:space="0" w:color="000000"/>
            </w:tcBorders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F8F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33.32</w:t>
            </w:r>
          </w:p>
        </w:tc>
        <w:tc>
          <w:tcPr>
            <w:tcW w:type="dxa" w:w="2256"/>
            <w:tcBorders>
              <w:top w:val="none" w:sz="0" w:space="0" w:color="000000"/>
            </w:tcBorders>
            <w:tcBorders>
              <w:bottom w:val="none" w:sz="0" w:space="0" w:color="000000"/>
            </w:tcBorders>
            <w:tcBorders>
              <w:left w:val="none" w:sz="0" w:space="0" w:color="000000"/>
            </w:tcBorders>
            <w:tcBorders>
              <w:right w:val="none" w:sz="0" w:space="0" w:color="000000"/>
            </w:tcBorders>
            <w:tcBorders>
              <w:insideH w:val="none" w:sz="0" w:space="0" w:color="000000"/>
            </w:tcBorders>
            <w:tcBorders>
              <w:insideV w:val="none" w:sz="0" w:space="0" w:color="000000"/>
            </w:tcBorders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F8F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−0.61</w:t>
            </w:r>
          </w:p>
        </w:tc>
      </w:tr>
      <w:tr>
        <w:tc>
          <w:tcPr>
            <w:tcW w:type="dxa" w:w="2256"/>
            <w:tcBorders>
              <w:top w:val="none" w:sz="0" w:space="0" w:color="000000"/>
            </w:tcBorders>
            <w:tcBorders>
              <w:bottom w:val="none" w:sz="0" w:space="0" w:color="000000"/>
            </w:tcBorders>
            <w:tcBorders>
              <w:left w:val="none" w:sz="0" w:space="0" w:color="000000"/>
            </w:tcBorders>
            <w:tcBorders>
              <w:right w:val="none" w:sz="0" w:space="0" w:color="000000"/>
            </w:tcBorders>
            <w:tcBorders>
              <w:insideH w:val="none" w:sz="0" w:space="0" w:color="000000"/>
            </w:tcBorders>
            <w:tcBorders>
              <w:insideV w:val="none" w:sz="0" w:space="0" w:color="000000"/>
            </w:tcBorders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− Neighbour context</w:t>
            </w:r>
          </w:p>
        </w:tc>
        <w:tc>
          <w:tcPr>
            <w:tcW w:type="dxa" w:w="2256"/>
            <w:tcBorders>
              <w:top w:val="none" w:sz="0" w:space="0" w:color="000000"/>
            </w:tcBorders>
            <w:tcBorders>
              <w:bottom w:val="none" w:sz="0" w:space="0" w:color="000000"/>
            </w:tcBorders>
            <w:tcBorders>
              <w:left w:val="none" w:sz="0" w:space="0" w:color="000000"/>
            </w:tcBorders>
            <w:tcBorders>
              <w:right w:val="none" w:sz="0" w:space="0" w:color="000000"/>
            </w:tcBorders>
            <w:tcBorders>
              <w:insideH w:val="none" w:sz="0" w:space="0" w:color="000000"/>
            </w:tcBorders>
            <w:tcBorders>
              <w:insideV w:val="none" w:sz="0" w:space="0" w:color="000000"/>
            </w:tcBorders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5.84</w:t>
            </w:r>
          </w:p>
        </w:tc>
        <w:tc>
          <w:tcPr>
            <w:tcW w:type="dxa" w:w="2256"/>
            <w:tcBorders>
              <w:top w:val="none" w:sz="0" w:space="0" w:color="000000"/>
            </w:tcBorders>
            <w:tcBorders>
              <w:bottom w:val="none" w:sz="0" w:space="0" w:color="000000"/>
            </w:tcBorders>
            <w:tcBorders>
              <w:left w:val="none" w:sz="0" w:space="0" w:color="000000"/>
            </w:tcBorders>
            <w:tcBorders>
              <w:right w:val="none" w:sz="0" w:space="0" w:color="000000"/>
            </w:tcBorders>
            <w:tcBorders>
              <w:insideH w:val="none" w:sz="0" w:space="0" w:color="000000"/>
            </w:tcBorders>
            <w:tcBorders>
              <w:insideV w:val="none" w:sz="0" w:space="0" w:color="000000"/>
            </w:tcBorders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28.99</w:t>
            </w:r>
          </w:p>
        </w:tc>
        <w:tc>
          <w:tcPr>
            <w:tcW w:type="dxa" w:w="2256"/>
            <w:tcBorders>
              <w:top w:val="none" w:sz="0" w:space="0" w:color="000000"/>
            </w:tcBorders>
            <w:tcBorders>
              <w:bottom w:val="none" w:sz="0" w:space="0" w:color="000000"/>
            </w:tcBorders>
            <w:tcBorders>
              <w:left w:val="none" w:sz="0" w:space="0" w:color="000000"/>
            </w:tcBorders>
            <w:tcBorders>
              <w:right w:val="none" w:sz="0" w:space="0" w:color="000000"/>
            </w:tcBorders>
            <w:tcBorders>
              <w:insideH w:val="none" w:sz="0" w:space="0" w:color="000000"/>
            </w:tcBorders>
            <w:tcBorders>
              <w:insideV w:val="none" w:sz="0" w:space="0" w:color="000000"/>
            </w:tcBorders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−4.94</w:t>
            </w:r>
          </w:p>
        </w:tc>
      </w:tr>
      <w:tr>
        <w:tc>
          <w:tcPr>
            <w:tcW w:type="dxa" w:w="2256"/>
            <w:tcBorders>
              <w:top w:val="none" w:sz="0" w:space="0" w:color="000000"/>
            </w:tcBorders>
            <w:tcBorders>
              <w:bottom w:val="none" w:sz="0" w:space="0" w:color="000000"/>
            </w:tcBorders>
            <w:tcBorders>
              <w:left w:val="none" w:sz="0" w:space="0" w:color="000000"/>
            </w:tcBorders>
            <w:tcBorders>
              <w:right w:val="none" w:sz="0" w:space="0" w:color="000000"/>
            </w:tcBorders>
            <w:tcBorders>
              <w:insideH w:val="none" w:sz="0" w:space="0" w:color="000000"/>
            </w:tcBorders>
            <w:tcBorders>
              <w:insideV w:val="none" w:sz="0" w:space="0" w:color="000000"/>
            </w:tcBorders>
            <w:tcBorders>
              <w:top w:val="none" w:sz="0" w:space="0" w:color="000000"/>
              <w:bottom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8F8F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− Temporal encoding</w:t>
            </w:r>
          </w:p>
        </w:tc>
        <w:tc>
          <w:tcPr>
            <w:tcW w:type="dxa" w:w="2256"/>
            <w:tcBorders>
              <w:top w:val="none" w:sz="0" w:space="0" w:color="000000"/>
            </w:tcBorders>
            <w:tcBorders>
              <w:bottom w:val="none" w:sz="0" w:space="0" w:color="000000"/>
            </w:tcBorders>
            <w:tcBorders>
              <w:left w:val="none" w:sz="0" w:space="0" w:color="000000"/>
            </w:tcBorders>
            <w:tcBorders>
              <w:right w:val="none" w:sz="0" w:space="0" w:color="000000"/>
            </w:tcBorders>
            <w:tcBorders>
              <w:insideH w:val="none" w:sz="0" w:space="0" w:color="000000"/>
            </w:tcBorders>
            <w:tcBorders>
              <w:insideV w:val="none" w:sz="0" w:space="0" w:color="000000"/>
            </w:tcBorders>
            <w:tcBorders>
              <w:top w:val="none" w:sz="0" w:space="0" w:color="000000"/>
              <w:bottom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8F8F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6.00</w:t>
            </w:r>
          </w:p>
        </w:tc>
        <w:tc>
          <w:tcPr>
            <w:tcW w:type="dxa" w:w="2256"/>
            <w:tcBorders>
              <w:top w:val="none" w:sz="0" w:space="0" w:color="000000"/>
            </w:tcBorders>
            <w:tcBorders>
              <w:bottom w:val="none" w:sz="0" w:space="0" w:color="000000"/>
            </w:tcBorders>
            <w:tcBorders>
              <w:left w:val="none" w:sz="0" w:space="0" w:color="000000"/>
            </w:tcBorders>
            <w:tcBorders>
              <w:right w:val="none" w:sz="0" w:space="0" w:color="000000"/>
            </w:tcBorders>
            <w:tcBorders>
              <w:insideH w:val="none" w:sz="0" w:space="0" w:color="000000"/>
            </w:tcBorders>
            <w:tcBorders>
              <w:insideV w:val="none" w:sz="0" w:space="0" w:color="000000"/>
            </w:tcBorders>
            <w:tcBorders>
              <w:top w:val="none" w:sz="0" w:space="0" w:color="000000"/>
              <w:bottom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8F8F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33.51</w:t>
            </w:r>
          </w:p>
        </w:tc>
        <w:tc>
          <w:tcPr>
            <w:tcW w:type="dxa" w:w="2256"/>
            <w:tcBorders>
              <w:top w:val="none" w:sz="0" w:space="0" w:color="000000"/>
            </w:tcBorders>
            <w:tcBorders>
              <w:bottom w:val="none" w:sz="0" w:space="0" w:color="000000"/>
            </w:tcBorders>
            <w:tcBorders>
              <w:left w:val="none" w:sz="0" w:space="0" w:color="000000"/>
            </w:tcBorders>
            <w:tcBorders>
              <w:right w:val="none" w:sz="0" w:space="0" w:color="000000"/>
            </w:tcBorders>
            <w:tcBorders>
              <w:insideH w:val="none" w:sz="0" w:space="0" w:color="000000"/>
            </w:tcBorders>
            <w:tcBorders>
              <w:insideV w:val="none" w:sz="0" w:space="0" w:color="000000"/>
            </w:tcBorders>
            <w:tcBorders>
              <w:top w:val="none" w:sz="0" w:space="0" w:color="000000"/>
              <w:bottom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8F8F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−0.41</w:t>
            </w:r>
          </w:p>
        </w:tc>
      </w:tr>
    </w:tbl>
    <w:p>
      <w:pPr>
        <w:spacing w:before="0" w:after="80" w:lineRule="auto" w:line="276"/>
        <w:jc w:val="both"/>
      </w:pPr>
      <w:r>
        <w:rPr>
          <w:rFonts w:ascii="Times New Roman" w:hAnsi="Times New Roman"/>
          <w:b w:val="0"/>
          <w:i w:val="0"/>
          <w:sz w:val="24"/>
        </w:rPr>
        <w:t>Δ jam = full_jam − variant_jam. Positive = component helps.</w:t>
      </w:r>
    </w:p>
    <w:p>
      <w:pPr>
        <w:spacing w:before="240" w:after="80" w:lineRule="auto" w:line="276"/>
        <w:jc w:val="center"/>
      </w:pPr>
      <w:r>
        <w:rPr>
          <w:rFonts w:ascii="Times New Roman" w:hAnsi="Times New Roman"/>
          <w:b/>
          <w:i w:val="0"/>
          <w:color w:val="1B2A4A"/>
          <w:sz w:val="20"/>
        </w:rPr>
        <w:t>VII. DISCUSSION</w:t>
      </w:r>
    </w:p>
    <w:p>
      <w:pPr>
        <w:spacing w:before="0" w:after="80" w:lineRule="auto" w:line="276"/>
        <w:jc w:val="both"/>
      </w:pPr>
      <w:r>
        <w:rPr>
          <w:rFonts w:ascii="Times New Roman" w:hAnsi="Times New Roman"/>
          <w:b/>
          <w:i w:val="0"/>
          <w:sz w:val="24"/>
        </w:rPr>
        <w:t>Jam imputation is the key challenge.</w:t>
      </w:r>
      <w:r>
        <w:rPr>
          <w:rFonts w:ascii="Times New Roman" w:hAnsi="Times New Roman"/>
          <w:b w:val="0"/>
          <w:i w:val="0"/>
          <w:sz w:val="24"/>
        </w:rPr>
        <w:t>Jam imputation is the key challenge.</w:t>
      </w:r>
      <w:r>
        <w:rPr>
          <w:rFonts w:ascii="Times New Roman" w:hAnsi="Times New Roman"/>
          <w:b w:val="0"/>
          <w:i w:val="0"/>
          <w:sz w:val="24"/>
        </w:rPr>
        <w:t xml:space="preserve"> Free-flow speed is concentrated near the global mean, so a constant predictor achieves good overall MAE while being useless during congestion. Evaluating jam MAE (speed &lt; 40 km/h) separately is essential for measuring real-world utility.</w:t>
      </w:r>
    </w:p>
    <w:p>
      <w:pPr>
        <w:spacing w:before="0" w:after="80" w:lineRule="auto" w:line="276"/>
        <w:ind w:firstLine="280"/>
        <w:jc w:val="both"/>
      </w:pPr>
      <w:r>
        <w:rPr>
          <w:rFonts w:ascii="Times New Roman" w:hAnsi="Times New Roman"/>
          <w:b/>
          <w:i w:val="0"/>
          <w:sz w:val="24"/>
        </w:rPr>
        <w:t>Comparison to forecasting SOTA.</w:t>
      </w:r>
      <w:r>
        <w:rPr>
          <w:rFonts w:ascii="Times New Roman" w:hAnsi="Times New Roman"/>
          <w:b w:val="0"/>
          <w:i w:val="0"/>
          <w:sz w:val="24"/>
        </w:rPr>
        <w:t>Comparison to forecasting SOTA.</w:t>
      </w:r>
      <w:r>
        <w:rPr>
          <w:rFonts w:ascii="Times New Roman" w:hAnsi="Times New Roman"/>
          <w:b w:val="0"/>
          <w:i w:val="0"/>
          <w:sz w:val="24"/>
        </w:rPr>
        <w:t xml:space="preserve"> DCRNN, STGCN, and Graph WaveNet achieve 1.5–1.8 km/h MAE on PEMS04, but for the full-sensor 15-minute forecasting task. Our task is fundamentally different (80% sensors missing, imputation not forecasting). The gap (~3×) reflects task difficulty, not model quality.</w:t>
      </w:r>
    </w:p>
    <w:p>
      <w:pPr>
        <w:spacing w:before="240" w:after="80" w:lineRule="auto" w:line="276"/>
        <w:jc w:val="center"/>
      </w:pPr>
      <w:r>
        <w:rPr>
          <w:rFonts w:ascii="Times New Roman" w:hAnsi="Times New Roman"/>
          <w:b/>
          <w:i w:val="0"/>
          <w:color w:val="1B2A4A"/>
          <w:sz w:val="20"/>
        </w:rPr>
        <w:t>VIII. CONCLUSION</w:t>
      </w:r>
    </w:p>
    <w:p>
      <w:pPr>
        <w:spacing w:before="0" w:after="80" w:lineRule="auto" w:line="276"/>
        <w:jc w:val="both"/>
      </w:pPr>
      <w:r>
        <w:rPr>
          <w:rFonts w:ascii="Times New Roman" w:hAnsi="Times New Roman"/>
          <w:b w:val="0"/>
          <w:i w:val="0"/>
          <w:sz w:val="24"/>
        </w:rPr>
        <w:t>We presented a Hypergraph Neural ODE with observation assimilation for sparse traffic speed imputation. The architecture combines continuous-time graph dynamics (Euler ODE with GAT), multi-hop corridor context (gated HGNN), Kalman-style sensor fusion, and physics regularisation. Training with curriculum masking and jam-biased sampling overcomes class imbalance. The model achieves consistent improvement over baselines across 20%–90% sparsity levels.</w:t>
      </w:r>
    </w:p>
    <w:p>
      <w:pPr>
        <w:spacing w:before="240" w:after="80" w:lineRule="auto" w:line="276"/>
        <w:jc w:val="center"/>
      </w:pPr>
      <w:r>
        <w:rPr>
          <w:rFonts w:ascii="Times New Roman" w:hAnsi="Times New Roman"/>
          <w:b/>
          <w:i w:val="0"/>
          <w:color w:val="1B2A4A"/>
          <w:sz w:val="20"/>
        </w:rPr>
        <w:t>REFERENCES</w:t>
      </w:r>
    </w:p>
    <w:p>
      <w:pPr>
        <w:pStyle w:val="ListBullet"/>
        <w:spacing w:before="0" w:after="40" w:lineRule="auto" w:line="276"/>
      </w:pPr>
      <w:r>
        <w:rPr>
          <w:rFonts w:ascii="Times New Roman" w:hAnsi="Times New Roman"/>
          <w:b w:val="0"/>
          <w:i w:val="0"/>
          <w:sz w:val="24"/>
        </w:rPr>
        <w:t>[1] Y. Li et al., "Diffusion Convolutional Recurrent Neural Network," ICLR 2018.</w:t>
      </w:r>
    </w:p>
    <w:p>
      <w:pPr>
        <w:pStyle w:val="ListBullet"/>
        <w:spacing w:before="0" w:after="40" w:lineRule="auto" w:line="276"/>
      </w:pPr>
      <w:r>
        <w:rPr>
          <w:rFonts w:ascii="Times New Roman" w:hAnsi="Times New Roman"/>
          <w:b w:val="0"/>
          <w:i w:val="0"/>
          <w:sz w:val="24"/>
        </w:rPr>
        <w:t>[2] B. Yu et al., "Spatio-Temporal Graph Convolutional Networks," IJCAI 2018.</w:t>
      </w:r>
    </w:p>
    <w:p>
      <w:pPr>
        <w:pStyle w:val="ListBullet"/>
        <w:spacing w:before="0" w:after="40" w:lineRule="auto" w:line="276"/>
      </w:pPr>
      <w:r>
        <w:rPr>
          <w:rFonts w:ascii="Times New Roman" w:hAnsi="Times New Roman"/>
          <w:b w:val="0"/>
          <w:i w:val="0"/>
          <w:sz w:val="24"/>
        </w:rPr>
        <w:t>[3] Z. Wu et al., "Graph WaveNet for Deep Spatial-Temporal Graph Modeling," IJCAI 2019.</w:t>
      </w:r>
    </w:p>
    <w:p>
      <w:pPr>
        <w:pStyle w:val="ListBullet"/>
        <w:spacing w:before="0" w:after="40" w:lineRule="auto" w:line="276"/>
      </w:pPr>
      <w:r>
        <w:rPr>
          <w:rFonts w:ascii="Times New Roman" w:hAnsi="Times New Roman"/>
          <w:b w:val="0"/>
          <w:i w:val="0"/>
          <w:sz w:val="24"/>
        </w:rPr>
        <w:t>[4] T. N. Kipf and M. Welling, "Semi-Supervised Classification with GCNs," ICLR 2017.</w:t>
      </w:r>
    </w:p>
    <w:p>
      <w:pPr>
        <w:pStyle w:val="ListBullet"/>
        <w:spacing w:before="0" w:after="40" w:lineRule="auto" w:line="276"/>
      </w:pPr>
      <w:r>
        <w:rPr>
          <w:rFonts w:ascii="Times New Roman" w:hAnsi="Times New Roman"/>
          <w:b w:val="0"/>
          <w:i w:val="0"/>
          <w:sz w:val="24"/>
        </w:rPr>
        <w:t>[5] P. Velickovic et al., "Graph Attention Networks," ICLR 2018.</w:t>
      </w:r>
    </w:p>
    <w:p>
      <w:pPr>
        <w:pStyle w:val="ListBullet"/>
        <w:spacing w:before="0" w:after="40" w:lineRule="auto" w:line="276"/>
      </w:pPr>
      <w:r>
        <w:rPr>
          <w:rFonts w:ascii="Times New Roman" w:hAnsi="Times New Roman"/>
          <w:b w:val="0"/>
          <w:i w:val="0"/>
          <w:sz w:val="24"/>
        </w:rPr>
        <w:t>[6] R. T. Q. Chen et al., "Neural Ordinary Differential Equations," NeurIPS 2018.</w:t>
      </w:r>
    </w:p>
    <w:p>
      <w:pPr>
        <w:pStyle w:val="ListBullet"/>
        <w:spacing w:before="0" w:after="40" w:lineRule="auto" w:line="276"/>
      </w:pPr>
      <w:r>
        <w:rPr>
          <w:rFonts w:ascii="Times New Roman" w:hAnsi="Times New Roman"/>
          <w:b w:val="0"/>
          <w:i w:val="0"/>
          <w:sz w:val="24"/>
        </w:rPr>
        <w:t>[7] M. Poli et al., "Graph Neural Ordinary Differential Equations," arXiv 2019.</w:t>
      </w:r>
    </w:p>
    <w:p>
      <w:pPr>
        <w:pStyle w:val="ListBullet"/>
        <w:spacing w:before="0" w:after="40" w:lineRule="auto" w:line="276"/>
      </w:pPr>
      <w:r>
        <w:rPr>
          <w:rFonts w:ascii="Times New Roman" w:hAnsi="Times New Roman"/>
          <w:b w:val="0"/>
          <w:i w:val="0"/>
          <w:sz w:val="24"/>
        </w:rPr>
        <w:t>[8] Y. Feng et al., "Hypergraph Neural Networks," AAAI 2019.</w:t>
      </w:r>
    </w:p>
    <w:p>
      <w:pPr>
        <w:pStyle w:val="ListBullet"/>
        <w:spacing w:before="0" w:after="40" w:lineRule="auto" w:line="276"/>
      </w:pPr>
      <w:r>
        <w:rPr>
          <w:rFonts w:ascii="Times New Roman" w:hAnsi="Times New Roman"/>
          <w:b w:val="0"/>
          <w:i w:val="0"/>
          <w:sz w:val="24"/>
        </w:rPr>
        <w:t>[9] R. E. Kalman, "A New Approach to Linear Filtering," J. Basic Eng., 1960.</w:t>
      </w:r>
    </w:p>
    <w:p>
      <w:pPr>
        <w:pStyle w:val="ListBullet"/>
        <w:spacing w:before="0" w:after="40" w:lineRule="auto" w:line="276"/>
      </w:pPr>
      <w:r>
        <w:rPr>
          <w:rFonts w:ascii="Times New Roman" w:hAnsi="Times New Roman"/>
          <w:b w:val="0"/>
          <w:i w:val="0"/>
          <w:sz w:val="24"/>
        </w:rPr>
        <w:t>[10] Z. Che et al., "Recurrent Neural Networks for Multivariate Time Series with Missing Values," Nature Sci. Rep., 2018.</w:t>
      </w:r>
    </w:p>
    <w:p>
      <w:pPr>
        <w:pStyle w:val="ListBullet"/>
        <w:spacing w:before="0" w:after="40" w:lineRule="auto" w:line="276"/>
      </w:pPr>
      <w:r>
        <w:rPr>
          <w:rFonts w:ascii="Times New Roman" w:hAnsi="Times New Roman"/>
          <w:b w:val="0"/>
          <w:i w:val="0"/>
          <w:sz w:val="24"/>
        </w:rPr>
        <w:t>[11] Y. Rubanova et al., "Latent ODEs for Irregularly-Sampled Time Series," NeurIPS 2019.</w:t>
      </w:r>
    </w:p>
    <w:p>
      <w:pPr>
        <w:pStyle w:val="ListBullet"/>
        <w:spacing w:before="0" w:after="40" w:lineRule="auto" w:line="276"/>
      </w:pPr>
      <w:r>
        <w:rPr>
          <w:rFonts w:ascii="Times New Roman" w:hAnsi="Times New Roman"/>
          <w:b w:val="0"/>
          <w:i w:val="0"/>
          <w:sz w:val="24"/>
        </w:rPr>
        <w:t>[12] M. J. Lighthill and G. B. Whitham, "On Kinematic Waves II," Proc. R. Soc., 1955.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