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ptos" w:hAnsi="Aptos"/>
          <w:b/>
          <w:color w:val="007C83"/>
          <w:sz w:val="20"/>
        </w:rPr>
        <w:t>CC MANUFACTURING GROUP</w:t>
      </w:r>
    </w:p>
    <w:p>
      <w:pPr>
        <w:pStyle w:val="Title"/>
      </w:pPr>
      <w:r>
        <w:t>INFORME TÉCNICO</w:t>
        <w:br/>
        <w:t>DE AVANCE</w:t>
      </w:r>
    </w:p>
    <w:p>
      <w:pPr>
        <w:pStyle w:val="Subtitle"/>
      </w:pPr>
      <w:r>
        <w:t>Hito 3 — Fases 5 a 8</w:t>
      </w:r>
    </w:p>
    <w:p>
      <w:pPr>
        <w:pBdr>
          <w:bottom w:val="single" w:sz="16" w:color="007C83"/>
        </w:pBdr>
      </w:pPr>
    </w:p>
    <w:p>
      <w:r>
        <w:rPr>
          <w:rFonts w:ascii="Aptos Display" w:hAnsi="Aptos Display"/>
          <w:b/>
          <w:color w:val="17365D"/>
          <w:sz w:val="34"/>
        </w:rPr>
        <w:t>ORCA MFG ERP v2</w:t>
      </w:r>
    </w:p>
    <w:p>
      <w:r>
        <w:rPr>
          <w:color w:val="5B6573"/>
          <w:sz w:val="22"/>
        </w:rPr>
        <w:t>Órdenes de Producción · Planeación y Capacidad · Producción y Entregas · Cuentas por Cobrar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Estado del hito</w:t>
            </w:r>
          </w:p>
        </w:tc>
        <w:tc>
          <w:tcPr>
            <w:tcW w:type="dxa" w:w="50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20744A"/>
                <w:sz w:val="18"/>
              </w:rPr>
              <w:t>Desarrollo técnico completado y validado con datos ficticios</w:t>
            </w:r>
          </w:p>
        </w:tc>
      </w:tr>
      <w:tr>
        <w:tc>
          <w:tcPr>
            <w:tcW w:type="dxa" w:w="5083"/>
            <w:shd w:fill="EAF1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7365D"/>
                <w:sz w:val="18"/>
              </w:rPr>
              <w:t>Periodo informado</w:t>
            </w:r>
          </w:p>
        </w:tc>
        <w:tc>
          <w:tcPr>
            <w:tcW w:type="dxa" w:w="50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8"/>
              </w:rPr>
              <w:t>Fases 5 a 8 — cierre técnico documentado al 14 de agosto de 2026</w:t>
            </w:r>
          </w:p>
        </w:tc>
      </w:tr>
      <w:tr>
        <w:tc>
          <w:tcPr>
            <w:tcW w:type="dxa" w:w="5083"/>
            <w:shd w:fill="EAF1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7365D"/>
                <w:sz w:val="18"/>
              </w:rPr>
              <w:t>Fecha de emisión</w:t>
            </w:r>
          </w:p>
        </w:tc>
        <w:tc>
          <w:tcPr>
            <w:tcW w:type="dxa" w:w="50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8"/>
              </w:rPr>
              <w:t>30 de agosto de 2026</w:t>
            </w:r>
          </w:p>
        </w:tc>
      </w:tr>
      <w:tr>
        <w:tc>
          <w:tcPr>
            <w:tcW w:type="dxa" w:w="5083"/>
            <w:shd w:fill="EAF1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7365D"/>
                <w:sz w:val="18"/>
              </w:rPr>
              <w:t>Destinatario</w:t>
            </w:r>
          </w:p>
        </w:tc>
        <w:tc>
          <w:tcPr>
            <w:tcW w:type="dxa" w:w="50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8"/>
              </w:rPr>
              <w:t>CC Manufacturing Group / Mi Robot Centro CNC</w:t>
            </w:r>
          </w:p>
        </w:tc>
      </w:tr>
    </w:tbl>
    <w:p>
      <w:pPr>
        <w:spacing w:before="440"/>
      </w:pPr>
      <w:r>
        <w:rPr>
          <w:i/>
          <w:color w:val="5B6573"/>
          <w:sz w:val="18"/>
        </w:rPr>
        <w:t>Propósito: comunicar el avance funcional y técnico verificable para la revisión del cliente. Este documento no sustituye una aceptación de puesta en producción ni incorpora información del entorno interno de desarrollo.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Hito 3 consolida el flujo operativo desde que una oportunidad se convierte en una orden de producción hasta su entrega y cobranza. Se priorizó que las operaciones de piso, capacidad, inventario y pagos sean trazables y seguras ante usuarios concurrentes.</w:t>
      </w:r>
    </w:p>
    <w:p>
      <w:pPr>
        <w:spacing w:before="80" w:after="100"/>
      </w:pPr>
      <w:r>
        <w:rPr>
          <w:rFonts w:ascii="Aptos" w:hAnsi="Aptos"/>
          <w:b/>
          <w:color w:val="007C83"/>
          <w:sz w:val="16"/>
        </w:rPr>
        <w:t>RESULTADO PARA OPERACIÓN</w:t>
      </w:r>
    </w:p>
    <w:p>
      <w:pPr>
        <w:pStyle w:val="ListBullet"/>
        <w:spacing w:after="60"/>
      </w:pPr>
      <w:r>
        <w:t>Órdenes de Producción con folios atómicos, partidas, prioridades, tiempos de operador, avance y consumo de materiales.</w:t>
      </w:r>
    </w:p>
    <w:p>
      <w:pPr>
        <w:pStyle w:val="ListBullet"/>
        <w:spacing w:after="60"/>
      </w:pPr>
      <w:r>
        <w:t>Planeación por recursos y turnos, con capacidad finita, reprogramación controlada y prevención de conflictos de agenda.</w:t>
      </w:r>
    </w:p>
    <w:p>
      <w:pPr>
        <w:pStyle w:val="ListBullet"/>
        <w:spacing w:after="60"/>
      </w:pPr>
      <w:r>
        <w:t>Producción de piso con sesiones de trabajo, avances inmutables, entregas parciales o totales y firmas de entrega.</w:t>
      </w:r>
    </w:p>
    <w:p>
      <w:pPr>
        <w:pStyle w:val="ListBullet"/>
        <w:spacing w:after="60"/>
      </w:pPr>
      <w:r>
        <w:t>Cuentas por Cobrar con recibos atómicos, pagos en MXN/USD, manejo de sobrepagos y monedero del cliente en MXN.</w:t>
      </w:r>
    </w:p>
    <w:p>
      <w:pPr>
        <w:pStyle w:val="ListBullet"/>
        <w:spacing w:after="60"/>
      </w:pPr>
      <w:r>
        <w:t>Actualización entre usuarios sin recargar la página: el sistema vuelve a consultar datos autorizados cuando ocurre un cambio relevante.</w:t>
      </w:r>
    </w:p>
    <w:p>
      <w:pPr>
        <w:spacing w:before="80" w:after="100"/>
      </w:pPr>
      <w:r>
        <w:rPr>
          <w:rFonts w:ascii="Aptos" w:hAnsi="Aptos"/>
          <w:b/>
          <w:color w:val="007C83"/>
          <w:sz w:val="16"/>
        </w:rPr>
        <w:t>ESTADO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56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Alcance de validación</w:t>
            </w:r>
          </w:p>
        </w:tc>
      </w:tr>
      <w:tr>
        <w:tc>
          <w:tcPr>
            <w:tcW w:type="dxa" w:w="316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Fase 5 — Órdenes y piso</w:t>
            </w:r>
          </w:p>
        </w:tc>
        <w:tc>
          <w:tcPr>
            <w:tcW w:type="dxa" w:w="16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Completada</w:t>
            </w:r>
          </w:p>
        </w:tc>
        <w:tc>
          <w:tcPr>
            <w:tcW w:type="dxa" w:w="52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Flujo de OP, tiempo, avance, consumo, stock y auditoría.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Fase 6 — Planeación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Completada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Capacidad, programación, preparación, auditoría y sincronización.</w:t>
            </w:r>
          </w:p>
        </w:tc>
      </w:tr>
      <w:tr>
        <w:tc>
          <w:tcPr>
            <w:tcW w:type="dxa" w:w="316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Fase 7 — Producción</w:t>
            </w:r>
          </w:p>
        </w:tc>
        <w:tc>
          <w:tcPr>
            <w:tcW w:type="dxa" w:w="16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Completada</w:t>
            </w:r>
          </w:p>
        </w:tc>
        <w:tc>
          <w:tcPr>
            <w:tcW w:type="dxa" w:w="52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Sesiones, entregas parciales/totales y panel de planta.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Fase 8 — Cobranza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Completada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AR, pagos, sobrepagos, recibos, cartera y sincronización.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2. Alcance funcional entregado</w:t>
      </w:r>
    </w:p>
    <w:p>
      <w:r>
        <w:t>El alcance implementado cubre la cadena operativa que conecta el área comercial, el taller y la administración financiera. Las pantallas son clientes de operación; las reglas críticas se ejecutan en la base de datos y en servicios de servidor autorizados.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92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896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Capacidad entregada</w:t>
            </w:r>
          </w:p>
        </w:tc>
        <w:tc>
          <w:tcPr>
            <w:tcW w:type="dxa" w:w="4392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Beneficio operativo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5</w:t>
            </w:r>
          </w:p>
        </w:tc>
        <w:tc>
          <w:tcPr>
            <w:tcW w:type="dxa" w:w="489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Órdenes de producción, partidas, folios OP, consumo de material, tiempos, avance, scrap y control de piso.</w:t>
            </w:r>
          </w:p>
        </w:tc>
        <w:tc>
          <w:tcPr>
            <w:tcW w:type="dxa" w:w="439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Trazabilidad desde la orden hasta el consumo real y el avance de fabricación.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6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Recursos, turnos, capacidad, excepciones de calendario, programación, reprogramación y preparación.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Reduce sobreasignaciones y permite conocer la carga y disponibilidad de cada recurso.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7</w:t>
            </w:r>
          </w:p>
        </w:tc>
        <w:tc>
          <w:tcPr>
            <w:tcW w:type="dxa" w:w="489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Sesiones de trabajo, Kanban de planta, registro de avances y notas de entrega parciales/totales.</w:t>
            </w:r>
          </w:p>
        </w:tc>
        <w:tc>
          <w:tcPr>
            <w:tcW w:type="dxa" w:w="439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Formaliza la ejecución en piso y documenta las entregas sin exponer precios.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8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Cuentas por cobrar, pagos, aging, recibos REC, saldos a favor y cartera en tiempo real.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Da visibilidad financiera posterior a la producción y evita duplicidad de cobros.</w:t>
            </w:r>
          </w:p>
        </w:tc>
      </w:tr>
    </w:tbl>
    <w:p>
      <w:pPr>
        <w:spacing w:after="20"/>
      </w:pPr>
    </w:p>
    <w:p>
      <w:pPr>
        <w:pStyle w:val="Heading1"/>
      </w:pPr>
      <w:r>
        <w:t>3. Avance técnico por fase</w:t>
      </w:r>
    </w:p>
    <w:p>
      <w:r>
        <w:t>A continuación se resume el resultado técnico visible para operación. La nomenclatura de subfases se conserva para facilitar el seguimiento con la documentación de proyecto.</w:t>
      </w:r>
    </w:p>
    <w:p>
      <w:pPr>
        <w:pStyle w:val="Heading2"/>
      </w:pPr>
      <w:r>
        <w:t>Fase 5 — Órdenes de Producción y control de piso</w:t>
      </w:r>
    </w:p>
    <w:p>
      <w:r>
        <w:t>Se estableció el contrato seguro de producción y el flujo operativo de taller.</w:t>
      </w:r>
    </w:p>
    <w:p>
      <w:pPr>
        <w:pStyle w:val="ListBullet"/>
        <w:spacing w:after="60"/>
      </w:pPr>
      <w:r>
        <w:t>Folio OP consecutivo y atómico generado por PostgreSQL, sin contar filas desde la aplicación.</w:t>
      </w:r>
    </w:p>
    <w:p>
      <w:pPr>
        <w:pStyle w:val="ListBullet"/>
        <w:spacing w:after="60"/>
      </w:pPr>
      <w:r>
        <w:t>Partidas con cantidades solicitadas, producción buena, scrap, material, tiempos y máquina.</w:t>
      </w:r>
    </w:p>
    <w:p>
      <w:pPr>
        <w:pStyle w:val="ListBullet"/>
        <w:spacing w:after="60"/>
      </w:pPr>
      <w:r>
        <w:t>Consumo de material integrado con inventario y kardex; el sistema conserva el costo histórico del momento de consumo.</w:t>
      </w:r>
    </w:p>
    <w:p>
      <w:pPr>
        <w:pStyle w:val="ListBullet"/>
        <w:spacing w:after="60"/>
      </w:pPr>
      <w:r>
        <w:t>Marcas de tiempo, avances y consumos controlados por sesión de operador, permisos, estado de la OP y auditoría.</w:t>
      </w:r>
    </w:p>
    <w:p>
      <w:pPr>
        <w:pStyle w:val="ListBullet"/>
        <w:spacing w:after="60"/>
      </w:pPr>
      <w:r>
        <w:t>Sincronización de OP y piso para que cambios de otros usuarios aparezcan sin actualización manual.</w:t>
      </w:r>
    </w:p>
    <w:p>
      <w:pPr>
        <w:pStyle w:val="Heading2"/>
      </w:pPr>
      <w:r>
        <w:t>Fase 6 — Planeación y capacidad por área</w:t>
      </w:r>
    </w:p>
    <w:p>
      <w:r>
        <w:t>Se incorporó una capa de planeación que toma decisiones de capacidad dentro de la base de datos.</w:t>
      </w:r>
    </w:p>
    <w:p>
      <w:pPr>
        <w:pStyle w:val="ListBullet"/>
        <w:spacing w:after="60"/>
      </w:pPr>
      <w:r>
        <w:t>Recursos identificables, capacidad por turno, excepciones de calendario y secuencia de programación.</w:t>
      </w:r>
    </w:p>
    <w:p>
      <w:pPr>
        <w:pStyle w:val="ListBullet"/>
        <w:spacing w:after="60"/>
      </w:pPr>
      <w:r>
        <w:t>Programación y reprogramación con candados de concurrencia y rechazo de pantallas desactualizadas.</w:t>
      </w:r>
    </w:p>
    <w:p>
      <w:pPr>
        <w:pStyle w:val="ListBullet"/>
        <w:spacing w:after="60"/>
      </w:pPr>
      <w:r>
        <w:t>Preparación exclusiva por recurso para impedir que dos operaciones tomen la misma capacidad operativa.</w:t>
      </w:r>
    </w:p>
    <w:p>
      <w:pPr>
        <w:pStyle w:val="ListBullet"/>
        <w:spacing w:after="60"/>
      </w:pPr>
      <w:r>
        <w:t>Calendario de planeación, bitácora y vistas sincronizadas con datos autorizados.</w:t>
      </w:r>
    </w:p>
    <w:p>
      <w:pPr>
        <w:pStyle w:val="Heading2"/>
      </w:pPr>
      <w:r>
        <w:t>Fase 7 — Producción, sesiones y entregas</w:t>
      </w:r>
    </w:p>
    <w:p>
      <w:r>
        <w:t>Se conectó Planeación con la ejecución real de piso y el despacho.</w:t>
      </w:r>
    </w:p>
    <w:p>
      <w:pPr>
        <w:pStyle w:val="ListBullet"/>
        <w:spacing w:after="60"/>
      </w:pPr>
      <w:r>
        <w:t>Sesiones atómicas por operador y recurso, con cálculo de horas de taller y regla de comida en horario local.</w:t>
      </w:r>
    </w:p>
    <w:p>
      <w:pPr>
        <w:pStyle w:val="ListBullet"/>
        <w:spacing w:after="60"/>
      </w:pPr>
      <w:r>
        <w:t>Avances inmutables y liberación controlada de recursos cuando corresponde.</w:t>
      </w:r>
    </w:p>
    <w:p>
      <w:pPr>
        <w:pStyle w:val="ListBullet"/>
        <w:spacing w:after="60"/>
      </w:pPr>
      <w:r>
        <w:t>Notas de entrega con folios NE atómicos; las entregas parciales no superan la producción registrada.</w:t>
      </w:r>
    </w:p>
    <w:p>
      <w:pPr>
        <w:pStyle w:val="ListBullet"/>
        <w:spacing w:after="60"/>
      </w:pPr>
      <w:r>
        <w:t>Verificación de PIN, permisos granulares, rate limiting, auditoría y Kanban operativo.</w:t>
      </w:r>
    </w:p>
    <w:p>
      <w:pPr>
        <w:pStyle w:val="Heading2"/>
      </w:pPr>
      <w:r>
        <w:t>Fase 8 — Cuentas por Cobrar</w:t>
      </w:r>
    </w:p>
    <w:p>
      <w:r>
        <w:t>Se completó el módulo de cartera sin introducir precios inventados desde Producción.</w:t>
      </w:r>
    </w:p>
    <w:p>
      <w:pPr>
        <w:pStyle w:val="ListBullet"/>
        <w:spacing w:after="60"/>
      </w:pPr>
      <w:r>
        <w:t>La cuenta por cobrar se abre solo desde una OP completada y con partidas terminadas; el importe comercial se captura explícitamente por Contabilidad.</w:t>
      </w:r>
    </w:p>
    <w:p>
      <w:pPr>
        <w:pStyle w:val="ListBullet"/>
        <w:spacing w:after="60"/>
      </w:pPr>
      <w:r>
        <w:t>Pagos en MXN/USD, cálculo de equivalencias, sobrepagos y saldo a favor en una única operación de base de datos.</w:t>
      </w:r>
    </w:p>
    <w:p>
      <w:pPr>
        <w:pStyle w:val="ListBullet"/>
        <w:spacing w:after="60"/>
      </w:pPr>
      <w:r>
        <w:t>Recibos REC consecutivos, manejo de reintentos y protección ante doble envío de un mismo pago.</w:t>
      </w:r>
    </w:p>
    <w:p>
      <w:pPr>
        <w:pStyle w:val="ListBullet"/>
        <w:spacing w:after="60"/>
      </w:pPr>
      <w:r>
        <w:t>Aging por cliente, cartera filtrable, recibo imprimible y sincronización de cartera entre sesiones.</w:t>
      </w:r>
    </w:p>
    <w:p>
      <w:pPr>
        <w:pStyle w:val="Heading1"/>
      </w:pPr>
      <w:r>
        <w:t>4. Controles de seguridad, calidad y continuidad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04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Cómo se aplica en el Hito 3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Valor para el cliente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Operaciones atómicas</w:t>
            </w:r>
          </w:p>
        </w:tc>
        <w:tc>
          <w:tcPr>
            <w:tcW w:type="dxa" w:w="50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folios, stock, capacidad, tiempos, avances, entregas y pagos se resuelven en PostgreSQL como una sola operación.</w:t>
            </w:r>
          </w:p>
        </w:tc>
        <w:tc>
          <w:tcPr>
            <w:tcW w:type="dxa" w:w="32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Evita duplicados, saldos incorrectos y resultados inconsistentes cuando varios usuarios trabajan a la vez.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Acceso por roles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Las acciones validan sesión y permisos; las tablas de negocio utilizan controles de acceso a nivel de datos.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Reduce el riesgo de cambios no autorizados desde la aplicación o el navegador.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Trazabilidad</w:t>
            </w:r>
          </w:p>
        </w:tc>
        <w:tc>
          <w:tcPr>
            <w:tcW w:type="dxa" w:w="50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Las operaciones críticas generan auditoría y conservan eventos de producción, inventario, sesiones, entregas y pagos.</w:t>
            </w:r>
          </w:p>
        </w:tc>
        <w:tc>
          <w:tcPr>
            <w:tcW w:type="dxa" w:w="32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Facilita seguimiento operativo, revisión de incidencias y control interno.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Tiempo real seguro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cambios disparan una recarga de datos autorizados; los eventos no se usan como fuente directa de información visible.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equipos ven los cambios relevantes sin recargar y sin exponer datos sensibles por sincronización.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Validación de entrada</w:t>
            </w:r>
          </w:p>
        </w:tc>
        <w:tc>
          <w:tcPr>
            <w:tcW w:type="dxa" w:w="50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formularios y acciones verifican formato, montos, estados y reglas antes de ejecutar servicios privilegiados.</w:t>
            </w:r>
          </w:p>
        </w:tc>
        <w:tc>
          <w:tcPr>
            <w:tcW w:type="dxa" w:w="324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Disminuye errores de captura y protege procesos sensibles.</w:t>
            </w:r>
          </w:p>
        </w:tc>
      </w:tr>
    </w:tbl>
    <w:p>
      <w:pPr>
        <w:spacing w:after="20"/>
      </w:pPr>
    </w:p>
    <w:p>
      <w:pPr>
        <w:pStyle w:val="Heading1"/>
      </w:pPr>
      <w:r>
        <w:t>5. Evidencia de validación técnica</w:t>
      </w:r>
    </w:p>
    <w:p>
      <w:r>
        <w:t>Cada fase se cerró con pruebas automatizadas y revisión de esquema. Las cifras siguientes corresponden a la evidencia registrada al cierre de cada fase; el crecimiento refleja la acumulación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64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Pruebas unitarias</w:t>
            </w:r>
          </w:p>
        </w:tc>
        <w:tc>
          <w:tcPr>
            <w:tcW w:type="dxa" w:w="180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Pruebas de integración</w:t>
            </w:r>
          </w:p>
        </w:tc>
        <w:tc>
          <w:tcPr>
            <w:tcW w:type="dxa" w:w="460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Validación de flujo</w:t>
            </w:r>
          </w:p>
        </w:tc>
        <w:tc>
          <w:tcPr>
            <w:tcW w:type="dxa" w:w="208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Base de datos</w:t>
            </w:r>
          </w:p>
        </w:tc>
      </w:tr>
      <w:tr>
        <w:tc>
          <w:tcPr>
            <w:tcW w:type="dxa" w:w="64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5</w:t>
            </w:r>
          </w:p>
        </w:tc>
        <w:tc>
          <w:tcPr>
            <w:tcW w:type="dxa" w:w="16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195 correctas</w:t>
            </w:r>
          </w:p>
        </w:tc>
        <w:tc>
          <w:tcPr>
            <w:tcW w:type="dxa" w:w="18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15 correctas</w:t>
            </w:r>
          </w:p>
        </w:tc>
        <w:tc>
          <w:tcPr>
            <w:tcW w:type="dxa" w:w="460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E2E: OP, tiempo, avance, consumo, stock y auditoría.</w:t>
            </w:r>
          </w:p>
        </w:tc>
        <w:tc>
          <w:tcPr>
            <w:tcW w:type="dxa" w:w="208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Migraciones alineadas y validación de esquema.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270 correctas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15 correctas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E2E: programación, preparación, auditoría y sincronización.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Sin diferencias de migración; controles de capacidad verificados.</w:t>
            </w:r>
          </w:p>
        </w:tc>
      </w:tr>
      <w:tr>
        <w:tc>
          <w:tcPr>
            <w:tcW w:type="dxa" w:w="64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7</w:t>
            </w:r>
          </w:p>
        </w:tc>
        <w:tc>
          <w:tcPr>
            <w:tcW w:type="dxa" w:w="165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292 correctas</w:t>
            </w:r>
          </w:p>
        </w:tc>
        <w:tc>
          <w:tcPr>
            <w:tcW w:type="dxa" w:w="18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21 correctas</w:t>
            </w:r>
          </w:p>
        </w:tc>
        <w:tc>
          <w:tcPr>
            <w:tcW w:type="dxa" w:w="460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E2E: inicio/cierre, entrega parcial/total y actualización entre vistas.</w:t>
            </w:r>
          </w:p>
        </w:tc>
        <w:tc>
          <w:tcPr>
            <w:tcW w:type="dxa" w:w="208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Esquema validado; dependencias de producción sin vulnerabilidades conocidas.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323 correctas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27 correctas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E2E: pago parcial, sobrepago, recibos, auditoría y cartera entre sesiones.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Esquema y rendimiento revisados; migraciones alineadas.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Aptos" w:hAnsi="Aptos"/>
          <w:b/>
          <w:color w:val="007C83"/>
          <w:sz w:val="16"/>
        </w:rPr>
        <w:t>CONDICIONES DE PRUEBA</w:t>
      </w:r>
    </w:p>
    <w:p>
      <w:pPr>
        <w:pStyle w:val="ListBullet"/>
        <w:spacing w:after="60"/>
      </w:pPr>
      <w:r>
        <w:t>Las pruebas de integración y flujo utilizan datos aislados y se eliminan al finalizar.</w:t>
      </w:r>
    </w:p>
    <w:p>
      <w:pPr>
        <w:pStyle w:val="ListBullet"/>
        <w:spacing w:after="60"/>
      </w:pPr>
      <w:r>
        <w:t>Se conservan escenarios ficticios idempotentes para Planeación (SIM-PLN), Producción (SIM-PRD) y Cobranza (SIM-AR).</w:t>
      </w:r>
    </w:p>
    <w:p>
      <w:pPr>
        <w:pStyle w:val="ListBullet"/>
        <w:spacing w:after="60"/>
      </w:pPr>
      <w:r>
        <w:t>No se incorporaron datos operativos reales del cliente durante el desarrollo del Hito 3.</w:t>
      </w:r>
    </w:p>
    <w:p>
      <w:pPr>
        <w:pStyle w:val="Heading1"/>
      </w:pPr>
      <w:r>
        <w:t>6. Decisiones relevantes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96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Razón</w:t>
            </w:r>
          </w:p>
        </w:tc>
        <w:tc>
          <w:tcPr>
            <w:tcW w:type="dxa" w:w="4464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Separar producción de precios comerciales</w:t>
            </w:r>
          </w:p>
        </w:tc>
        <w:tc>
          <w:tcPr>
            <w:tcW w:type="dxa" w:w="396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Producción registra cantidades, tiempos y entregas; no debe inventar importes de venta.</w:t>
            </w:r>
          </w:p>
        </w:tc>
        <w:tc>
          <w:tcPr>
            <w:tcW w:type="dxa" w:w="4464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La apertura de cartera requiere captura explícita y autorizada de importe, moneda y tipo de cambio.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Monedero en MXN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Un saldo a favor único necesita una unidad de cuenta consistente.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sobrepagos de cuentas en otra moneda se convierten y conservan su origen en el historial.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Datos de servidor fuera del estado local</w:t>
            </w:r>
          </w:p>
        </w:tc>
        <w:tc>
          <w:tcPr>
            <w:tcW w:type="dxa" w:w="396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Una pantalla no debe ser dueña de cantidades, capacidad o saldos compartidos.</w:t>
            </w:r>
          </w:p>
        </w:tc>
        <w:tc>
          <w:tcPr>
            <w:tcW w:type="dxa" w:w="4464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Los cambios concurrentes se vuelven a consultar desde el origen autorizado.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Datos ficticios para desarrollo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Aún no existe catálogo operativo y financiero definitivo del cliente.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El sistema está preparado para pruebas y carga controlada sin mezclar información real.</w:t>
            </w:r>
          </w:p>
        </w:tc>
      </w:tr>
    </w:tbl>
    <w:p>
      <w:pPr>
        <w:spacing w:after="20"/>
      </w:pPr>
    </w:p>
    <w:p>
      <w:pPr>
        <w:pStyle w:val="Heading1"/>
      </w:pPr>
      <w:r>
        <w:t>7. Pendientes para la siguiente etapa</w:t>
      </w:r>
    </w:p>
    <w:p>
      <w:r>
        <w:t>El Hito 3 está completado a nivel técnico. Para activar procesos reales se requiere una etapa de preparación y validación de negocio con CC Manufacturing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540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Acción requerida</w:t>
            </w:r>
          </w:p>
        </w:tc>
        <w:tc>
          <w:tcPr>
            <w:tcW w:type="dxa" w:w="3312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Responsable sugerido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Datos maestros</w:t>
            </w:r>
          </w:p>
        </w:tc>
        <w:tc>
          <w:tcPr>
            <w:tcW w:type="dxa" w:w="54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Aprobar y cargar clientes, materiales, recursos, turnos, capacidades, operadores y reglas de merma.</w:t>
            </w:r>
          </w:p>
        </w:tc>
        <w:tc>
          <w:tcPr>
            <w:tcW w:type="dxa" w:w="331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CC Manufacturing Group con acompañamiento del equipo de implementación.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Operación de planta</w:t>
            </w:r>
          </w:p>
        </w:tc>
        <w:tc>
          <w:tcPr>
            <w:tcW w:type="dxa" w:w="54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Validar PIN únicos, motivos de pausa, flujo de firma/entrega y reglas de asignación de operadores.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Responsables de producción y calidad.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Reglas financieras</w:t>
            </w:r>
          </w:p>
        </w:tc>
        <w:tc>
          <w:tcPr>
            <w:tcW w:type="dxa" w:w="54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Confirmar políticas definitivas MXN/USD, crédito, remisiones y tratamiento de facturación electrónica.</w:t>
            </w:r>
          </w:p>
        </w:tc>
        <w:tc>
          <w:tcPr>
            <w:tcW w:type="dxa" w:w="331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Administración y Contabilidad.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Seguridad de plataforma</w:t>
            </w:r>
          </w:p>
        </w:tc>
        <w:tc>
          <w:tcPr>
            <w:tcW w:type="dxa" w:w="54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Evaluar la activación de protección contra contraseñas filtradas en el proveedor de autenticación.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Product Owner / responsable de TI.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Siguiente alcance</w:t>
            </w:r>
          </w:p>
        </w:tc>
        <w:tc>
          <w:tcPr>
            <w:tcW w:type="dxa" w:w="5400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Iniciar Fase 9: gastos y rentabilidad por orden.</w:t>
            </w:r>
          </w:p>
        </w:tc>
        <w:tc>
          <w:tcPr>
            <w:tcW w:type="dxa" w:w="3312"/>
            <w:shd w:fill="F5F8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83746"/>
                <w:sz w:val="16"/>
              </w:rPr>
              <w:t>Product Owner y equipo de desarrollo.</w:t>
            </w:r>
          </w:p>
        </w:tc>
      </w:tr>
    </w:tbl>
    <w:p>
      <w:pPr>
        <w:spacing w:after="20"/>
      </w:pPr>
    </w:p>
    <w:p>
      <w:pPr>
        <w:pStyle w:val="Heading1"/>
      </w:pPr>
      <w:r>
        <w:t>8. Conclusión y criterio de entrega</w:t>
      </w:r>
    </w:p>
    <w:p>
      <w:r>
        <w:t>El Hito 3 deja implementado y documentado el núcleo operativo posterior al proceso comercial: orden, capacidad, ejecución de planta, entrega y cobranza. Las reglas que podrían generar errores de inventario, agenda, cantidades, entregas o pagos no dependen de cálculos de pantalla; se concentran en controles transaccionales y auditables.</w:t>
      </w:r>
    </w:p>
    <w:p>
      <w:r>
        <w:t>La entrega recomendada para la siguiente revisión del cliente es validar los flujos con el catálogo real aprobado, ejecutar pruebas de aceptación de usuario y programar la carga inicial de datos antes de habilitar operación productiva.</w:t>
      </w:r>
    </w:p>
    <w:p>
      <w:pPr>
        <w:jc w:val="center"/>
      </w:pPr>
      <w:r>
        <w:rPr>
          <w:i/>
          <w:color w:val="5B6573"/>
          <w:sz w:val="18"/>
        </w:rPr>
        <w:t>Fin del informe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Confidencial — CC Manufacturing Group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C83"/>
        <w:sz w:val="16"/>
      </w:rPr>
      <w:t>ORCA MFG ERP v2  |  INFORME TÉCNICO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28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007C8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Avance — Hito 3 | ORCA MFG ERP v2</dc:title>
  <dc:subject>Fases 5 a 8</dc:subject>
  <dc:creator>Equipo de Desarrollo ORCA MFG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