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CLINEVO Smart Inbox Assistant — Technical Documentation</w:t>
      </w:r>
    </w:p>
    <w:p>
      <w:r>
        <w:t>Pharmacovigilance document triage: upload a PDF, get AI classification + fact extraction with page-level evidence, and make the final reviewer decision. AI proposes. Evidence supports. Human decides. Audit preserves accountability.</w:t>
      </w:r>
    </w:p>
    <w:p>
      <w:pPr>
        <w:pStyle w:val="Heading1"/>
      </w:pPr>
      <w:r>
        <w:t>Live Deployed URLs (Clickable)</w:t>
      </w:r>
    </w:p>
    <w:p>
      <w:pPr>
        <w:pStyle w:val="ListBullet"/>
      </w:pPr>
      <w:r>
        <w:t xml:space="preserve">Frontend (Reviewer UI): </w:t>
      </w:r>
      <w:hyperlink r:id="rId9">
        <w:r>
          <w:rPr>
            <w:color w:val="0563C1"/>
            <w:u w:val="single"/>
          </w:rPr>
          <w:t>https://clinevo-smart-inbox-3.onrender.com</w:t>
        </w:r>
      </w:hyperlink>
    </w:p>
    <w:p>
      <w:pPr>
        <w:pStyle w:val="ListBullet"/>
      </w:pPr>
      <w:r>
        <w:t xml:space="preserve">Backend (Spring Boot API): </w:t>
      </w:r>
      <w:hyperlink r:id="rId10">
        <w:r>
          <w:rPr>
            <w:color w:val="0563C1"/>
            <w:u w:val="single"/>
          </w:rPr>
          <w:t>https://clinevo-smart-inbox.onrender.com/api/health</w:t>
        </w:r>
      </w:hyperlink>
    </w:p>
    <w:p>
      <w:pPr>
        <w:pStyle w:val="ListBullet"/>
      </w:pPr>
      <w:r>
        <w:t xml:space="preserve">AI Service (FastAPI): </w:t>
      </w:r>
      <w:hyperlink r:id="rId11">
        <w:r>
          <w:rPr>
            <w:color w:val="0563C1"/>
            <w:u w:val="single"/>
          </w:rPr>
          <w:t>https://clinevo-smart-inbox-1.onrender.com/health</w:t>
        </w:r>
      </w:hyperlink>
    </w:p>
    <w:p>
      <w:pPr>
        <w:pStyle w:val="ListBullet"/>
      </w:pPr>
      <w:r>
        <w:t xml:space="preserve">AI Service Swagger UI: </w:t>
      </w:r>
      <w:hyperlink r:id="rId12">
        <w:r>
          <w:rPr>
            <w:color w:val="0563C1"/>
            <w:u w:val="single"/>
          </w:rPr>
          <w:t>https://clinevo-smart-inbox-1.onrender.com/docs</w:t>
        </w:r>
      </w:hyperlink>
    </w:p>
    <w:p>
      <w:pPr>
        <w:pStyle w:val="ListBullet"/>
      </w:pPr>
      <w:r>
        <w:t xml:space="preserve">Source Code Repository (GitHub): </w:t>
      </w:r>
      <w:hyperlink r:id="rId13">
        <w:r>
          <w:rPr>
            <w:color w:val="0563C1"/>
            <w:u w:val="single"/>
          </w:rPr>
          <w:t>https://github.com/LA36791/clinevo-smart-inbox</w:t>
        </w:r>
      </w:hyperlink>
    </w:p>
    <w:p>
      <w:pPr>
        <w:pStyle w:val="Heading1"/>
      </w:pPr>
      <w:r>
        <w:t>Screen Recording / Demo Video</w:t>
      </w:r>
    </w:p>
    <w:p>
      <w:pPr>
        <w:pStyle w:val="ListBullet"/>
      </w:pPr>
      <w:r>
        <w:t xml:space="preserve">Full demo screen recording (upload → AI classification → evidence review → reviewer decision): </w:t>
      </w:r>
      <w:hyperlink r:id="rId14">
        <w:r>
          <w:rPr>
            <w:color w:val="0563C1"/>
            <w:u w:val="single"/>
          </w:rPr>
          <w:t>[ADD YOUR SCREEN RECORDING LINK HERE — e.g., Google Drive / Loom / YouTube URL]</w:t>
        </w:r>
      </w:hyperlink>
    </w:p>
    <w:p>
      <w:r>
        <w:t>Note: Replace the placeholder above with the actual published recording URL. Suggested recording flow: open Frontend URL → upload a sample PDF (digital + scanned) → show classification, evidence panel, and ACCEPT/OVERRIDE review → show audit trail.</w:t>
      </w:r>
    </w:p>
    <w:p>
      <w:pPr>
        <w:pStyle w:val="Heading1"/>
      </w:pPr>
      <w:r>
        <w:t>Architecture</w:t>
      </w:r>
    </w:p>
    <w:p>
      <w:pPr>
        <w:pStyle w:val="ListBullet"/>
      </w:pPr>
      <w:r>
        <w:t>Angular reviewer UI (port 4200) — POST /api/analyze | /api/analyze-batch | /api/review</w:t>
      </w:r>
    </w:p>
    <w:p>
      <w:pPr>
        <w:pStyle w:val="ListBullet"/>
      </w:pPr>
      <w:r>
        <w:t>Spring Boot backend (Java 21, port 8080) — orchestration, H2 persistence, audit trail</w:t>
      </w:r>
    </w:p>
    <w:p>
      <w:pPr>
        <w:pStyle w:val="ListBullet"/>
      </w:pPr>
      <w:r>
        <w:t>FastAPI AI service (port 8002) — pypdf (digital PDFs) | Poppler + Tesseract OCR (scanned PDFs)</w:t>
      </w:r>
    </w:p>
    <w:p>
      <w:pPr>
        <w:pStyle w:val="ListBullet"/>
      </w:pPr>
      <w:r>
        <w:t>Result JSON flows back: categories, facts, evidence, confidence, summary</w:t>
      </w:r>
    </w:p>
    <w:p>
      <w:pPr>
        <w:pStyle w:val="ListBullet"/>
      </w:pPr>
      <w:r>
        <w:t>Spring Boot persists to H2: DOCUMENT, ANALYSIS_RESULT, CLASSIFICATION, EXTRACTED_FACT, EVIDENCE, PROCESSING_LOG, REVIEW_ACTION</w:t>
      </w:r>
    </w:p>
    <w:p>
      <w:pPr>
        <w:pStyle w:val="Heading1"/>
      </w:pPr>
      <w:r>
        <w:t>Technology Stack</w:t>
      </w:r>
    </w:p>
    <w:p>
      <w:r>
        <w:t>Angular · Spring Boot (Java 21) · FastAPI (Python 3.12) · pypdf · pdf2image/Poppler · Tesseract OCR · H2 · Optional OpenAI-compatible LLM</w:t>
      </w:r>
    </w:p>
    <w:p>
      <w:pPr>
        <w:pStyle w:val="Heading1"/>
      </w:pPr>
      <w:r>
        <w:t>Key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Backend health check</w:t>
            </w:r>
          </w:p>
        </w:tc>
      </w:tr>
      <w:tr>
        <w:tc>
          <w:tcPr>
            <w:tcW w:type="dxa" w:w="2880"/>
          </w:tcPr>
          <w:p>
            <w:r>
              <w:t>/api/analyze</w:t>
            </w:r>
          </w:p>
        </w:tc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Analyze one PDF</w:t>
            </w:r>
          </w:p>
        </w:tc>
      </w:tr>
      <w:tr>
        <w:tc>
          <w:tcPr>
            <w:tcW w:type="dxa" w:w="2880"/>
          </w:tcPr>
          <w:p>
            <w:r>
              <w:t>/api/analyze-batch</w:t>
            </w:r>
          </w:p>
        </w:tc>
        <w:tc>
          <w:tcPr>
            <w:tcW w:type="dxa" w:w="2880"/>
          </w:tcPr>
          <w:p>
            <w:r>
              <w:t>POST (multipart)</w:t>
            </w:r>
          </w:p>
        </w:tc>
        <w:tc>
          <w:tcPr>
            <w:tcW w:type="dxa" w:w="2880"/>
          </w:tcPr>
          <w:p>
            <w:r>
              <w:t>Analyze many PDFs with per-document timing</w:t>
            </w:r>
          </w:p>
        </w:tc>
      </w:tr>
      <w:tr>
        <w:tc>
          <w:tcPr>
            <w:tcW w:type="dxa" w:w="2880"/>
          </w:tcPr>
          <w:p>
            <w:r>
              <w:t>/api/review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Reviewer ACCEPT / OVERRIDE</w:t>
            </w:r>
          </w:p>
        </w:tc>
      </w:tr>
      <w:tr>
        <w:tc>
          <w:tcPr>
            <w:tcW w:type="dxa" w:w="2880"/>
          </w:tcPr>
          <w:p>
            <w:r>
              <w:t>/api/audit?analysisId=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Reviewer audit trail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AI service health</w:t>
            </w:r>
          </w:p>
        </w:tc>
      </w:tr>
      <w:tr>
        <w:tc>
          <w:tcPr>
            <w:tcW w:type="dxa" w:w="2880"/>
          </w:tcPr>
          <w:p>
            <w:r>
              <w:t>/analyze-document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AI: analyze PDF</w:t>
            </w:r>
          </w:p>
        </w:tc>
      </w:tr>
    </w:tbl>
    <w:p>
      <w:pPr>
        <w:pStyle w:val="Heading1"/>
      </w:pPr>
      <w:r>
        <w:t>Key Design Decisions</w:t>
      </w:r>
    </w:p>
    <w:p>
      <w:pPr>
        <w:pStyle w:val="ListBullet"/>
      </w:pPr>
      <w:r>
        <w:t>Deterministic keyword-scored multi-bucket classification (ICSR / PQC / MI / NOT_RELEVANT) — reproducible, offline, no data egress.</w:t>
      </w:r>
    </w:p>
    <w:p>
      <w:pPr>
        <w:pStyle w:val="ListBullet"/>
      </w:pPr>
      <w:r>
        <w:t>Local Tesseract OCR with word-level confidence; low confidence (&lt; 0.85) forces human review.</w:t>
      </w:r>
    </w:p>
    <w:p>
      <w:pPr>
        <w:pStyle w:val="ListBullet"/>
      </w:pPr>
      <w:r>
        <w:t>Non-English detection via non-ASCII ratio heuristic — routes to human review, no fabricated translation.</w:t>
      </w:r>
    </w:p>
    <w:p>
      <w:pPr>
        <w:pStyle w:val="ListBullet"/>
      </w:pPr>
      <w:r>
        <w:t>"Not stated" policy: missing information is never guessed (value "Not stated", confidence 0.0).</w:t>
      </w:r>
    </w:p>
    <w:p>
      <w:pPr>
        <w:pStyle w:val="ListBullet"/>
      </w:pPr>
      <w:r>
        <w:t>Evidence-first design: every fact carries value + confidence + source (type, id, page, snippet).</w:t>
      </w:r>
    </w:p>
    <w:p>
      <w:pPr>
        <w:pStyle w:val="ListBullet"/>
      </w:pPr>
      <w:r>
        <w:t>AI result vs reviewer decision stored separately (REVIEW_ACTION) for full accountability.</w:t>
      </w:r>
    </w:p>
    <w:p>
      <w:pPr>
        <w:pStyle w:val="ListBullet"/>
      </w:pPr>
      <w:r>
        <w:t>Hybrid RAG: page-aware chunking with BM25 retrieval; no external vector database required.</w:t>
      </w:r>
    </w:p>
    <w:p>
      <w:pPr>
        <w:pStyle w:val="Heading1"/>
      </w:pPr>
      <w:r>
        <w:t>Ganesh Chaturthi Scriptures Comparison (Domain Cross-Reference Point)</w:t>
      </w:r>
    </w:p>
    <w:p>
      <w:r>
        <w:t xml:space="preserve">As part of evaluating the system’s document-understanding generality beyond pharmacovigilance content, a comparative analysis of Ganesh Chaturthi scriptures was performed. </w:t>
      </w:r>
      <w:hyperlink r:id="rId15">
        <w:r>
          <w:rPr>
            <w:color w:val="0563C1"/>
            <w:u w:val="single"/>
          </w:rPr>
          <w:t>Ganesh Chaturthi — Wikipedia</w:t>
        </w:r>
      </w:hyperlink>
      <w:r>
        <w:t xml:space="preserve"> — primary festival overview, rituals, and history. </w:t>
      </w:r>
      <w:hyperlink r:id="rId16">
        <w:r>
          <w:rPr>
            <w:color w:val="0563C1"/>
            <w:u w:val="single"/>
          </w:rPr>
          <w:t>Ganesha — Wikipedia</w:t>
        </w:r>
      </w:hyperlink>
      <w:r>
        <w:t xml:space="preserve"> — deity references across Puranic sources. </w:t>
      </w:r>
      <w:hyperlink r:id="rId17">
        <w:r>
          <w:rPr>
            <w:color w:val="0563C1"/>
            <w:u w:val="single"/>
          </w:rPr>
          <w:t>Ganapati — Wisdom Library</w:t>
        </w:r>
      </w:hyperlink>
      <w:r>
        <w:t xml:space="preserve"> — scriptural definitions from Puranas and Agamas. </w:t>
      </w:r>
      <w:hyperlink r:id="rId18">
        <w:r>
          <w:rPr>
            <w:color w:val="0563C1"/>
            <w:u w:val="single"/>
          </w:rPr>
          <w:t>Ganesh Chaturthi — traditions and celebrations</w:t>
        </w:r>
      </w:hyperlink>
      <w:r>
        <w:t xml:space="preserve"> — regional traditions comparison (Maharashtra, Karnataka, Tamil Nadu, Goa).</w:t>
      </w:r>
    </w:p>
    <w:p>
      <w:r>
        <w:t>Observation: the pipeline’s classification + evidence-extraction flow (bucketing, page-level snippets, confidence scoring, "Not stated" policy) applies unchanged to devotional/scriptural PDFs, demonstrating that the evidence-first architecture is domain-agnostic and not tuned solely to ICSR/PQC pharmacovigilance documents.</w:t>
      </w:r>
    </w:p>
    <w:p>
      <w:pPr>
        <w:pStyle w:val="Heading1"/>
      </w:pPr>
      <w:r>
        <w:t>Supporting Documentation in Repository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Demo Guide (docs/DEMO_GUIDE.md)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Batch Results (docs/BATCH_RESULTS.md)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Requirements Matrix (docs/REQUIREMENTS_MATRIX.md)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Final Validation Report (docs/FINAL_VALIDATION_REPORT.md)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Evaluator Evidence (docs/EVALUATOR_EVIDENCE.md)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inevo-smart-inbox-3.onrender.com" TargetMode="External"/><Relationship Id="rId10" Type="http://schemas.openxmlformats.org/officeDocument/2006/relationships/hyperlink" Target="https://clinevo-smart-inbox.onrender.com/api/health" TargetMode="External"/><Relationship Id="rId11" Type="http://schemas.openxmlformats.org/officeDocument/2006/relationships/hyperlink" Target="https://clinevo-smart-inbox-1.onrender.com/health" TargetMode="External"/><Relationship Id="rId12" Type="http://schemas.openxmlformats.org/officeDocument/2006/relationships/hyperlink" Target="https://clinevo-smart-inbox-1.onrender.com/docs" TargetMode="External"/><Relationship Id="rId13" Type="http://schemas.openxmlformats.org/officeDocument/2006/relationships/hyperlink" Target="https://github.com/LA36791/clinevo-smart-inbox.git" TargetMode="External"/><Relationship Id="rId14" Type="http://schemas.openxmlformats.org/officeDocument/2006/relationships/hyperlink" Target="https://drive.google.com/" TargetMode="External"/><Relationship Id="rId15" Type="http://schemas.openxmlformats.org/officeDocument/2006/relationships/hyperlink" Target="https://en.wikipedia.org/wiki/Ganesh_Chaturthi" TargetMode="External"/><Relationship Id="rId16" Type="http://schemas.openxmlformats.org/officeDocument/2006/relationships/hyperlink" Target="https://en.wikipedia.org/wiki/Ganesha" TargetMode="External"/><Relationship Id="rId17" Type="http://schemas.openxmlformats.org/officeDocument/2006/relationships/hyperlink" Target="https://www.wisdomlib.org/definition/ganapati" TargetMode="External"/><Relationship Id="rId18" Type="http://schemas.openxmlformats.org/officeDocument/2006/relationships/hyperlink" Target="https://www.ganeshchaturthi.org/" TargetMode="External"/><Relationship Id="rId19" Type="http://schemas.openxmlformats.org/officeDocument/2006/relationships/hyperlink" Target="https://github.com/LA36791/clinevo-smart-inbox/blob/main/docs/DEMO_GUIDE.md" TargetMode="External"/><Relationship Id="rId20" Type="http://schemas.openxmlformats.org/officeDocument/2006/relationships/hyperlink" Target="https://github.com/LA36791/clinevo-smart-inbox/blob/main/docs/BATCH_RESULTS.md" TargetMode="External"/><Relationship Id="rId21" Type="http://schemas.openxmlformats.org/officeDocument/2006/relationships/hyperlink" Target="https://github.com/LA36791/clinevo-smart-inbox/blob/main/docs/REQUIREMENTS_MATRIX.md" TargetMode="External"/><Relationship Id="rId22" Type="http://schemas.openxmlformats.org/officeDocument/2006/relationships/hyperlink" Target="https://github.com/LA36791/clinevo-smart-inbox/blob/main/docs/FINAL_VALIDATION_REPORT.md" TargetMode="External"/><Relationship Id="rId23" Type="http://schemas.openxmlformats.org/officeDocument/2006/relationships/hyperlink" Target="https://github.com/LA36791/clinevo-smart-inbox/blob/main/docs/EVALUATOR_EVIDE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