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F19C2" w14:textId="77777777" w:rsidR="00D32CB3" w:rsidRPr="00651883" w:rsidRDefault="00E56FDF">
      <w:pPr>
        <w:pStyle w:val="Untertitel"/>
        <w:rPr>
          <w:lang w:val="de-DE"/>
        </w:rPr>
      </w:pPr>
      <w:bookmarkStart w:id="0" w:name="_prbv0z43ahpd" w:colFirst="0" w:colLast="0"/>
      <w:bookmarkEnd w:id="0"/>
      <w:r w:rsidRPr="00651883">
        <w:rPr>
          <w:lang w:val="de-DE"/>
        </w:rPr>
        <w:t>Tutorium 05.02.2025</w:t>
      </w:r>
    </w:p>
    <w:p w14:paraId="0F9379C8" w14:textId="77777777" w:rsidR="00D32CB3" w:rsidRPr="00651883" w:rsidRDefault="00E56FDF">
      <w:pPr>
        <w:pStyle w:val="berschrift1"/>
        <w:rPr>
          <w:lang w:val="de-DE"/>
        </w:rPr>
      </w:pPr>
      <w:bookmarkStart w:id="1" w:name="_st3y1sdrl0rl" w:colFirst="0" w:colLast="0"/>
      <w:bookmarkEnd w:id="1"/>
      <w:r w:rsidRPr="00651883">
        <w:rPr>
          <w:lang w:val="de-DE"/>
        </w:rPr>
        <w:t>Aufgabe 1</w:t>
      </w:r>
    </w:p>
    <w:p w14:paraId="672A6659" w14:textId="77777777" w:rsidR="00D32CB3" w:rsidRPr="00651883" w:rsidRDefault="00D32CB3">
      <w:pPr>
        <w:rPr>
          <w:lang w:val="de-DE"/>
        </w:rPr>
      </w:pPr>
    </w:p>
    <w:p w14:paraId="1E231D3F" w14:textId="27D6E302" w:rsidR="00D32CB3" w:rsidRPr="00651883" w:rsidRDefault="00E56FDF" w:rsidP="00651883">
      <w:pPr>
        <w:pStyle w:val="Listenabsatz"/>
        <w:numPr>
          <w:ilvl w:val="1"/>
          <w:numId w:val="1"/>
        </w:numPr>
        <w:rPr>
          <w:lang w:val="de-DE"/>
        </w:rPr>
      </w:pPr>
      <w:r w:rsidRPr="00651883">
        <w:rPr>
          <w:lang w:val="de-DE"/>
        </w:rPr>
        <w:t xml:space="preserve">Erkläre den Unterschied zwischen </w:t>
      </w:r>
      <w:r w:rsidRPr="00651883">
        <w:rPr>
          <w:color w:val="388600"/>
          <w:lang w:val="de-DE"/>
        </w:rPr>
        <w:t xml:space="preserve">super() </w:t>
      </w:r>
      <w:r w:rsidRPr="00651883">
        <w:rPr>
          <w:lang w:val="de-DE"/>
        </w:rPr>
        <w:t xml:space="preserve">und </w:t>
      </w:r>
      <w:proofErr w:type="spellStart"/>
      <w:r w:rsidRPr="00651883">
        <w:rPr>
          <w:color w:val="1F497D" w:themeColor="text2"/>
          <w:lang w:val="de-DE"/>
        </w:rPr>
        <w:t>this</w:t>
      </w:r>
      <w:proofErr w:type="spellEnd"/>
      <w:r w:rsidRPr="00651883">
        <w:rPr>
          <w:color w:val="1F497D" w:themeColor="text2"/>
          <w:lang w:val="de-DE"/>
        </w:rPr>
        <w:t xml:space="preserve">() </w:t>
      </w:r>
      <w:r w:rsidRPr="00651883">
        <w:rPr>
          <w:lang w:val="de-DE"/>
        </w:rPr>
        <w:t xml:space="preserve">und </w:t>
      </w:r>
      <w:proofErr w:type="spellStart"/>
      <w:r w:rsidRPr="00651883">
        <w:rPr>
          <w:color w:val="C0504D" w:themeColor="accent2"/>
          <w:lang w:val="de-DE"/>
        </w:rPr>
        <w:t>this</w:t>
      </w:r>
      <w:proofErr w:type="spellEnd"/>
      <w:r w:rsidRPr="00651883">
        <w:rPr>
          <w:color w:val="C0504D" w:themeColor="accent2"/>
          <w:lang w:val="de-DE"/>
        </w:rPr>
        <w:t xml:space="preserve">. </w:t>
      </w:r>
      <w:r w:rsidRPr="00651883">
        <w:rPr>
          <w:lang w:val="de-DE"/>
        </w:rPr>
        <w:t xml:space="preserve">und </w:t>
      </w:r>
      <w:r w:rsidRPr="00651883">
        <w:rPr>
          <w:color w:val="8064A2" w:themeColor="accent4"/>
          <w:lang w:val="de-DE"/>
        </w:rPr>
        <w:t xml:space="preserve">super. </w:t>
      </w:r>
      <w:r w:rsidRPr="00651883">
        <w:rPr>
          <w:lang w:val="de-DE"/>
        </w:rPr>
        <w:t xml:space="preserve">in deinen eigenen Worten. </w:t>
      </w:r>
    </w:p>
    <w:p w14:paraId="479B31EB" w14:textId="77777777" w:rsidR="00651883" w:rsidRPr="00651883" w:rsidRDefault="00651883" w:rsidP="00C07095">
      <w:pPr>
        <w:jc w:val="both"/>
        <w:rPr>
          <w:lang w:val="de-DE"/>
        </w:rPr>
      </w:pPr>
    </w:p>
    <w:p w14:paraId="0A37501D" w14:textId="45CF132C" w:rsidR="00D32CB3" w:rsidRDefault="00651883" w:rsidP="00C07095">
      <w:pPr>
        <w:jc w:val="both"/>
        <w:rPr>
          <w:color w:val="388600"/>
          <w:lang w:val="de-DE"/>
        </w:rPr>
      </w:pPr>
      <w:r w:rsidRPr="00651883">
        <w:rPr>
          <w:color w:val="388600"/>
          <w:lang w:val="de-DE"/>
        </w:rPr>
        <w:t>super()</w:t>
      </w:r>
      <w:r>
        <w:rPr>
          <w:color w:val="388600"/>
          <w:lang w:val="de-DE"/>
        </w:rPr>
        <w:t>: wird verwendet, um den Konstruktor der Superklasse aufzurufen. Funktioniert nur ohne Parameter, wenn der Standardkonstruktor nicht überladen oder explizit nochmal erwähnt wurde. Muss die erste Zeile im aufrufenden Konstruktor sein. Wird immer implizit eingefügt, wenn nicht explizit aufgerufen. Gibt es keine konkrete Superklasse, wird der Standardkonstruktor der Klasse Objekt aufgerufen.</w:t>
      </w:r>
    </w:p>
    <w:p w14:paraId="31184E67" w14:textId="77777777" w:rsidR="00651883" w:rsidRDefault="00651883" w:rsidP="00C07095">
      <w:pPr>
        <w:jc w:val="both"/>
        <w:rPr>
          <w:color w:val="388600"/>
          <w:lang w:val="de-DE"/>
        </w:rPr>
      </w:pPr>
    </w:p>
    <w:p w14:paraId="57151631" w14:textId="63E309EC" w:rsidR="00651883" w:rsidRDefault="00651883" w:rsidP="00C07095">
      <w:pPr>
        <w:jc w:val="both"/>
        <w:rPr>
          <w:color w:val="1F497D" w:themeColor="text2"/>
          <w:lang w:val="de-DE"/>
        </w:rPr>
      </w:pPr>
      <w:proofErr w:type="spellStart"/>
      <w:r w:rsidRPr="00651883">
        <w:rPr>
          <w:color w:val="1F497D" w:themeColor="text2"/>
          <w:lang w:val="de-DE"/>
        </w:rPr>
        <w:t>this</w:t>
      </w:r>
      <w:proofErr w:type="spellEnd"/>
      <w:r w:rsidRPr="00651883">
        <w:rPr>
          <w:color w:val="1F497D" w:themeColor="text2"/>
          <w:lang w:val="de-DE"/>
        </w:rPr>
        <w:t>()</w:t>
      </w:r>
      <w:r>
        <w:rPr>
          <w:color w:val="1F497D" w:themeColor="text2"/>
          <w:lang w:val="de-DE"/>
        </w:rPr>
        <w:t xml:space="preserve">: Verhält sich ähnlich wie oben, nur dass hier innerhalb derselben Klasse ein anderer Konstruktor aufgerufen wird, auch hier muss der Standardkonstruktor explizit erwähnt sein. (Ein Aufruf im Standardkonstruktor selbst wäre rekursiv und macht keinen Sinn). Auch hier können Argumente mitgegeben werden, die ein anderer Konstruktor bereits behandelt, so dass im abweichenden Konstruktor nicht all die Werte nochmal </w:t>
      </w:r>
      <w:proofErr w:type="gramStart"/>
      <w:r>
        <w:rPr>
          <w:color w:val="1F497D" w:themeColor="text2"/>
          <w:lang w:val="de-DE"/>
        </w:rPr>
        <w:t>behandelt</w:t>
      </w:r>
      <w:proofErr w:type="gramEnd"/>
      <w:r>
        <w:rPr>
          <w:color w:val="1F497D" w:themeColor="text2"/>
          <w:lang w:val="de-DE"/>
        </w:rPr>
        <w:t xml:space="preserve"> werden müssen.</w:t>
      </w:r>
    </w:p>
    <w:p w14:paraId="27AEF9C9" w14:textId="77777777" w:rsidR="00B028CE" w:rsidRDefault="00B028CE" w:rsidP="00C07095">
      <w:pPr>
        <w:jc w:val="both"/>
        <w:rPr>
          <w:color w:val="1F497D" w:themeColor="text2"/>
          <w:lang w:val="de-DE"/>
        </w:rPr>
      </w:pPr>
    </w:p>
    <w:p w14:paraId="75C53A21" w14:textId="218BF9A9" w:rsidR="00B028CE" w:rsidRDefault="006D22C7" w:rsidP="00C07095">
      <w:pPr>
        <w:jc w:val="both"/>
        <w:rPr>
          <w:color w:val="C0504D" w:themeColor="accent2"/>
          <w:lang w:val="de-DE"/>
        </w:rPr>
      </w:pPr>
      <w:proofErr w:type="spellStart"/>
      <w:r w:rsidRPr="00651883">
        <w:rPr>
          <w:color w:val="C0504D" w:themeColor="accent2"/>
          <w:lang w:val="de-DE"/>
        </w:rPr>
        <w:t>this</w:t>
      </w:r>
      <w:proofErr w:type="spellEnd"/>
      <w:r w:rsidR="00764F9C">
        <w:rPr>
          <w:color w:val="C0504D" w:themeColor="accent2"/>
          <w:lang w:val="de-DE"/>
        </w:rPr>
        <w:t>.</w:t>
      </w:r>
      <w:r>
        <w:rPr>
          <w:color w:val="C0504D" w:themeColor="accent2"/>
          <w:lang w:val="de-DE"/>
        </w:rPr>
        <w:t xml:space="preserve">: ein stetiger Bezug auf die aktuelle Instanz bzw. auf selbiges Objekt, von welchem Werte abgefragt, beschrieben oder Methoden aufgerufen werden. Gibt es keine Überschneidungen in einem </w:t>
      </w:r>
      <w:proofErr w:type="spellStart"/>
      <w:r>
        <w:rPr>
          <w:color w:val="C0504D" w:themeColor="accent2"/>
          <w:lang w:val="de-DE"/>
        </w:rPr>
        <w:t>Scope</w:t>
      </w:r>
      <w:proofErr w:type="spellEnd"/>
      <w:r>
        <w:rPr>
          <w:color w:val="C0504D" w:themeColor="accent2"/>
          <w:lang w:val="de-DE"/>
        </w:rPr>
        <w:t xml:space="preserve"> (wie gleichnamige Variablen im Konstruktor), kann es als implizit betrachtet werden und man muss es nicht davor schreiben. Kann </w:t>
      </w:r>
      <w:r w:rsidR="00FA4BBA">
        <w:rPr>
          <w:color w:val="C0504D" w:themeColor="accent2"/>
          <w:lang w:val="de-DE"/>
        </w:rPr>
        <w:t xml:space="preserve">ohne Punkt </w:t>
      </w:r>
      <w:r>
        <w:rPr>
          <w:color w:val="C0504D" w:themeColor="accent2"/>
          <w:lang w:val="de-DE"/>
        </w:rPr>
        <w:t>aber auch genutzt werden, damit ein Objekt in einer seiner Methoden sich selbst in eine Methode einer anderen Klasse weiterreicht</w:t>
      </w:r>
      <w:r w:rsidR="00C07095">
        <w:rPr>
          <w:color w:val="C0504D" w:themeColor="accent2"/>
          <w:lang w:val="de-DE"/>
        </w:rPr>
        <w:t>, um nach deren Ausführung wieder in sich selbst zurückzukehren.</w:t>
      </w:r>
    </w:p>
    <w:p w14:paraId="559230F9" w14:textId="77777777" w:rsidR="00764F9C" w:rsidRDefault="00764F9C" w:rsidP="00C07095">
      <w:pPr>
        <w:jc w:val="both"/>
        <w:rPr>
          <w:color w:val="C0504D" w:themeColor="accent2"/>
          <w:lang w:val="de-DE"/>
        </w:rPr>
      </w:pPr>
    </w:p>
    <w:p w14:paraId="5D185805" w14:textId="072B009D" w:rsidR="00764F9C" w:rsidRDefault="00764F9C" w:rsidP="00C07095">
      <w:pPr>
        <w:jc w:val="both"/>
        <w:rPr>
          <w:color w:val="1F497D" w:themeColor="text2"/>
          <w:lang w:val="de-DE"/>
        </w:rPr>
      </w:pPr>
      <w:r w:rsidRPr="00651883">
        <w:rPr>
          <w:color w:val="8064A2" w:themeColor="accent4"/>
          <w:lang w:val="de-DE"/>
        </w:rPr>
        <w:t>super.</w:t>
      </w:r>
      <w:r>
        <w:rPr>
          <w:color w:val="8064A2" w:themeColor="accent4"/>
          <w:lang w:val="de-DE"/>
        </w:rPr>
        <w:t>:</w:t>
      </w:r>
      <w:r w:rsidR="00103D20">
        <w:rPr>
          <w:color w:val="8064A2" w:themeColor="accent4"/>
          <w:lang w:val="de-DE"/>
        </w:rPr>
        <w:t xml:space="preserve"> Bezug auf die Superklasse mitsamt ihrer sichtbaren Methoden und Variablen. Kann genutzt werden, um z.B. beim </w:t>
      </w:r>
      <w:proofErr w:type="spellStart"/>
      <w:r w:rsidR="00103D20">
        <w:rPr>
          <w:color w:val="8064A2" w:themeColor="accent4"/>
          <w:lang w:val="de-DE"/>
        </w:rPr>
        <w:t>Override</w:t>
      </w:r>
      <w:proofErr w:type="spellEnd"/>
      <w:r w:rsidR="00103D20">
        <w:rPr>
          <w:color w:val="8064A2" w:themeColor="accent4"/>
          <w:lang w:val="de-DE"/>
        </w:rPr>
        <w:t xml:space="preserve"> einer Methode in einer Subklasse die Funktionalität der Superklassenmethode wiederzuverwenden und dann zu erweitern. </w:t>
      </w:r>
      <w:proofErr w:type="gramStart"/>
      <w:r w:rsidR="00103D20">
        <w:rPr>
          <w:color w:val="8064A2" w:themeColor="accent4"/>
          <w:lang w:val="de-DE"/>
        </w:rPr>
        <w:t>Muss</w:t>
      </w:r>
      <w:proofErr w:type="gramEnd"/>
      <w:r w:rsidR="00103D20">
        <w:rPr>
          <w:color w:val="8064A2" w:themeColor="accent4"/>
          <w:lang w:val="de-DE"/>
        </w:rPr>
        <w:t xml:space="preserve"> nicht an erster Stelle stehen und ist optional. Kann auch über mehrere Hierarchiestufen durchgereicht werden, (siehe Spezialangriffe in meinem </w:t>
      </w:r>
      <w:proofErr w:type="spellStart"/>
      <w:r w:rsidR="00103D20">
        <w:rPr>
          <w:color w:val="8064A2" w:themeColor="accent4"/>
          <w:lang w:val="de-DE"/>
        </w:rPr>
        <w:t>DungeonCrawl</w:t>
      </w:r>
      <w:proofErr w:type="spellEnd"/>
      <w:r w:rsidR="00103D20">
        <w:rPr>
          <w:color w:val="8064A2" w:themeColor="accent4"/>
          <w:lang w:val="de-DE"/>
        </w:rPr>
        <w:t>).</w:t>
      </w:r>
      <w:r w:rsidR="006004D3">
        <w:rPr>
          <w:color w:val="8064A2" w:themeColor="accent4"/>
          <w:lang w:val="de-DE"/>
        </w:rPr>
        <w:t xml:space="preserve"> Wenn sichtbar, können aber auch Variablen und Konstanten abgefragt und verwendet werden, Getter dürften aber üblicher sein.</w:t>
      </w:r>
    </w:p>
    <w:p w14:paraId="0BA946FF" w14:textId="77777777" w:rsidR="00651883" w:rsidRDefault="00651883" w:rsidP="00C07095">
      <w:pPr>
        <w:jc w:val="both"/>
        <w:rPr>
          <w:color w:val="1F497D" w:themeColor="text2"/>
          <w:lang w:val="de-DE"/>
        </w:rPr>
      </w:pPr>
    </w:p>
    <w:p w14:paraId="63DCB97C" w14:textId="77777777" w:rsidR="00651883" w:rsidRPr="00651883" w:rsidRDefault="00651883" w:rsidP="00C07095">
      <w:pPr>
        <w:jc w:val="both"/>
        <w:rPr>
          <w:lang w:val="de-DE"/>
        </w:rPr>
      </w:pPr>
    </w:p>
    <w:p w14:paraId="5DAB6C7B" w14:textId="7A8755F6" w:rsidR="00D32CB3" w:rsidRPr="00651883" w:rsidRDefault="00D32CB3" w:rsidP="00C07095">
      <w:pPr>
        <w:jc w:val="both"/>
        <w:rPr>
          <w:lang w:val="de-DE"/>
        </w:rPr>
      </w:pPr>
    </w:p>
    <w:p w14:paraId="02EB378F" w14:textId="77777777" w:rsidR="00D32CB3" w:rsidRPr="00651883" w:rsidRDefault="00D32CB3">
      <w:pPr>
        <w:rPr>
          <w:lang w:val="de-DE"/>
        </w:rPr>
      </w:pPr>
    </w:p>
    <w:p w14:paraId="6A05A809" w14:textId="77777777" w:rsidR="00D32CB3" w:rsidRPr="00651883" w:rsidRDefault="00D32CB3">
      <w:pPr>
        <w:rPr>
          <w:lang w:val="de-DE"/>
        </w:rPr>
      </w:pPr>
    </w:p>
    <w:p w14:paraId="62EF37CD" w14:textId="77777777" w:rsidR="00651883" w:rsidRDefault="00651883">
      <w:pPr>
        <w:rPr>
          <w:lang w:val="de-DE"/>
        </w:rPr>
      </w:pPr>
      <w:r>
        <w:rPr>
          <w:lang w:val="de-DE"/>
        </w:rPr>
        <w:br w:type="page"/>
      </w:r>
    </w:p>
    <w:p w14:paraId="2C42A783" w14:textId="5DDF849C" w:rsidR="00D32CB3" w:rsidRPr="00651883" w:rsidRDefault="00E56FDF">
      <w:pPr>
        <w:rPr>
          <w:lang w:val="de-DE"/>
        </w:rPr>
      </w:pPr>
      <w:r w:rsidRPr="00651883">
        <w:rPr>
          <w:lang w:val="de-DE"/>
        </w:rPr>
        <w:lastRenderedPageBreak/>
        <w:t>1.2 Fülle die Tabelle aus.</w:t>
      </w:r>
    </w:p>
    <w:p w14:paraId="5A39BBE3" w14:textId="77777777" w:rsidR="00D32CB3" w:rsidRPr="00651883" w:rsidRDefault="00D32CB3">
      <w:pPr>
        <w:rPr>
          <w:lang w:val="de-DE"/>
        </w:rPr>
      </w:pPr>
    </w:p>
    <w:tbl>
      <w:tblPr>
        <w:tblStyle w:val="a"/>
        <w:tblW w:w="9029" w:type="dxa"/>
        <w:tblInd w:w="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136"/>
        <w:gridCol w:w="2378"/>
      </w:tblGrid>
      <w:tr w:rsidR="00D32CB3" w14:paraId="1F0A52C9" w14:textId="77777777" w:rsidTr="00356351">
        <w:tc>
          <w:tcPr>
            <w:tcW w:w="2258" w:type="dxa"/>
            <w:shd w:val="clear" w:color="auto" w:fill="auto"/>
            <w:tcMar>
              <w:top w:w="100" w:type="dxa"/>
              <w:left w:w="100" w:type="dxa"/>
              <w:bottom w:w="100" w:type="dxa"/>
              <w:right w:w="100" w:type="dxa"/>
            </w:tcMar>
          </w:tcPr>
          <w:p w14:paraId="2FDF7569" w14:textId="77777777" w:rsidR="00D32CB3" w:rsidRDefault="00E56FDF">
            <w:pPr>
              <w:widowControl w:val="0"/>
              <w:pBdr>
                <w:top w:val="nil"/>
                <w:left w:val="nil"/>
                <w:bottom w:val="nil"/>
                <w:right w:val="nil"/>
                <w:between w:val="nil"/>
              </w:pBdr>
              <w:spacing w:line="240" w:lineRule="auto"/>
            </w:pPr>
            <w:proofErr w:type="spellStart"/>
            <w:r>
              <w:t>Befehl</w:t>
            </w:r>
            <w:proofErr w:type="spellEnd"/>
          </w:p>
        </w:tc>
        <w:tc>
          <w:tcPr>
            <w:tcW w:w="2257" w:type="dxa"/>
            <w:shd w:val="clear" w:color="auto" w:fill="auto"/>
            <w:tcMar>
              <w:top w:w="100" w:type="dxa"/>
              <w:left w:w="100" w:type="dxa"/>
              <w:bottom w:w="100" w:type="dxa"/>
              <w:right w:w="100" w:type="dxa"/>
            </w:tcMar>
          </w:tcPr>
          <w:p w14:paraId="494AF501" w14:textId="77777777" w:rsidR="00D32CB3" w:rsidRDefault="00E56FDF">
            <w:pPr>
              <w:widowControl w:val="0"/>
              <w:pBdr>
                <w:top w:val="nil"/>
                <w:left w:val="nil"/>
                <w:bottom w:val="nil"/>
                <w:right w:val="nil"/>
                <w:between w:val="nil"/>
              </w:pBdr>
              <w:spacing w:line="240" w:lineRule="auto"/>
            </w:pPr>
            <w:proofErr w:type="spellStart"/>
            <w:r>
              <w:t>Verwendung</w:t>
            </w:r>
            <w:proofErr w:type="spellEnd"/>
          </w:p>
        </w:tc>
        <w:tc>
          <w:tcPr>
            <w:tcW w:w="2136" w:type="dxa"/>
            <w:shd w:val="clear" w:color="auto" w:fill="auto"/>
            <w:tcMar>
              <w:top w:w="100" w:type="dxa"/>
              <w:left w:w="100" w:type="dxa"/>
              <w:bottom w:w="100" w:type="dxa"/>
              <w:right w:w="100" w:type="dxa"/>
            </w:tcMar>
          </w:tcPr>
          <w:p w14:paraId="04A7C225" w14:textId="77777777" w:rsidR="00D32CB3" w:rsidRDefault="00E56FDF">
            <w:pPr>
              <w:widowControl w:val="0"/>
              <w:pBdr>
                <w:top w:val="nil"/>
                <w:left w:val="nil"/>
                <w:bottom w:val="nil"/>
                <w:right w:val="nil"/>
                <w:between w:val="nil"/>
              </w:pBdr>
              <w:spacing w:line="240" w:lineRule="auto"/>
            </w:pPr>
            <w:r>
              <w:t>Ort</w:t>
            </w:r>
          </w:p>
        </w:tc>
        <w:tc>
          <w:tcPr>
            <w:tcW w:w="2378" w:type="dxa"/>
            <w:shd w:val="clear" w:color="auto" w:fill="auto"/>
            <w:tcMar>
              <w:top w:w="100" w:type="dxa"/>
              <w:left w:w="100" w:type="dxa"/>
              <w:bottom w:w="100" w:type="dxa"/>
              <w:right w:w="100" w:type="dxa"/>
            </w:tcMar>
          </w:tcPr>
          <w:p w14:paraId="002F8CF9" w14:textId="77777777" w:rsidR="00D32CB3" w:rsidRDefault="00E56FDF">
            <w:pPr>
              <w:widowControl w:val="0"/>
              <w:pBdr>
                <w:top w:val="nil"/>
                <w:left w:val="nil"/>
                <w:bottom w:val="nil"/>
                <w:right w:val="nil"/>
                <w:between w:val="nil"/>
              </w:pBdr>
              <w:spacing w:line="240" w:lineRule="auto"/>
            </w:pPr>
            <w:proofErr w:type="spellStart"/>
            <w:r>
              <w:t>Wichtig</w:t>
            </w:r>
            <w:proofErr w:type="spellEnd"/>
            <w:r>
              <w:t>!</w:t>
            </w:r>
          </w:p>
        </w:tc>
      </w:tr>
      <w:tr w:rsidR="00D32CB3" w:rsidRPr="00651883" w14:paraId="34CE64B6" w14:textId="77777777" w:rsidTr="00356351">
        <w:tc>
          <w:tcPr>
            <w:tcW w:w="2258" w:type="dxa"/>
            <w:shd w:val="clear" w:color="auto" w:fill="auto"/>
            <w:tcMar>
              <w:top w:w="100" w:type="dxa"/>
              <w:left w:w="100" w:type="dxa"/>
              <w:bottom w:w="100" w:type="dxa"/>
              <w:right w:w="100" w:type="dxa"/>
            </w:tcMar>
          </w:tcPr>
          <w:p w14:paraId="6706742D" w14:textId="77777777" w:rsidR="00D32CB3" w:rsidRDefault="00E56FDF">
            <w:pPr>
              <w:widowControl w:val="0"/>
              <w:pBdr>
                <w:top w:val="nil"/>
                <w:left w:val="nil"/>
                <w:bottom w:val="nil"/>
                <w:right w:val="nil"/>
                <w:between w:val="nil"/>
              </w:pBdr>
              <w:spacing w:line="240" w:lineRule="auto"/>
            </w:pPr>
            <w:proofErr w:type="gramStart"/>
            <w:r>
              <w:t>this(</w:t>
            </w:r>
            <w:proofErr w:type="gramEnd"/>
            <w:r>
              <w:t>)</w:t>
            </w:r>
          </w:p>
        </w:tc>
        <w:tc>
          <w:tcPr>
            <w:tcW w:w="2257" w:type="dxa"/>
            <w:shd w:val="clear" w:color="auto" w:fill="auto"/>
            <w:tcMar>
              <w:top w:w="100" w:type="dxa"/>
              <w:left w:w="100" w:type="dxa"/>
              <w:bottom w:w="100" w:type="dxa"/>
              <w:right w:w="100" w:type="dxa"/>
            </w:tcMar>
          </w:tcPr>
          <w:p w14:paraId="57511709" w14:textId="77777777" w:rsidR="00D32CB3" w:rsidRPr="00651883" w:rsidRDefault="00E56FDF">
            <w:pPr>
              <w:widowControl w:val="0"/>
              <w:pBdr>
                <w:top w:val="nil"/>
                <w:left w:val="nil"/>
                <w:bottom w:val="nil"/>
                <w:right w:val="nil"/>
                <w:between w:val="nil"/>
              </w:pBdr>
              <w:spacing w:line="240" w:lineRule="auto"/>
              <w:rPr>
                <w:lang w:val="de-DE"/>
              </w:rPr>
            </w:pPr>
            <w:r w:rsidRPr="00651883">
              <w:rPr>
                <w:lang w:val="de-DE"/>
              </w:rPr>
              <w:t xml:space="preserve">Ruft einen anderen Konstruktor der </w:t>
            </w:r>
            <w:r w:rsidRPr="00651883">
              <w:rPr>
                <w:b/>
                <w:lang w:val="de-DE"/>
              </w:rPr>
              <w:t>gleichen</w:t>
            </w:r>
            <w:r w:rsidRPr="00651883">
              <w:rPr>
                <w:lang w:val="de-DE"/>
              </w:rPr>
              <w:t xml:space="preserve"> Klasse auf</w:t>
            </w:r>
          </w:p>
        </w:tc>
        <w:tc>
          <w:tcPr>
            <w:tcW w:w="2136" w:type="dxa"/>
            <w:shd w:val="clear" w:color="auto" w:fill="auto"/>
            <w:tcMar>
              <w:top w:w="100" w:type="dxa"/>
              <w:left w:w="100" w:type="dxa"/>
              <w:bottom w:w="100" w:type="dxa"/>
              <w:right w:w="100" w:type="dxa"/>
            </w:tcMar>
          </w:tcPr>
          <w:p w14:paraId="48B48B72" w14:textId="77777777" w:rsidR="00D32CB3" w:rsidRDefault="00E56FDF">
            <w:pPr>
              <w:widowControl w:val="0"/>
              <w:spacing w:line="240" w:lineRule="auto"/>
            </w:pPr>
            <w:proofErr w:type="spellStart"/>
            <w:r>
              <w:t>Im</w:t>
            </w:r>
            <w:proofErr w:type="spellEnd"/>
            <w:r>
              <w:t xml:space="preserve"> </w:t>
            </w:r>
            <w:proofErr w:type="spellStart"/>
            <w:r>
              <w:t>Konstruktor</w:t>
            </w:r>
            <w:proofErr w:type="spellEnd"/>
          </w:p>
        </w:tc>
        <w:tc>
          <w:tcPr>
            <w:tcW w:w="2378" w:type="dxa"/>
            <w:shd w:val="clear" w:color="auto" w:fill="auto"/>
            <w:tcMar>
              <w:top w:w="100" w:type="dxa"/>
              <w:left w:w="100" w:type="dxa"/>
              <w:bottom w:w="100" w:type="dxa"/>
              <w:right w:w="100" w:type="dxa"/>
            </w:tcMar>
          </w:tcPr>
          <w:p w14:paraId="0237A46E" w14:textId="77777777" w:rsidR="00D32CB3" w:rsidRPr="00651883" w:rsidRDefault="00E56FDF">
            <w:pPr>
              <w:widowControl w:val="0"/>
              <w:pBdr>
                <w:top w:val="nil"/>
                <w:left w:val="nil"/>
                <w:bottom w:val="nil"/>
                <w:right w:val="nil"/>
                <w:between w:val="nil"/>
              </w:pBdr>
              <w:spacing w:line="240" w:lineRule="auto"/>
              <w:rPr>
                <w:lang w:val="de-DE"/>
              </w:rPr>
            </w:pPr>
            <w:r w:rsidRPr="00651883">
              <w:rPr>
                <w:b/>
                <w:lang w:val="de-DE"/>
              </w:rPr>
              <w:t>Muss erste Anweisung sein</w:t>
            </w:r>
            <w:r w:rsidRPr="00651883">
              <w:rPr>
                <w:lang w:val="de-DE"/>
              </w:rPr>
              <w:t xml:space="preserve">, nicht mit </w:t>
            </w:r>
            <w:r w:rsidRPr="00651883">
              <w:rPr>
                <w:rFonts w:ascii="Roboto Mono" w:eastAsia="Roboto Mono" w:hAnsi="Roboto Mono" w:cs="Roboto Mono"/>
                <w:color w:val="188038"/>
                <w:lang w:val="de-DE"/>
              </w:rPr>
              <w:t>super()</w:t>
            </w:r>
            <w:r w:rsidRPr="00651883">
              <w:rPr>
                <w:lang w:val="de-DE"/>
              </w:rPr>
              <w:t xml:space="preserve"> kombinierbar</w:t>
            </w:r>
          </w:p>
        </w:tc>
      </w:tr>
      <w:tr w:rsidR="00D32CB3" w:rsidRPr="00356351" w14:paraId="5D75D5DB" w14:textId="77777777" w:rsidTr="00356351">
        <w:trPr>
          <w:trHeight w:val="1200"/>
        </w:trPr>
        <w:tc>
          <w:tcPr>
            <w:tcW w:w="2258" w:type="dxa"/>
            <w:shd w:val="clear" w:color="auto" w:fill="auto"/>
            <w:tcMar>
              <w:top w:w="100" w:type="dxa"/>
              <w:left w:w="100" w:type="dxa"/>
              <w:bottom w:w="100" w:type="dxa"/>
              <w:right w:w="100" w:type="dxa"/>
            </w:tcMar>
          </w:tcPr>
          <w:p w14:paraId="48EE47A0" w14:textId="77777777" w:rsidR="00D32CB3" w:rsidRDefault="00E56FDF">
            <w:pPr>
              <w:widowControl w:val="0"/>
              <w:pBdr>
                <w:top w:val="nil"/>
                <w:left w:val="nil"/>
                <w:bottom w:val="nil"/>
                <w:right w:val="nil"/>
                <w:between w:val="nil"/>
              </w:pBdr>
              <w:spacing w:line="240" w:lineRule="auto"/>
            </w:pPr>
            <w:proofErr w:type="gramStart"/>
            <w:r>
              <w:t>super(</w:t>
            </w:r>
            <w:proofErr w:type="gramEnd"/>
            <w:r>
              <w:t>)</w:t>
            </w:r>
          </w:p>
        </w:tc>
        <w:tc>
          <w:tcPr>
            <w:tcW w:w="2257" w:type="dxa"/>
            <w:shd w:val="clear" w:color="auto" w:fill="auto"/>
            <w:tcMar>
              <w:top w:w="100" w:type="dxa"/>
              <w:left w:w="100" w:type="dxa"/>
              <w:bottom w:w="100" w:type="dxa"/>
              <w:right w:w="100" w:type="dxa"/>
            </w:tcMar>
          </w:tcPr>
          <w:p w14:paraId="41C8F396" w14:textId="4A3E0932" w:rsidR="00D32CB3" w:rsidRPr="00356351" w:rsidRDefault="00356351" w:rsidP="64BE1879">
            <w:pPr>
              <w:widowControl w:val="0"/>
              <w:pBdr>
                <w:top w:val="nil"/>
                <w:left w:val="nil"/>
                <w:bottom w:val="nil"/>
                <w:right w:val="nil"/>
                <w:between w:val="nil"/>
              </w:pBdr>
              <w:spacing w:line="240" w:lineRule="auto"/>
              <w:rPr>
                <w:lang w:val="de-DE"/>
              </w:rPr>
            </w:pPr>
            <w:r w:rsidRPr="00356351">
              <w:rPr>
                <w:lang w:val="de-DE"/>
              </w:rPr>
              <w:t xml:space="preserve">Ruft einen Konstruktor der </w:t>
            </w:r>
            <w:r w:rsidRPr="00356351">
              <w:rPr>
                <w:b/>
                <w:lang w:val="de-DE"/>
              </w:rPr>
              <w:t>Superklasse</w:t>
            </w:r>
            <w:r>
              <w:rPr>
                <w:lang w:val="de-DE"/>
              </w:rPr>
              <w:t xml:space="preserve"> auf.</w:t>
            </w:r>
          </w:p>
        </w:tc>
        <w:tc>
          <w:tcPr>
            <w:tcW w:w="2136" w:type="dxa"/>
            <w:shd w:val="clear" w:color="auto" w:fill="auto"/>
            <w:tcMar>
              <w:top w:w="100" w:type="dxa"/>
              <w:left w:w="100" w:type="dxa"/>
              <w:bottom w:w="100" w:type="dxa"/>
              <w:right w:w="100" w:type="dxa"/>
            </w:tcMar>
          </w:tcPr>
          <w:p w14:paraId="72A3D3EC" w14:textId="08A5BCC9" w:rsidR="00D32CB3" w:rsidRPr="00356351" w:rsidRDefault="00356351">
            <w:pPr>
              <w:widowControl w:val="0"/>
              <w:pBdr>
                <w:top w:val="nil"/>
                <w:left w:val="nil"/>
                <w:bottom w:val="nil"/>
                <w:right w:val="nil"/>
                <w:between w:val="nil"/>
              </w:pBdr>
              <w:spacing w:line="240" w:lineRule="auto"/>
              <w:rPr>
                <w:lang w:val="de-DE"/>
              </w:rPr>
            </w:pPr>
            <w:r>
              <w:rPr>
                <w:lang w:val="de-DE"/>
              </w:rPr>
              <w:t>Erste Zeile im Konstruktor der Subklasse.</w:t>
            </w:r>
          </w:p>
        </w:tc>
        <w:tc>
          <w:tcPr>
            <w:tcW w:w="2378" w:type="dxa"/>
            <w:shd w:val="clear" w:color="auto" w:fill="auto"/>
            <w:tcMar>
              <w:top w:w="100" w:type="dxa"/>
              <w:left w:w="100" w:type="dxa"/>
              <w:bottom w:w="100" w:type="dxa"/>
              <w:right w:w="100" w:type="dxa"/>
            </w:tcMar>
          </w:tcPr>
          <w:p w14:paraId="0D0B940D" w14:textId="0BEF5635" w:rsidR="00D32CB3" w:rsidRPr="00356351" w:rsidRDefault="00356351">
            <w:pPr>
              <w:widowControl w:val="0"/>
              <w:pBdr>
                <w:top w:val="nil"/>
                <w:left w:val="nil"/>
                <w:bottom w:val="nil"/>
                <w:right w:val="nil"/>
                <w:between w:val="nil"/>
              </w:pBdr>
              <w:spacing w:line="240" w:lineRule="auto"/>
              <w:rPr>
                <w:lang w:val="de-DE"/>
              </w:rPr>
            </w:pPr>
            <w:r>
              <w:rPr>
                <w:lang w:val="de-DE"/>
              </w:rPr>
              <w:t xml:space="preserve">Kann nicht mit </w:t>
            </w:r>
            <w:proofErr w:type="spellStart"/>
            <w:r>
              <w:rPr>
                <w:lang w:val="de-DE"/>
              </w:rPr>
              <w:t>this</w:t>
            </w:r>
            <w:proofErr w:type="spellEnd"/>
            <w:r>
              <w:rPr>
                <w:lang w:val="de-DE"/>
              </w:rPr>
              <w:t>() kombiniert werden. (Sonst wäre obige Aussage auch falsch).</w:t>
            </w:r>
          </w:p>
        </w:tc>
      </w:tr>
      <w:tr w:rsidR="00D32CB3" w:rsidRPr="00356351" w14:paraId="685C9BC8" w14:textId="77777777" w:rsidTr="00356351">
        <w:trPr>
          <w:trHeight w:val="1170"/>
        </w:trPr>
        <w:tc>
          <w:tcPr>
            <w:tcW w:w="2258" w:type="dxa"/>
            <w:shd w:val="clear" w:color="auto" w:fill="auto"/>
            <w:tcMar>
              <w:top w:w="100" w:type="dxa"/>
              <w:left w:w="100" w:type="dxa"/>
              <w:bottom w:w="100" w:type="dxa"/>
              <w:right w:w="100" w:type="dxa"/>
            </w:tcMar>
          </w:tcPr>
          <w:p w14:paraId="67797310" w14:textId="77777777" w:rsidR="00D32CB3" w:rsidRDefault="00E56FDF">
            <w:pPr>
              <w:widowControl w:val="0"/>
              <w:pBdr>
                <w:top w:val="nil"/>
                <w:left w:val="nil"/>
                <w:bottom w:val="nil"/>
                <w:right w:val="nil"/>
                <w:between w:val="nil"/>
              </w:pBdr>
              <w:spacing w:line="240" w:lineRule="auto"/>
            </w:pPr>
            <w:r>
              <w:t>this.</w:t>
            </w:r>
          </w:p>
        </w:tc>
        <w:tc>
          <w:tcPr>
            <w:tcW w:w="2257" w:type="dxa"/>
            <w:shd w:val="clear" w:color="auto" w:fill="auto"/>
            <w:tcMar>
              <w:top w:w="100" w:type="dxa"/>
              <w:left w:w="100" w:type="dxa"/>
              <w:bottom w:w="100" w:type="dxa"/>
              <w:right w:w="100" w:type="dxa"/>
            </w:tcMar>
          </w:tcPr>
          <w:p w14:paraId="0E27B00A" w14:textId="0CF1D8F0" w:rsidR="00D32CB3" w:rsidRPr="00356351" w:rsidRDefault="00356351">
            <w:pPr>
              <w:widowControl w:val="0"/>
              <w:pBdr>
                <w:top w:val="nil"/>
                <w:left w:val="nil"/>
                <w:bottom w:val="nil"/>
                <w:right w:val="nil"/>
                <w:between w:val="nil"/>
              </w:pBdr>
              <w:spacing w:line="240" w:lineRule="auto"/>
              <w:rPr>
                <w:lang w:val="de-DE"/>
              </w:rPr>
            </w:pPr>
            <w:r w:rsidRPr="00356351">
              <w:rPr>
                <w:lang w:val="de-DE"/>
              </w:rPr>
              <w:t>Zugriff auf Instanzvariablen und M</w:t>
            </w:r>
            <w:r>
              <w:rPr>
                <w:lang w:val="de-DE"/>
              </w:rPr>
              <w:t>ethoden</w:t>
            </w:r>
          </w:p>
        </w:tc>
        <w:tc>
          <w:tcPr>
            <w:tcW w:w="2136" w:type="dxa"/>
            <w:shd w:val="clear" w:color="auto" w:fill="auto"/>
            <w:tcMar>
              <w:top w:w="100" w:type="dxa"/>
              <w:left w:w="100" w:type="dxa"/>
              <w:bottom w:w="100" w:type="dxa"/>
              <w:right w:w="100" w:type="dxa"/>
            </w:tcMar>
          </w:tcPr>
          <w:p w14:paraId="60061E4C" w14:textId="4CB0A670" w:rsidR="00D32CB3" w:rsidRPr="00356351" w:rsidRDefault="00356351">
            <w:pPr>
              <w:widowControl w:val="0"/>
              <w:pBdr>
                <w:top w:val="nil"/>
                <w:left w:val="nil"/>
                <w:bottom w:val="nil"/>
                <w:right w:val="nil"/>
                <w:between w:val="nil"/>
              </w:pBdr>
              <w:spacing w:line="240" w:lineRule="auto"/>
              <w:rPr>
                <w:lang w:val="de-DE"/>
              </w:rPr>
            </w:pPr>
            <w:r>
              <w:rPr>
                <w:lang w:val="de-DE"/>
              </w:rPr>
              <w:t xml:space="preserve">Überall wo nicht eindeutig </w:t>
            </w:r>
            <w:proofErr w:type="gramStart"/>
            <w:r>
              <w:rPr>
                <w:lang w:val="de-DE"/>
              </w:rPr>
              <w:t>ist</w:t>
            </w:r>
            <w:proofErr w:type="gramEnd"/>
            <w:r>
              <w:rPr>
                <w:lang w:val="de-DE"/>
              </w:rPr>
              <w:t xml:space="preserve"> ob eine lokale oder </w:t>
            </w:r>
            <w:proofErr w:type="spellStart"/>
            <w:r>
              <w:rPr>
                <w:lang w:val="de-DE"/>
              </w:rPr>
              <w:t>instanzbasierte</w:t>
            </w:r>
            <w:proofErr w:type="spellEnd"/>
            <w:r>
              <w:rPr>
                <w:lang w:val="de-DE"/>
              </w:rPr>
              <w:t xml:space="preserve"> Variable genutzt werden soll</w:t>
            </w:r>
          </w:p>
        </w:tc>
        <w:tc>
          <w:tcPr>
            <w:tcW w:w="2378" w:type="dxa"/>
            <w:shd w:val="clear" w:color="auto" w:fill="auto"/>
            <w:tcMar>
              <w:top w:w="100" w:type="dxa"/>
              <w:left w:w="100" w:type="dxa"/>
              <w:bottom w:w="100" w:type="dxa"/>
              <w:right w:w="100" w:type="dxa"/>
            </w:tcMar>
          </w:tcPr>
          <w:p w14:paraId="44EAFD9C" w14:textId="2AE0259F" w:rsidR="00D32CB3" w:rsidRPr="00356351" w:rsidRDefault="00FA4BBA">
            <w:pPr>
              <w:widowControl w:val="0"/>
              <w:pBdr>
                <w:top w:val="nil"/>
                <w:left w:val="nil"/>
                <w:bottom w:val="nil"/>
                <w:right w:val="nil"/>
                <w:between w:val="nil"/>
              </w:pBdr>
              <w:spacing w:line="240" w:lineRule="auto"/>
              <w:rPr>
                <w:lang w:val="de-DE"/>
              </w:rPr>
            </w:pPr>
            <w:r>
              <w:rPr>
                <w:lang w:val="de-DE"/>
              </w:rPr>
              <w:t>Sollte immer im Konstruktor verwendet werden, um eine korrekte Werteinitialisierung sicherzustellen.</w:t>
            </w:r>
          </w:p>
        </w:tc>
      </w:tr>
      <w:tr w:rsidR="00FA4BBA" w:rsidRPr="00FA4BBA" w14:paraId="04B169B5" w14:textId="77777777" w:rsidTr="00356351">
        <w:trPr>
          <w:trHeight w:val="1407"/>
        </w:trPr>
        <w:tc>
          <w:tcPr>
            <w:tcW w:w="2258" w:type="dxa"/>
            <w:shd w:val="clear" w:color="auto" w:fill="auto"/>
            <w:tcMar>
              <w:top w:w="100" w:type="dxa"/>
              <w:left w:w="100" w:type="dxa"/>
              <w:bottom w:w="100" w:type="dxa"/>
              <w:right w:w="100" w:type="dxa"/>
            </w:tcMar>
          </w:tcPr>
          <w:p w14:paraId="47FB92D1" w14:textId="77777777" w:rsidR="00FA4BBA" w:rsidRDefault="00FA4BBA" w:rsidP="00FA4BBA">
            <w:pPr>
              <w:widowControl w:val="0"/>
              <w:pBdr>
                <w:top w:val="nil"/>
                <w:left w:val="nil"/>
                <w:bottom w:val="nil"/>
                <w:right w:val="nil"/>
                <w:between w:val="nil"/>
              </w:pBdr>
              <w:spacing w:line="240" w:lineRule="auto"/>
            </w:pPr>
            <w:r>
              <w:t>super.</w:t>
            </w:r>
          </w:p>
        </w:tc>
        <w:tc>
          <w:tcPr>
            <w:tcW w:w="2257" w:type="dxa"/>
            <w:shd w:val="clear" w:color="auto" w:fill="auto"/>
            <w:tcMar>
              <w:top w:w="100" w:type="dxa"/>
              <w:left w:w="100" w:type="dxa"/>
              <w:bottom w:w="100" w:type="dxa"/>
              <w:right w:w="100" w:type="dxa"/>
            </w:tcMar>
          </w:tcPr>
          <w:p w14:paraId="4B94D5A5" w14:textId="7199C3E5" w:rsidR="00FA4BBA" w:rsidRPr="00FA4BBA" w:rsidRDefault="00FA4BBA" w:rsidP="00FA4BBA">
            <w:pPr>
              <w:widowControl w:val="0"/>
              <w:pBdr>
                <w:top w:val="nil"/>
                <w:left w:val="nil"/>
                <w:bottom w:val="nil"/>
                <w:right w:val="nil"/>
                <w:between w:val="nil"/>
              </w:pBdr>
              <w:spacing w:line="240" w:lineRule="auto"/>
              <w:rPr>
                <w:lang w:val="de-DE"/>
              </w:rPr>
            </w:pPr>
            <w:r w:rsidRPr="00356351">
              <w:rPr>
                <w:lang w:val="de-DE"/>
              </w:rPr>
              <w:t>Zugriff auf Instanzvariablen und M</w:t>
            </w:r>
            <w:r>
              <w:rPr>
                <w:lang w:val="de-DE"/>
              </w:rPr>
              <w:t>ethoden</w:t>
            </w:r>
            <w:r>
              <w:rPr>
                <w:lang w:val="de-DE"/>
              </w:rPr>
              <w:t xml:space="preserve"> der Superklasse</w:t>
            </w:r>
          </w:p>
        </w:tc>
        <w:tc>
          <w:tcPr>
            <w:tcW w:w="2136" w:type="dxa"/>
            <w:shd w:val="clear" w:color="auto" w:fill="auto"/>
            <w:tcMar>
              <w:top w:w="100" w:type="dxa"/>
              <w:left w:w="100" w:type="dxa"/>
              <w:bottom w:w="100" w:type="dxa"/>
              <w:right w:w="100" w:type="dxa"/>
            </w:tcMar>
          </w:tcPr>
          <w:p w14:paraId="3DEEC669" w14:textId="5643E4C3" w:rsidR="00FA4BBA" w:rsidRPr="00FA4BBA" w:rsidRDefault="00FA4BBA" w:rsidP="00FA4BBA">
            <w:pPr>
              <w:widowControl w:val="0"/>
              <w:pBdr>
                <w:top w:val="nil"/>
                <w:left w:val="nil"/>
                <w:bottom w:val="nil"/>
                <w:right w:val="nil"/>
                <w:between w:val="nil"/>
              </w:pBdr>
              <w:spacing w:line="240" w:lineRule="auto"/>
              <w:rPr>
                <w:lang w:val="de-DE"/>
              </w:rPr>
            </w:pPr>
            <w:r>
              <w:rPr>
                <w:lang w:val="de-DE"/>
              </w:rPr>
              <w:t xml:space="preserve">Überall wo explizit aus der Superklasse statt </w:t>
            </w:r>
            <w:proofErr w:type="gramStart"/>
            <w:r>
              <w:rPr>
                <w:lang w:val="de-DE"/>
              </w:rPr>
              <w:t>selbiger</w:t>
            </w:r>
            <w:proofErr w:type="gramEnd"/>
            <w:r>
              <w:rPr>
                <w:lang w:val="de-DE"/>
              </w:rPr>
              <w:t xml:space="preserve"> ein Zugriff stattfinden soll.</w:t>
            </w:r>
          </w:p>
        </w:tc>
        <w:tc>
          <w:tcPr>
            <w:tcW w:w="2378" w:type="dxa"/>
            <w:shd w:val="clear" w:color="auto" w:fill="auto"/>
            <w:tcMar>
              <w:top w:w="100" w:type="dxa"/>
              <w:left w:w="100" w:type="dxa"/>
              <w:bottom w:w="100" w:type="dxa"/>
              <w:right w:w="100" w:type="dxa"/>
            </w:tcMar>
          </w:tcPr>
          <w:p w14:paraId="3656B9AB" w14:textId="26DAD7C3" w:rsidR="00FA4BBA" w:rsidRPr="00FA4BBA" w:rsidRDefault="00C721F7" w:rsidP="00FA4BBA">
            <w:pPr>
              <w:widowControl w:val="0"/>
              <w:pBdr>
                <w:top w:val="nil"/>
                <w:left w:val="nil"/>
                <w:bottom w:val="nil"/>
                <w:right w:val="nil"/>
                <w:between w:val="nil"/>
              </w:pBdr>
              <w:spacing w:line="240" w:lineRule="auto"/>
              <w:rPr>
                <w:lang w:val="de-DE"/>
              </w:rPr>
            </w:pPr>
            <w:proofErr w:type="gramStart"/>
            <w:r>
              <w:rPr>
                <w:lang w:val="de-DE"/>
              </w:rPr>
              <w:t>Kann</w:t>
            </w:r>
            <w:proofErr w:type="gramEnd"/>
            <w:r>
              <w:rPr>
                <w:lang w:val="de-DE"/>
              </w:rPr>
              <w:t xml:space="preserve"> Code wiederverwendbar machen und der Unterscheidung dienen ob der </w:t>
            </w:r>
            <w:proofErr w:type="spellStart"/>
            <w:r>
              <w:rPr>
                <w:lang w:val="de-DE"/>
              </w:rPr>
              <w:t>Override</w:t>
            </w:r>
            <w:proofErr w:type="spellEnd"/>
            <w:r>
              <w:rPr>
                <w:lang w:val="de-DE"/>
              </w:rPr>
              <w:t xml:space="preserve"> oder die Stamm-Methode dessen genutzt wird.</w:t>
            </w:r>
          </w:p>
        </w:tc>
      </w:tr>
    </w:tbl>
    <w:p w14:paraId="45FB0818" w14:textId="77777777" w:rsidR="00D32CB3" w:rsidRPr="00FA4BBA" w:rsidRDefault="00D32CB3">
      <w:pPr>
        <w:rPr>
          <w:lang w:val="de-DE"/>
        </w:rPr>
      </w:pPr>
    </w:p>
    <w:sectPr w:rsidR="00D32CB3" w:rsidRPr="00FA4BB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2AE73734-841E-4655-94C3-C1639BCDCC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2" w:fontKey="{5E1114C4-D4F4-4423-8574-843468B8611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CEB04E8E-6808-4864-A426-46C61D9C00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CE297B"/>
    <w:multiLevelType w:val="multilevel"/>
    <w:tmpl w:val="A202CD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24698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2CB3"/>
    <w:rsid w:val="00103D20"/>
    <w:rsid w:val="0021336F"/>
    <w:rsid w:val="00356351"/>
    <w:rsid w:val="006004D3"/>
    <w:rsid w:val="00651883"/>
    <w:rsid w:val="006D22C7"/>
    <w:rsid w:val="00764F9C"/>
    <w:rsid w:val="00B028CE"/>
    <w:rsid w:val="00C07095"/>
    <w:rsid w:val="00C721F7"/>
    <w:rsid w:val="00D32CB3"/>
    <w:rsid w:val="00E56FDF"/>
    <w:rsid w:val="00F00100"/>
    <w:rsid w:val="00FA4BBA"/>
    <w:rsid w:val="64BE1879"/>
    <w:rsid w:val="7CFB1FCB"/>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9648C"/>
  <w15:docId w15:val="{0066CAFE-BCE0-44AE-AD2B-2C112A7B4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enabsatz">
    <w:name w:val="List Paragraph"/>
    <w:basedOn w:val="Standard"/>
    <w:uiPriority w:val="34"/>
    <w:qFormat/>
    <w:rsid w:val="006518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numbering" Target="numbering.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fdaae77f-62af-41c3-82a6-fd1e0c26816b" xsi:nil="true"/>
    <lcf76f155ced4ddcb4097134ff3c332f xmlns="7170a8cd-4e63-454b-b6f4-867006f61af7">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2186B0368147C479BD53A828F2E3F79" ma:contentTypeVersion="12" ma:contentTypeDescription="Ein neues Dokument erstellen." ma:contentTypeScope="" ma:versionID="50ebee930fdf8be62e6421d5789ec3dd">
  <xsd:schema xmlns:xsd="http://www.w3.org/2001/XMLSchema" xmlns:xs="http://www.w3.org/2001/XMLSchema" xmlns:p="http://schemas.microsoft.com/office/2006/metadata/properties" xmlns:ns2="7170a8cd-4e63-454b-b6f4-867006f61af7" xmlns:ns3="fdaae77f-62af-41c3-82a6-fd1e0c26816b" targetNamespace="http://schemas.microsoft.com/office/2006/metadata/properties" ma:root="true" ma:fieldsID="45d4458b7ec0308bff1c597da6707c1b" ns2:_="" ns3:_="">
    <xsd:import namespace="7170a8cd-4e63-454b-b6f4-867006f61af7"/>
    <xsd:import namespace="fdaae77f-62af-41c3-82a6-fd1e0c26816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70a8cd-4e63-454b-b6f4-867006f61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ildmarkierungen" ma:readOnly="false" ma:fieldId="{5cf76f15-5ced-4ddc-b409-7134ff3c332f}" ma:taxonomyMulti="true" ma:sspId="96dccbf1-bb2b-402d-be31-4a4f6faffb5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daae77f-62af-41c3-82a6-fd1e0c26816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042b4f4-cbca-490c-b667-ba8822d0a614}" ma:internalName="TaxCatchAll" ma:showField="CatchAllData" ma:web="fdaae77f-62af-41c3-82a6-fd1e0c26816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7455DC-C17B-432B-8E6D-4C6825527AF4}">
  <ds:schemaRefs>
    <ds:schemaRef ds:uri="http://schemas.microsoft.com/sharepoint/v3/contenttype/forms"/>
  </ds:schemaRefs>
</ds:datastoreItem>
</file>

<file path=customXml/itemProps2.xml><?xml version="1.0" encoding="utf-8"?>
<ds:datastoreItem xmlns:ds="http://schemas.openxmlformats.org/officeDocument/2006/customXml" ds:itemID="{789535FA-4699-4510-A0ED-DED6E2A80E89}">
  <ds:schemaRefs>
    <ds:schemaRef ds:uri="http://schemas.microsoft.com/office/2006/metadata/properties"/>
    <ds:schemaRef ds:uri="http://schemas.microsoft.com/office/infopath/2007/PartnerControls"/>
    <ds:schemaRef ds:uri="fdaae77f-62af-41c3-82a6-fd1e0c26816b"/>
    <ds:schemaRef ds:uri="7170a8cd-4e63-454b-b6f4-867006f61af7"/>
  </ds:schemaRefs>
</ds:datastoreItem>
</file>

<file path=customXml/itemProps3.xml><?xml version="1.0" encoding="utf-8"?>
<ds:datastoreItem xmlns:ds="http://schemas.openxmlformats.org/officeDocument/2006/customXml" ds:itemID="{3E375B81-F5EB-4A76-9340-54590D1EF8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70a8cd-4e63-454b-b6f4-867006f61af7"/>
    <ds:schemaRef ds:uri="fdaae77f-62af-41c3-82a6-fd1e0c2681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402</Words>
  <Characters>2538</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Dominik Labocha</cp:lastModifiedBy>
  <cp:revision>10</cp:revision>
  <dcterms:created xsi:type="dcterms:W3CDTF">2025-02-05T12:35:00Z</dcterms:created>
  <dcterms:modified xsi:type="dcterms:W3CDTF">2025-02-05T13:03:00Z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0x01010072186B0368147C479BD53A828F2E3F79</vt:lpwstr>
  </property>
  <property fmtid="{D5CDD505-2E9C-101B-9397-08002B2CF9AE}" pid="3" name="MediaServiceImageTags">
    <vt:lpwstr/>
  </property>
</Properties>
</file>