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540" w:right="323" w:firstLine="708.0000000000001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 xml:space="preserve">BUENOS AIRES,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VISTO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el proyecto presentado por el Coordinador a cargo de la Dirección de Extensión y Bienestar Estudiantil; 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CONSIDERANDO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La necesidad de crear espacios especiales de producción que atiendan a demandas específicas de la comunidad académica;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La necesidad de estimular la participación conjunta de los diferentes claustros en actividades extracurriculares que fomenten el conocimiento, la integración institucional y el uso común de recursos;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Que es importante generar y desarrollar un espacio de conformación de nuevos equipos de trabajo a los que es necesario dar continuidad y estimular su crecimiento;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Que ello, además, servirá para forjar, a través de la difusión de los logros alcanzados, una mayor presencia del Área en eventos artísticos y académicos del país y del exterior;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Que se han desarrollado en el Área diversas actividades que demuestran la necesidad de desarrollar el campo de la producción e impresión de piezas o modelos tridimensionales;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Que se ha desarrollado un proyecto de producción “Impresora 3D Open Source”, aprobado por R-CC Nº 048/13 en el marco de la R-CC Nº 039/13 que aprueba el PROGRAMA DE INCENTIVOS A LA PRODUCCIÓN ARTÍSTICA Y ACADÉMICA del Área Transdepartamental de Artes Multimediales.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0" w:line="252.0000000000000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Por ello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y en virtud de sus atribuciones,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" w:before="0" w:line="252.0000000000000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EL CONSEJO DE CARRERA DEL</w:t>
      </w:r>
    </w:p>
    <w:p w:rsidR="00000000" w:rsidDel="00000000" w:rsidP="00000000" w:rsidRDefault="00000000" w:rsidRPr="00000000">
      <w:pPr>
        <w:widowControl w:val="1"/>
        <w:spacing w:after="6" w:before="0" w:line="252.0000000000000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ÁREA TRANSDEPARTAMENTAL DE ARTES MULTIMEDIALES</w:t>
      </w:r>
    </w:p>
    <w:p w:rsidR="00000000" w:rsidDel="00000000" w:rsidP="00000000" w:rsidRDefault="00000000" w:rsidRPr="00000000">
      <w:pPr>
        <w:widowControl w:val="1"/>
        <w:spacing w:after="6" w:before="0" w:line="252.0000000000000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RESUELVE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1°: Crear el Laboratorio de Producción e Impresión 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2º: Crear el cargo de coordinador del Laboratorio de Producción e Impresión 3D.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3º: Estipular como misiones y funciones específicas de dicho coordinador: velar por el óptimo funcionamiento del equipamiento asignado al Laboratorio, la seguridad de los asistentes a las actividades que se desarrollen en el mismo, supervisar el desarrollo de los proyectos, adscripciones y otras actividades que allí se desarrollen, elevar informes periódicos sobre el estado del equipamiento, las necesidades de infraestructura y el cumplimientos de las metas y objetivos propuestos.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4º: Establecer el carácter ad honorem de dicho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5º: Reservar a este Consejo la potestad de establecer, en el caso de proyectos especiales  -radicados en el laboratorio- que impliquen la obtención de recursos propios (Fuente 12) porcentajes de participación específicos para el Coordinador y los participantes, de acuerdo en cada caso con las reglamentaciones y disposiciones vigentes.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ARTÍCULO 6º: Encomendar a la Dirección de Extensión y Bienestar Estudiantil la propuesta de candidatos para ocupar el cargo de coordinador de Laboratorio, la elevación de propuestas y convocatorias específicas para el cumplimiento de sus objetivos, la supervisión del cumplimiento de los objetivos generales y específicos del laboratorio, así como las misiones y funciones del coordinador.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0" w:line="252.00000000000003" w:lineRule="auto"/>
        <w:ind w:left="0" w:right="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ARTÍCULO 7º: Regístrese. Notifíquese a sus efectos a  todas las dependencias académicas de esta Área Transdepartamental de Artes Multimediales. Pase para la toma de conocimiento a la Secretaría Administrativa y todo cumplido, ARCHÍVESE.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120" w:before="0" w:line="252.00000000000003" w:lineRule="auto"/>
        <w:ind w:left="0" w:right="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RESOLUCION N°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20160" w:w="12240"/>
      <w:pgMar w:bottom="1985" w:top="3686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567" w:before="0" w:line="252.00000000000003" w:lineRule="auto"/>
      <w:ind w:left="125" w:right="0" w:hanging="1134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5245"/>
        <w:tab w:val="center" w:pos="5301"/>
        <w:tab w:val="center" w:pos="5358"/>
        <w:tab w:val="center" w:pos="5415"/>
      </w:tabs>
      <w:spacing w:after="120" w:before="1134" w:line="252.00000000000003" w:lineRule="auto"/>
      <w:ind w:left="0" w:right="0" w:hanging="993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ab/>
    </w:r>
    <w:r w:rsidDel="00000000" w:rsidR="00000000" w:rsidRPr="00000000">
      <w:drawing>
        <wp:inline distB="0" distT="0" distL="114300" distR="114300">
          <wp:extent cx="2336800" cy="228600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68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sz w:val="20"/>
        <w:szCs w:val="20"/>
        <w:vertAlign w:val="baseline"/>
        <w:rtl w:val="0"/>
      </w:rPr>
      <w:tab/>
      <w:tab/>
      <w:tab/>
    </w:r>
    <w:r w:rsidDel="00000000" w:rsidR="00000000" w:rsidRPr="00000000">
      <w:drawing>
        <wp:inline distB="0" distT="0" distL="114300" distR="114300">
          <wp:extent cx="2519045" cy="36131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19045" cy="361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0" w:before="0" w:line="252.00000000000003" w:lineRule="auto"/>
      <w:ind w:left="5954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vertAlign w:val="baseline"/>
        <w:rtl w:val="0"/>
      </w:rPr>
      <w:t xml:space="preserve">Av. Don Pedro de Mendoza 679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0" w:before="0" w:line="252.00000000000003" w:lineRule="auto"/>
      <w:ind w:left="5954" w:right="0" w:firstLine="0"/>
      <w:contextualSpacing w:val="0"/>
      <w:jc w:val="left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 xml:space="preserve">Buenos Aires, Argentina. C1156ACG</w:t>
      <w:br w:type="textWrapping"/>
      <w:t xml:space="preserve">http://multimedia.una.edu.ar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20" w:before="0" w:line="252.00000000000003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20" w:before="0" w:line="252.00000000000003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0"/>
        <w:color w:val="545454"/>
        <w:sz w:val="20"/>
        <w:szCs w:val="20"/>
        <w:highlight w:val="white"/>
        <w:vertAlign w:val="baseline"/>
        <w:rtl w:val="0"/>
      </w:rPr>
      <w:t xml:space="preserve">“</w:t>
    </w:r>
    <w:r w:rsidDel="00000000" w:rsidR="00000000" w:rsidRPr="00000000">
      <w:rPr>
        <w:rFonts w:ascii="Arial" w:cs="Arial" w:eastAsia="Arial" w:hAnsi="Arial"/>
        <w:b w:val="1"/>
        <w:i w:val="0"/>
        <w:color w:val="6a6a6a"/>
        <w:sz w:val="20"/>
        <w:szCs w:val="20"/>
        <w:highlight w:val="white"/>
        <w:vertAlign w:val="baseline"/>
        <w:rtl w:val="0"/>
      </w:rPr>
      <w:t xml:space="preserve">2016 – Año del Bicentenario de la Declaración de la Independencia Nacional</w:t>
    </w:r>
    <w:r w:rsidDel="00000000" w:rsidR="00000000" w:rsidRPr="00000000">
      <w:rPr>
        <w:rFonts w:ascii="Arial" w:cs="Arial" w:eastAsia="Arial" w:hAnsi="Arial"/>
        <w:b w:val="0"/>
        <w:color w:val="545454"/>
        <w:sz w:val="20"/>
        <w:szCs w:val="20"/>
        <w:highlight w:val="white"/>
        <w:vertAlign w:val="baseline"/>
        <w:rtl w:val="0"/>
      </w:rPr>
      <w:t xml:space="preserve">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1"/>
      <w:tabs>
        <w:tab w:val="center" w:pos="4252"/>
        <w:tab w:val="right" w:pos="8504"/>
      </w:tabs>
      <w:spacing w:after="120" w:before="0" w:line="252.00000000000003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52.00000000000003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0" w:line="252.00000000000003" w:lineRule="auto"/>
      <w:ind w:left="1152" w:hanging="432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60" w:before="240" w:line="252.00000000000003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60" w:before="240" w:line="252.00000000000003" w:lineRule="auto"/>
      <w:jc w:val="both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