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footnotes.xml" ContentType="application/vnd.openxmlformats-officedocument.wordprocessingml.footnotes+xml"/>
  <Override PartName="/word/document.xml" ContentType="application/vnd.openxmlformats-officedocument.wordprocessingml.document.main+xml"/>
  <Override PartName="/word/footer1.xml" ContentType="application/vnd.openxmlformats-officedocument.wordprocessingml.footer+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2.jpeg" ContentType="image/jpeg"/>
  <Override PartName="/word/media/image1.wmf" ContentType="image/x-wmf"/>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en-US"/>
        </w:rPr>
      </w:pPr>
      <w:r>
        <w:rPr>
          <w:b/>
          <w:lang w:val="en-US"/>
        </w:rPr>
        <w:t>The socio-economic status component for the PROTON simulation</w:t>
      </w:r>
    </w:p>
    <w:p>
      <w:pPr>
        <w:pStyle w:val="Normal"/>
        <w:rPr>
          <w:lang w:val="en-US"/>
        </w:rPr>
      </w:pPr>
      <w:r>
        <w:rPr>
          <w:lang w:val="en-US"/>
        </w:rPr>
        <w:t>5 October 2018</w:t>
      </w:r>
    </w:p>
    <w:p>
      <w:pPr>
        <w:pStyle w:val="Heading1"/>
        <w:rPr/>
      </w:pPr>
      <w:r>
        <w:rPr/>
        <w:t>1. Relevant variables</w:t>
      </w:r>
    </w:p>
    <w:p>
      <w:pPr>
        <w:pStyle w:val="Normal"/>
        <w:rPr>
          <w:lang w:val="en-US"/>
        </w:rPr>
      </w:pPr>
      <w:r>
        <w:rPr>
          <w:lang w:val="en-US"/>
        </w:rPr>
        <w:t>1. Age. This attribute still does not have an operational translation, as the temporal dimension of the simulation, i.e. the relation between simulation ticks and real-world years has not been determined yet. For the time being, therefore, the temporal dimension is being described in “regular” years, as is age.</w:t>
      </w:r>
    </w:p>
    <w:p>
      <w:pPr>
        <w:pStyle w:val="Normal"/>
        <w:rPr>
          <w:lang w:val="en-US"/>
        </w:rPr>
      </w:pPr>
      <w:r>
        <w:rPr>
          <w:lang w:val="en-US"/>
        </w:rPr>
        <w:t>2. Sex. A number of SES distributions differ between the sexes, so keeping them separate increases model verisimilitude.</w:t>
      </w:r>
    </w:p>
    <w:p>
      <w:pPr>
        <w:pStyle w:val="Normal"/>
        <w:rPr>
          <w:lang w:val="en-US"/>
        </w:rPr>
      </w:pPr>
      <w:r>
        <w:rPr>
          <w:lang w:val="en-US"/>
        </w:rPr>
        <w:t>2. Wealth level (</w:t>
      </w:r>
      <w:r>
        <w:rPr>
          <w:b/>
          <w:lang w:val="en-US"/>
        </w:rPr>
        <w:t>w</w:t>
      </w:r>
      <w:r>
        <w:rPr>
          <w:lang w:val="en-US"/>
        </w:rPr>
        <w:t xml:space="preserve">). Agents initially receive their parents’ </w:t>
      </w:r>
      <w:r>
        <w:rPr>
          <w:b/>
          <w:lang w:val="en-US"/>
        </w:rPr>
        <w:t>w</w:t>
      </w:r>
      <w:r>
        <w:rPr>
          <w:lang w:val="en-US"/>
        </w:rPr>
        <w:t xml:space="preserve"> when they are born. Their </w:t>
      </w:r>
      <w:r>
        <w:rPr>
          <w:b/>
          <w:lang w:val="en-US"/>
        </w:rPr>
        <w:t>w</w:t>
      </w:r>
      <w:r>
        <w:rPr>
          <w:lang w:val="en-US"/>
        </w:rPr>
        <w:t xml:space="preserve"> is then updated in function of their work status </w:t>
      </w:r>
      <w:r>
        <w:rPr>
          <w:b/>
          <w:lang w:val="en-US"/>
        </w:rPr>
        <w:t>ws</w:t>
      </w:r>
      <w:r>
        <w:rPr>
          <w:lang w:val="en-US"/>
        </w:rPr>
        <w:t xml:space="preserve">. As agents can change their </w:t>
      </w:r>
      <w:r>
        <w:rPr>
          <w:b/>
          <w:lang w:val="en-US"/>
        </w:rPr>
        <w:t>ws</w:t>
      </w:r>
      <w:r>
        <w:rPr>
          <w:lang w:val="en-US"/>
        </w:rPr>
        <w:t xml:space="preserve"> score across their work life, we expect </w:t>
      </w:r>
      <w:r>
        <w:rPr>
          <w:b/>
          <w:lang w:val="en-US"/>
        </w:rPr>
        <w:t>w</w:t>
      </w:r>
      <w:r>
        <w:rPr>
          <w:lang w:val="en-US"/>
        </w:rPr>
        <w:t xml:space="preserve"> to be updated as a result. However, we imagine </w:t>
      </w:r>
      <w:r>
        <w:rPr>
          <w:b/>
          <w:lang w:val="en-US"/>
        </w:rPr>
        <w:t>w</w:t>
      </w:r>
      <w:r>
        <w:rPr>
          <w:lang w:val="en-US"/>
        </w:rPr>
        <w:t xml:space="preserve"> to be more “sticky” than </w:t>
      </w:r>
      <w:r>
        <w:rPr>
          <w:b/>
          <w:lang w:val="en-US"/>
        </w:rPr>
        <w:t>ws</w:t>
      </w:r>
      <w:r>
        <w:rPr>
          <w:lang w:val="en-US"/>
        </w:rPr>
        <w:t>, as it represents the material and financial assets agents’ families possess at a certain point in time, w. w has five possible modalities (1 to 5, based on quintiles of the wealth distribution).</w:t>
      </w:r>
    </w:p>
    <w:p>
      <w:pPr>
        <w:pStyle w:val="Normal"/>
        <w:rPr>
          <w:lang w:val="en-US"/>
        </w:rPr>
      </w:pPr>
      <w:r>
        <w:rPr>
          <w:lang w:val="en-US"/>
        </w:rPr>
        <w:t>3. Education score (</w:t>
      </w:r>
      <w:r>
        <w:rPr>
          <w:b/>
          <w:lang w:val="en-US"/>
        </w:rPr>
        <w:t>e</w:t>
      </w:r>
      <w:r>
        <w:rPr>
          <w:lang w:val="en-US"/>
        </w:rPr>
        <w:t xml:space="preserve">). It is the education attainment of an agent throughout its life. The attribute has four possible modalities (1 = primary education; 2 = lower secondary education; 3 = higher secondary education; 4 = tertiary education). </w:t>
      </w:r>
      <w:r>
        <w:rPr>
          <w:i/>
          <w:lang w:val="en-US"/>
        </w:rPr>
        <w:t xml:space="preserve">Note that given current education distributions, e=1 will likely disappear as the model runs. </w:t>
      </w:r>
    </w:p>
    <w:p>
      <w:pPr>
        <w:pStyle w:val="Normal"/>
        <w:rPr>
          <w:lang w:val="en-US"/>
        </w:rPr>
      </w:pPr>
      <w:r>
        <w:rPr>
          <w:lang w:val="en-US"/>
        </w:rPr>
        <w:t>5. Work status (</w:t>
      </w:r>
      <w:r>
        <w:rPr>
          <w:b/>
          <w:lang w:val="en-US"/>
        </w:rPr>
        <w:t>ws</w:t>
      </w:r>
      <w:r>
        <w:rPr>
          <w:lang w:val="en-US"/>
        </w:rPr>
        <w:t xml:space="preserve">). The agent’s actual occupational level. It also describes work positions within work networks (e.g. a network may comprise one manager position and two white collar workers). It has four modalities (1 = unemployed/inactive; 2 = blue collar worker; 3 = white collar worker; 4 = manager). When the agent enters the work force, it equals 1. It is then updated when the agent joins a work network,is fired and/or changes job. </w:t>
      </w:r>
    </w:p>
    <w:p>
      <w:pPr>
        <w:pStyle w:val="Normal"/>
        <w:rPr>
          <w:lang w:val="en-US"/>
        </w:rPr>
      </w:pPr>
      <w:r>
        <w:rPr>
          <w:lang w:val="en-US"/>
        </w:rPr>
        <w:t>6. SES-related criminal propensity (</w:t>
      </w:r>
      <w:r>
        <w:rPr>
          <w:b/>
          <w:lang w:val="en-US"/>
        </w:rPr>
        <w:t>c_econ_propensity</w:t>
      </w:r>
      <w:r>
        <w:rPr>
          <w:lang w:val="en-US"/>
        </w:rPr>
        <w:t xml:space="preserve">). This represents a general evaluation of agents’ economic stability and satisfaction. We assume less economically-stable agents to be more open to criminal activities. Note, however, that </w:t>
      </w:r>
      <w:r>
        <w:rPr>
          <w:b/>
          <w:lang w:val="en-US"/>
        </w:rPr>
        <w:t>c_econ_propensity</w:t>
      </w:r>
      <w:r>
        <w:rPr>
          <w:lang w:val="en-US"/>
        </w:rPr>
        <w:t xml:space="preserve"> is only one of the elements of the agent’s criminal propensity score </w:t>
      </w:r>
      <w:r>
        <w:rPr>
          <w:b/>
          <w:lang w:val="en-US"/>
        </w:rPr>
        <w:t>c</w:t>
      </w:r>
      <w:r>
        <w:rPr>
          <w:lang w:val="en-US"/>
        </w:rPr>
        <w:t xml:space="preserve"> (not described in this document). </w:t>
      </w:r>
      <w:r>
        <w:rPr>
          <w:b/>
          <w:lang w:val="en-US"/>
        </w:rPr>
        <w:t>c_econ_propensity</w:t>
      </w:r>
      <w:r>
        <w:rPr>
          <w:lang w:val="en-US"/>
        </w:rPr>
        <w:t xml:space="preserve"> has four modalities. The first three (1 to 3) represent decreasing degrees of perceived economic instability; the last (4) represents perceived economic stability. </w:t>
      </w:r>
      <w:r>
        <w:rPr>
          <w:b/>
          <w:lang w:val="en-US"/>
        </w:rPr>
        <w:t>c_econ_propensity</w:t>
      </w:r>
      <w:r>
        <w:rPr>
          <w:lang w:val="en-US"/>
        </w:rPr>
        <w:t xml:space="preserve"> is a function of the agent’s </w:t>
      </w:r>
      <w:r>
        <w:rPr>
          <w:b/>
          <w:lang w:val="en-US"/>
        </w:rPr>
        <w:t>w</w:t>
      </w:r>
      <w:r>
        <w:rPr>
          <w:lang w:val="en-US"/>
        </w:rPr>
        <w:t xml:space="preserve">, and therefore it initially depends on the agent’s parents’ economic status. When </w:t>
      </w:r>
      <w:r>
        <w:rPr>
          <w:b/>
          <w:lang w:val="en-US"/>
        </w:rPr>
        <w:t>w</w:t>
      </w:r>
      <w:r>
        <w:rPr>
          <w:lang w:val="en-US"/>
        </w:rPr>
        <w:t xml:space="preserve"> is updated as a consequence of changes in </w:t>
      </w:r>
      <w:r>
        <w:rPr>
          <w:b/>
          <w:lang w:val="en-US"/>
        </w:rPr>
        <w:t>ws</w:t>
      </w:r>
      <w:r>
        <w:rPr>
          <w:lang w:val="en-US"/>
        </w:rPr>
        <w:t xml:space="preserve">, </w:t>
      </w:r>
      <w:r>
        <w:rPr>
          <w:b/>
          <w:lang w:val="en-US"/>
        </w:rPr>
        <w:t>c_econ_propensity</w:t>
      </w:r>
      <w:r>
        <w:rPr>
          <w:lang w:val="en-US"/>
        </w:rPr>
        <w:t xml:space="preserve"> is updated as well.</w:t>
      </w:r>
    </w:p>
    <w:p>
      <w:pPr>
        <w:pStyle w:val="Heading1"/>
        <w:rPr/>
      </w:pPr>
      <w:r>
        <w:rPr/>
        <w:t>2. Structure of the SES component</w:t>
      </w:r>
    </w:p>
    <w:p>
      <w:pPr>
        <w:pStyle w:val="Normal"/>
        <w:rPr>
          <w:lang w:val="en-US"/>
        </w:rPr>
      </w:pPr>
      <w:r>
        <w:rPr>
          <w:lang w:val="en-US"/>
        </w:rPr>
        <w:t>The following diagram summarizes the dynamics of the SES component:</w:t>
      </w:r>
    </w:p>
    <w:p>
      <w:pPr>
        <w:pStyle w:val="Normal"/>
        <w:jc w:val="center"/>
        <w:rPr>
          <w:b/>
          <w:b/>
          <w:lang w:val="en-US"/>
        </w:rPr>
      </w:pPr>
      <w:r>
        <w:rPr/>
        <w:drawing>
          <wp:inline distT="0" distB="0" distL="0" distR="0">
            <wp:extent cx="6120130" cy="4534535"/>
            <wp:effectExtent l="0" t="0" r="0" b="0"/>
            <wp:docPr id="1"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descr=""/>
                    <pic:cNvPicPr>
                      <a:picLocks noChangeAspect="1" noChangeArrowheads="1"/>
                    </pic:cNvPicPr>
                  </pic:nvPicPr>
                  <pic:blipFill>
                    <a:blip r:embed="rId2"/>
                    <a:stretch>
                      <a:fillRect/>
                    </a:stretch>
                  </pic:blipFill>
                  <pic:spPr bwMode="auto">
                    <a:xfrm>
                      <a:off x="0" y="0"/>
                      <a:ext cx="6120130" cy="4534535"/>
                    </a:xfrm>
                    <a:prstGeom prst="rect">
                      <a:avLst/>
                    </a:prstGeom>
                  </pic:spPr>
                </pic:pic>
              </a:graphicData>
            </a:graphic>
          </wp:inline>
        </w:drawing>
      </w:r>
      <w:bookmarkStart w:id="0" w:name="_GoBack"/>
      <w:bookmarkEnd w:id="0"/>
      <w:r>
        <w:rPr/>
        <w:drawing>
          <wp:inline distT="0" distB="0" distL="0" distR="0">
            <wp:extent cx="6115050" cy="5359400"/>
            <wp:effectExtent l="0" t="0" r="0" b="0"/>
            <wp:docPr id="2" name="Immagin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3" descr=""/>
                    <pic:cNvPicPr>
                      <a:picLocks noChangeAspect="1" noChangeArrowheads="1"/>
                    </pic:cNvPicPr>
                  </pic:nvPicPr>
                  <pic:blipFill>
                    <a:blip r:embed="rId3"/>
                    <a:stretch>
                      <a:fillRect/>
                    </a:stretch>
                  </pic:blipFill>
                  <pic:spPr bwMode="auto">
                    <a:xfrm>
                      <a:off x="0" y="0"/>
                      <a:ext cx="6115050" cy="5359400"/>
                    </a:xfrm>
                    <a:prstGeom prst="rect">
                      <a:avLst/>
                    </a:prstGeom>
                  </pic:spPr>
                </pic:pic>
              </a:graphicData>
            </a:graphic>
          </wp:inline>
        </w:drawing>
      </w:r>
    </w:p>
    <w:p>
      <w:pPr>
        <w:pStyle w:val="Normal"/>
        <w:rPr>
          <w:lang w:val="en-US"/>
        </w:rPr>
      </w:pPr>
      <w:r>
        <w:rPr>
          <w:lang w:val="en-US"/>
        </w:rPr>
        <w:t xml:space="preserve">Agents’ wealth score at birth equal their parents’. Parents’ education and wealth determines the agents’ educational attainment across their life (in accordance with the probability distributions available in the Excel annex). If e=2 the agents exits the education system at age [16-18]; e=3 the agent exits the education system at 19-20; e= the agent exits the system at age [23-27]. </w:t>
      </w:r>
    </w:p>
    <w:p>
      <w:pPr>
        <w:pStyle w:val="Normal"/>
        <w:rPr>
          <w:lang w:val="en-US"/>
        </w:rPr>
      </w:pPr>
      <w:r>
        <w:rPr>
          <w:lang w:val="en-US"/>
        </w:rPr>
        <w:t>When agents exit the education system, they enter the workforce. They are initially unemployed (</w:t>
      </w:r>
      <w:r>
        <w:rPr>
          <w:b/>
          <w:lang w:val="en-US"/>
        </w:rPr>
        <w:t>ws</w:t>
      </w:r>
      <w:r>
        <w:rPr>
          <w:lang w:val="en-US"/>
        </w:rPr>
        <w:t xml:space="preserve"> = 1). Depending of their achieved education score, agents will have different probabilities of finding jobs within a given ws categories (in accordance with to the probability distributions available in the Excel annex). </w:t>
      </w:r>
    </w:p>
    <w:p>
      <w:pPr>
        <w:pStyle w:val="Normal"/>
        <w:rPr>
          <w:lang w:val="en-US"/>
        </w:rPr>
      </w:pPr>
      <w:r>
        <w:rPr>
          <w:lang w:val="en-US"/>
        </w:rPr>
        <w:t xml:space="preserve">Agents stay in the workforce until age [60-65], with increasing probabilities to retire. Once retired, the agents will keep their last w and </w:t>
      </w:r>
      <w:r>
        <w:rPr>
          <w:b/>
          <w:lang w:val="en-US"/>
        </w:rPr>
        <w:t>c_econ_propensity</w:t>
      </w:r>
      <w:r>
        <w:rPr>
          <w:lang w:val="en-US"/>
        </w:rPr>
        <w:t>.</w:t>
      </w:r>
    </w:p>
    <w:p>
      <w:pPr>
        <w:pStyle w:val="Normal"/>
        <w:rPr>
          <w:b/>
          <w:b/>
          <w:lang w:val="en-US"/>
        </w:rPr>
      </w:pPr>
      <w:r>
        <w:rPr>
          <w:b/>
          <w:lang w:val="en-US"/>
        </w:rPr>
        <w:t>4. Data and transformations</w:t>
      </w:r>
    </w:p>
    <w:p>
      <w:pPr>
        <w:pStyle w:val="Normal"/>
        <w:rPr/>
      </w:pPr>
      <w:r>
        <w:rPr>
          <w:lang w:val="en-US"/>
        </w:rPr>
        <w:t xml:space="preserve">Data for the SES component comes from Istat, for the work network structure, and from a yearly Bank of Italy survey on Italian families’ income and expenditures, for individual attributes’ distribution (available at </w:t>
      </w:r>
      <w:hyperlink r:id="rId4">
        <w:r>
          <w:rPr>
            <w:rStyle w:val="InternetLink"/>
            <w:lang w:val="en-US"/>
          </w:rPr>
          <w:t>https://www.bancaditalia.it/pubblicazioni/indagine-famiglie/index.html</w:t>
        </w:r>
      </w:hyperlink>
      <w:r>
        <w:rPr>
          <w:lang w:val="en-US"/>
        </w:rPr>
        <w:t>). In the next paragraphs we focus on the latter.</w:t>
      </w:r>
    </w:p>
    <w:p>
      <w:pPr>
        <w:pStyle w:val="Normal"/>
        <w:rPr>
          <w:lang w:val="en-US"/>
        </w:rPr>
      </w:pPr>
      <w:r>
        <w:rPr>
          <w:lang w:val="en-US"/>
        </w:rPr>
        <w:t>The BoI survey contains individual-level information on Italian responders. This includes geographic origin, age, education level, occupation status and a number of measures of income and wealth. Thanks to these we created distributions tables matching sets of two variables.</w:t>
      </w:r>
    </w:p>
    <w:p>
      <w:pPr>
        <w:pStyle w:val="Normal"/>
        <w:rPr>
          <w:lang w:val="en-US"/>
        </w:rPr>
      </w:pPr>
      <w:r>
        <w:rPr>
          <w:lang w:val="en-US"/>
        </w:rPr>
        <w:t>Only data from the most recent survey (2016) was selected. We limited the search to responders from Sicily (IREG = 19)</w:t>
      </w:r>
      <w:r>
        <w:rPr>
          <w:rStyle w:val="FootnoteCharacters"/>
          <w:rStyle w:val="FootnoteAnchor"/>
          <w:lang w:val="en-US"/>
        </w:rPr>
        <w:footnoteReference w:id="2"/>
      </w:r>
      <w:r>
        <w:rPr>
          <w:lang w:val="en-US"/>
        </w:rPr>
        <w:t xml:space="preserve"> and to individuals aged 16 – 65 (ETA&gt;=16 ∧ ETA&lt;=65). This limited our set to n = 858 responders. We excluded the retired in the age bracket (QUAL = 6, “retired”, n = 71). The resulting distribution is:</w:t>
      </w:r>
    </w:p>
    <w:tbl>
      <w:tblPr>
        <w:tblStyle w:val="Grigliatabella"/>
        <w:tblW w:w="9627" w:type="dxa"/>
        <w:jc w:val="left"/>
        <w:tblInd w:w="0" w:type="dxa"/>
        <w:tblCellMar>
          <w:top w:w="0" w:type="dxa"/>
          <w:left w:w="28" w:type="dxa"/>
          <w:bottom w:w="0" w:type="dxa"/>
          <w:right w:w="28" w:type="dxa"/>
        </w:tblCellMar>
        <w:tblLook w:val="04a0" w:noVBand="1" w:noHBand="0" w:lastColumn="0" w:firstColumn="1" w:lastRow="0" w:firstRow="1"/>
      </w:tblPr>
      <w:tblGrid>
        <w:gridCol w:w="1375"/>
        <w:gridCol w:w="1375"/>
        <w:gridCol w:w="1375"/>
        <w:gridCol w:w="1374"/>
        <w:gridCol w:w="1377"/>
        <w:gridCol w:w="1375"/>
        <w:gridCol w:w="1375"/>
      </w:tblGrid>
      <w:tr>
        <w:trPr>
          <w:trHeight w:val="348" w:hRule="atLeast"/>
        </w:trPr>
        <w:tc>
          <w:tcPr>
            <w:tcW w:w="1375" w:type="dxa"/>
            <w:tcBorders/>
            <w:shd w:fill="auto" w:val="clear"/>
            <w:vAlign w:val="center"/>
          </w:tcPr>
          <w:p>
            <w:pPr>
              <w:pStyle w:val="Normal"/>
              <w:spacing w:lineRule="auto" w:line="240" w:before="0" w:after="0"/>
              <w:rPr>
                <w:b/>
                <w:b/>
                <w:sz w:val="18"/>
                <w:lang w:val="en-US"/>
              </w:rPr>
            </w:pPr>
            <w:r>
              <w:rPr>
                <w:b/>
                <w:sz w:val="18"/>
                <w:lang w:val="en-US"/>
              </w:rPr>
              <w:t>QUAL = 1</w:t>
            </w:r>
          </w:p>
          <w:p>
            <w:pPr>
              <w:pStyle w:val="Normal"/>
              <w:spacing w:lineRule="auto" w:line="240" w:before="0" w:after="0"/>
              <w:rPr>
                <w:b/>
                <w:b/>
                <w:sz w:val="18"/>
                <w:lang w:val="en-US"/>
              </w:rPr>
            </w:pPr>
            <w:r>
              <w:rPr>
                <w:b/>
                <w:sz w:val="18"/>
                <w:lang w:val="en-US"/>
              </w:rPr>
              <w:t>“</w:t>
            </w:r>
            <w:r>
              <w:rPr>
                <w:b/>
                <w:sz w:val="18"/>
                <w:lang w:val="en-US"/>
              </w:rPr>
              <w:t>blue-collar workers”</w:t>
            </w:r>
          </w:p>
        </w:tc>
        <w:tc>
          <w:tcPr>
            <w:tcW w:w="1375" w:type="dxa"/>
            <w:tcBorders/>
            <w:shd w:fill="auto" w:val="clear"/>
            <w:vAlign w:val="center"/>
          </w:tcPr>
          <w:p>
            <w:pPr>
              <w:pStyle w:val="Normal"/>
              <w:spacing w:lineRule="auto" w:line="240" w:before="0" w:after="0"/>
              <w:rPr>
                <w:b/>
                <w:b/>
                <w:sz w:val="18"/>
                <w:lang w:val="en-US"/>
              </w:rPr>
            </w:pPr>
            <w:r>
              <w:rPr>
                <w:b/>
                <w:sz w:val="18"/>
                <w:lang w:val="en-US"/>
              </w:rPr>
              <w:t>QUAL = 2</w:t>
            </w:r>
          </w:p>
          <w:p>
            <w:pPr>
              <w:pStyle w:val="Normal"/>
              <w:spacing w:lineRule="auto" w:line="240" w:before="0" w:after="0"/>
              <w:rPr>
                <w:b/>
                <w:b/>
                <w:sz w:val="18"/>
                <w:lang w:val="en-US"/>
              </w:rPr>
            </w:pPr>
            <w:r>
              <w:rPr>
                <w:b/>
                <w:sz w:val="18"/>
                <w:lang w:val="en-US"/>
              </w:rPr>
              <w:t>“</w:t>
            </w:r>
            <w:r>
              <w:rPr>
                <w:b/>
                <w:sz w:val="18"/>
                <w:lang w:val="en-US"/>
              </w:rPr>
              <w:t>white-collar workers”</w:t>
            </w:r>
          </w:p>
        </w:tc>
        <w:tc>
          <w:tcPr>
            <w:tcW w:w="1375" w:type="dxa"/>
            <w:tcBorders/>
            <w:shd w:fill="auto" w:val="clear"/>
            <w:vAlign w:val="center"/>
          </w:tcPr>
          <w:p>
            <w:pPr>
              <w:pStyle w:val="Normal"/>
              <w:spacing w:lineRule="auto" w:line="240" w:before="0" w:after="0"/>
              <w:rPr>
                <w:b/>
                <w:b/>
                <w:sz w:val="18"/>
                <w:lang w:val="en-US"/>
              </w:rPr>
            </w:pPr>
            <w:r>
              <w:rPr>
                <w:b/>
                <w:sz w:val="18"/>
                <w:lang w:val="en-US"/>
              </w:rPr>
              <w:t>QUAL = 3</w:t>
            </w:r>
          </w:p>
          <w:p>
            <w:pPr>
              <w:pStyle w:val="Normal"/>
              <w:spacing w:lineRule="auto" w:line="240" w:before="0" w:after="0"/>
              <w:rPr>
                <w:b/>
                <w:b/>
                <w:sz w:val="18"/>
                <w:lang w:val="en-US"/>
              </w:rPr>
            </w:pPr>
            <w:r>
              <w:rPr>
                <w:b/>
                <w:sz w:val="18"/>
                <w:lang w:val="en-US"/>
              </w:rPr>
              <w:t>“</w:t>
            </w:r>
            <w:r>
              <w:rPr>
                <w:b/>
                <w:sz w:val="18"/>
                <w:lang w:val="en-US"/>
              </w:rPr>
              <w:t>management”</w:t>
            </w:r>
          </w:p>
        </w:tc>
        <w:tc>
          <w:tcPr>
            <w:tcW w:w="1374" w:type="dxa"/>
            <w:tcBorders/>
            <w:shd w:fill="auto" w:val="clear"/>
            <w:vAlign w:val="center"/>
          </w:tcPr>
          <w:p>
            <w:pPr>
              <w:pStyle w:val="Normal"/>
              <w:spacing w:lineRule="auto" w:line="240" w:before="0" w:after="0"/>
              <w:rPr>
                <w:b/>
                <w:b/>
                <w:sz w:val="18"/>
                <w:lang w:val="en-US"/>
              </w:rPr>
            </w:pPr>
            <w:r>
              <w:rPr>
                <w:b/>
                <w:sz w:val="18"/>
                <w:lang w:val="en-US"/>
              </w:rPr>
              <w:t>QUAL = 4</w:t>
            </w:r>
          </w:p>
          <w:p>
            <w:pPr>
              <w:pStyle w:val="Normal"/>
              <w:spacing w:lineRule="auto" w:line="240" w:before="0" w:after="0"/>
              <w:rPr>
                <w:b/>
                <w:b/>
                <w:sz w:val="18"/>
                <w:lang w:val="en-US"/>
              </w:rPr>
            </w:pPr>
            <w:r>
              <w:rPr>
                <w:b/>
                <w:sz w:val="18"/>
                <w:lang w:val="en-US"/>
              </w:rPr>
              <w:t>“</w:t>
            </w:r>
            <w:r>
              <w:rPr>
                <w:b/>
                <w:sz w:val="18"/>
                <w:lang w:val="en-US"/>
              </w:rPr>
              <w:t>entrepreneur /private practitioner”</w:t>
            </w:r>
          </w:p>
        </w:tc>
        <w:tc>
          <w:tcPr>
            <w:tcW w:w="1377" w:type="dxa"/>
            <w:tcBorders/>
            <w:shd w:fill="auto" w:val="clear"/>
            <w:vAlign w:val="center"/>
          </w:tcPr>
          <w:p>
            <w:pPr>
              <w:pStyle w:val="Normal"/>
              <w:spacing w:lineRule="auto" w:line="240" w:before="0" w:after="0"/>
              <w:rPr>
                <w:b/>
                <w:b/>
                <w:sz w:val="18"/>
                <w:lang w:val="en-US"/>
              </w:rPr>
            </w:pPr>
            <w:r>
              <w:rPr>
                <w:b/>
                <w:sz w:val="18"/>
                <w:lang w:val="en-US"/>
              </w:rPr>
              <w:t>QUAL = 5</w:t>
            </w:r>
          </w:p>
          <w:p>
            <w:pPr>
              <w:pStyle w:val="Normal"/>
              <w:spacing w:lineRule="auto" w:line="240" w:before="0" w:after="0"/>
              <w:rPr>
                <w:b/>
                <w:b/>
                <w:sz w:val="18"/>
                <w:lang w:val="en-US"/>
              </w:rPr>
            </w:pPr>
            <w:r>
              <w:rPr>
                <w:b/>
                <w:sz w:val="18"/>
                <w:lang w:val="en-US"/>
              </w:rPr>
              <w:t>“</w:t>
            </w:r>
            <w:r>
              <w:rPr>
                <w:b/>
                <w:sz w:val="18"/>
                <w:lang w:val="en-US"/>
              </w:rPr>
              <w:t>other self-employed”</w:t>
            </w:r>
          </w:p>
        </w:tc>
        <w:tc>
          <w:tcPr>
            <w:tcW w:w="1375" w:type="dxa"/>
            <w:tcBorders/>
            <w:shd w:fill="auto" w:val="clear"/>
            <w:vAlign w:val="center"/>
          </w:tcPr>
          <w:p>
            <w:pPr>
              <w:pStyle w:val="Normal"/>
              <w:spacing w:lineRule="auto" w:line="240" w:before="0" w:after="0"/>
              <w:rPr>
                <w:b/>
                <w:b/>
                <w:sz w:val="18"/>
                <w:lang w:val="en-US"/>
              </w:rPr>
            </w:pPr>
            <w:r>
              <w:rPr>
                <w:b/>
                <w:sz w:val="18"/>
                <w:lang w:val="en-US"/>
              </w:rPr>
              <w:t>QUAL = 7</w:t>
            </w:r>
          </w:p>
          <w:p>
            <w:pPr>
              <w:pStyle w:val="Normal"/>
              <w:spacing w:lineRule="auto" w:line="240" w:before="0" w:after="0"/>
              <w:rPr>
                <w:b/>
                <w:b/>
                <w:sz w:val="18"/>
                <w:lang w:val="en-US"/>
              </w:rPr>
            </w:pPr>
            <w:r>
              <w:rPr>
                <w:b/>
                <w:sz w:val="18"/>
                <w:lang w:val="en-US"/>
              </w:rPr>
              <w:t>“</w:t>
            </w:r>
            <w:r>
              <w:rPr>
                <w:b/>
                <w:sz w:val="18"/>
                <w:lang w:val="en-US"/>
              </w:rPr>
              <w:t>other unemployed”</w:t>
            </w:r>
          </w:p>
        </w:tc>
        <w:tc>
          <w:tcPr>
            <w:tcW w:w="1375" w:type="dxa"/>
            <w:tcBorders/>
            <w:shd w:fill="auto" w:val="clear"/>
            <w:vAlign w:val="center"/>
          </w:tcPr>
          <w:p>
            <w:pPr>
              <w:pStyle w:val="Normal"/>
              <w:spacing w:lineRule="auto" w:line="240" w:before="0" w:after="0"/>
              <w:rPr>
                <w:b/>
                <w:b/>
                <w:sz w:val="18"/>
                <w:lang w:val="en-US"/>
              </w:rPr>
            </w:pPr>
            <w:r>
              <w:rPr>
                <w:b/>
                <w:sz w:val="18"/>
                <w:lang w:val="en-US"/>
              </w:rPr>
              <w:t>TOT</w:t>
            </w:r>
          </w:p>
        </w:tc>
      </w:tr>
      <w:tr>
        <w:trPr>
          <w:trHeight w:val="348" w:hRule="atLeast"/>
        </w:trPr>
        <w:tc>
          <w:tcPr>
            <w:tcW w:w="1375" w:type="dxa"/>
            <w:tcBorders/>
            <w:shd w:fill="auto" w:val="clear"/>
            <w:vAlign w:val="center"/>
          </w:tcPr>
          <w:p>
            <w:pPr>
              <w:pStyle w:val="Normal"/>
              <w:spacing w:lineRule="auto" w:line="240" w:before="0" w:after="0"/>
              <w:rPr>
                <w:sz w:val="18"/>
                <w:lang w:val="en-US"/>
              </w:rPr>
            </w:pPr>
            <w:r>
              <w:rPr>
                <w:sz w:val="18"/>
                <w:lang w:val="en-US"/>
              </w:rPr>
              <w:t>n = 132 (.168)</w:t>
            </w:r>
          </w:p>
        </w:tc>
        <w:tc>
          <w:tcPr>
            <w:tcW w:w="1375" w:type="dxa"/>
            <w:tcBorders/>
            <w:shd w:fill="auto" w:val="clear"/>
            <w:vAlign w:val="center"/>
          </w:tcPr>
          <w:p>
            <w:pPr>
              <w:pStyle w:val="Normal"/>
              <w:spacing w:lineRule="auto" w:line="240" w:before="0" w:after="0"/>
              <w:rPr>
                <w:sz w:val="18"/>
                <w:lang w:val="en-US"/>
              </w:rPr>
            </w:pPr>
            <w:r>
              <w:rPr>
                <w:sz w:val="18"/>
                <w:lang w:val="en-US"/>
              </w:rPr>
              <w:t>n = 126 (.160)</w:t>
            </w:r>
          </w:p>
        </w:tc>
        <w:tc>
          <w:tcPr>
            <w:tcW w:w="1375" w:type="dxa"/>
            <w:tcBorders/>
            <w:shd w:fill="auto" w:val="clear"/>
            <w:vAlign w:val="center"/>
          </w:tcPr>
          <w:p>
            <w:pPr>
              <w:pStyle w:val="Normal"/>
              <w:spacing w:lineRule="auto" w:line="240" w:before="0" w:after="0"/>
              <w:rPr>
                <w:sz w:val="18"/>
                <w:lang w:val="en-US"/>
              </w:rPr>
            </w:pPr>
            <w:r>
              <w:rPr>
                <w:sz w:val="18"/>
                <w:lang w:val="en-US"/>
              </w:rPr>
              <w:t>n = 18 (.023)</w:t>
            </w:r>
          </w:p>
        </w:tc>
        <w:tc>
          <w:tcPr>
            <w:tcW w:w="1374" w:type="dxa"/>
            <w:tcBorders/>
            <w:shd w:fill="auto" w:val="clear"/>
            <w:vAlign w:val="center"/>
          </w:tcPr>
          <w:p>
            <w:pPr>
              <w:pStyle w:val="Normal"/>
              <w:spacing w:lineRule="auto" w:line="240" w:before="0" w:after="0"/>
              <w:rPr>
                <w:sz w:val="18"/>
                <w:lang w:val="en-US"/>
              </w:rPr>
            </w:pPr>
            <w:r>
              <w:rPr>
                <w:sz w:val="18"/>
                <w:lang w:val="en-US"/>
              </w:rPr>
              <w:t>n = 29 (.037)</w:t>
            </w:r>
          </w:p>
        </w:tc>
        <w:tc>
          <w:tcPr>
            <w:tcW w:w="1377" w:type="dxa"/>
            <w:tcBorders/>
            <w:shd w:fill="auto" w:val="clear"/>
            <w:vAlign w:val="center"/>
          </w:tcPr>
          <w:p>
            <w:pPr>
              <w:pStyle w:val="Normal"/>
              <w:spacing w:lineRule="auto" w:line="240" w:before="0" w:after="0"/>
              <w:rPr>
                <w:sz w:val="18"/>
                <w:lang w:val="en-US"/>
              </w:rPr>
            </w:pPr>
            <w:r>
              <w:rPr>
                <w:sz w:val="18"/>
                <w:lang w:val="en-US"/>
              </w:rPr>
              <w:t>n = 39 (.050)</w:t>
            </w:r>
          </w:p>
        </w:tc>
        <w:tc>
          <w:tcPr>
            <w:tcW w:w="1375" w:type="dxa"/>
            <w:tcBorders/>
            <w:shd w:fill="auto" w:val="clear"/>
            <w:vAlign w:val="center"/>
          </w:tcPr>
          <w:p>
            <w:pPr>
              <w:pStyle w:val="Normal"/>
              <w:spacing w:lineRule="auto" w:line="240" w:before="0" w:after="0"/>
              <w:rPr>
                <w:sz w:val="18"/>
                <w:lang w:val="en-US"/>
              </w:rPr>
            </w:pPr>
            <w:r>
              <w:rPr>
                <w:sz w:val="18"/>
                <w:lang w:val="en-US"/>
              </w:rPr>
              <w:t>n = 443 (.563)</w:t>
            </w:r>
          </w:p>
        </w:tc>
        <w:tc>
          <w:tcPr>
            <w:tcW w:w="1375" w:type="dxa"/>
            <w:tcBorders/>
            <w:shd w:fill="auto" w:val="clear"/>
            <w:vAlign w:val="center"/>
          </w:tcPr>
          <w:p>
            <w:pPr>
              <w:pStyle w:val="Normal"/>
              <w:spacing w:lineRule="auto" w:line="240" w:before="0" w:after="0"/>
              <w:rPr>
                <w:b/>
                <w:b/>
                <w:sz w:val="18"/>
                <w:lang w:val="en-US"/>
              </w:rPr>
            </w:pPr>
            <w:r>
              <w:rPr>
                <w:b/>
                <w:sz w:val="18"/>
                <w:lang w:val="en-US"/>
              </w:rPr>
              <w:t>n = 787 (1.000)</w:t>
            </w:r>
          </w:p>
        </w:tc>
      </w:tr>
    </w:tbl>
    <w:p>
      <w:pPr>
        <w:pStyle w:val="Normal"/>
        <w:rPr>
          <w:lang w:val="en-US"/>
        </w:rPr>
      </w:pPr>
      <w:r>
        <w:rPr>
          <w:lang w:val="en-US"/>
        </w:rPr>
      </w:r>
    </w:p>
    <w:p>
      <w:pPr>
        <w:pStyle w:val="Normal"/>
        <w:rPr>
          <w:lang w:val="en-US"/>
        </w:rPr>
      </w:pPr>
      <w:r>
        <w:rPr>
          <w:lang w:val="en-US"/>
        </w:rPr>
        <w:t>At this point we created a set of Excel sheets (2A to 2D) with all the measures from the survey necessary for the SES component. They contain the following variables:</w:t>
      </w:r>
    </w:p>
    <w:tbl>
      <w:tblPr>
        <w:tblW w:w="9628"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val="04a0" w:noVBand="1" w:noHBand="0" w:lastColumn="0" w:firstColumn="1" w:lastRow="0" w:firstRow="1"/>
      </w:tblPr>
      <w:tblGrid>
        <w:gridCol w:w="882"/>
        <w:gridCol w:w="2532"/>
        <w:gridCol w:w="6214"/>
      </w:tblGrid>
      <w:tr>
        <w:trPr>
          <w:trHeight w:val="20" w:hRule="atLeast"/>
        </w:trPr>
        <w:tc>
          <w:tcPr>
            <w:tcW w:w="8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C4BC96" w:val="clear"/>
            <w:vAlign w:val="center"/>
          </w:tcPr>
          <w:p>
            <w:pPr>
              <w:pStyle w:val="Normal"/>
              <w:spacing w:lineRule="auto" w:line="240" w:before="0" w:after="0"/>
              <w:jc w:val="center"/>
              <w:rPr>
                <w:rFonts w:eastAsia="Times New Roman" w:cs="Arial"/>
                <w:b/>
                <w:b/>
                <w:bCs/>
                <w:color w:val="000000"/>
                <w:sz w:val="16"/>
                <w:szCs w:val="16"/>
                <w:lang w:val="en-US" w:eastAsia="en-US"/>
              </w:rPr>
            </w:pPr>
            <w:r>
              <w:rPr>
                <w:rFonts w:eastAsia="Times New Roman" w:cs="Arial"/>
                <w:b/>
                <w:bCs/>
                <w:color w:val="000000"/>
                <w:sz w:val="16"/>
                <w:szCs w:val="16"/>
                <w:lang w:val="en-US" w:eastAsia="en-US"/>
              </w:rPr>
              <w:t>Name</w:t>
            </w:r>
          </w:p>
        </w:tc>
        <w:tc>
          <w:tcPr>
            <w:tcW w:w="2532"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rPr>
                <w:rFonts w:eastAsia="Times New Roman" w:cs="Arial"/>
                <w:b/>
                <w:b/>
                <w:bCs/>
                <w:color w:val="000000"/>
                <w:sz w:val="16"/>
                <w:szCs w:val="16"/>
                <w:lang w:val="en-US" w:eastAsia="en-US"/>
              </w:rPr>
            </w:pPr>
            <w:r>
              <w:rPr>
                <w:rFonts w:eastAsia="Times New Roman" w:cs="Arial"/>
                <w:b/>
                <w:bCs/>
                <w:color w:val="000000"/>
                <w:sz w:val="16"/>
                <w:szCs w:val="16"/>
                <w:lang w:val="en-US" w:eastAsia="en-US"/>
              </w:rPr>
              <w:t>Description</w:t>
            </w:r>
          </w:p>
        </w:tc>
        <w:tc>
          <w:tcPr>
            <w:tcW w:w="6214"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rPr>
                <w:rFonts w:eastAsia="Times New Roman" w:cs="Arial"/>
                <w:b/>
                <w:b/>
                <w:bCs/>
                <w:color w:val="000000"/>
                <w:sz w:val="16"/>
                <w:szCs w:val="16"/>
                <w:lang w:val="en-US" w:eastAsia="en-US"/>
              </w:rPr>
            </w:pPr>
            <w:r>
              <w:rPr>
                <w:rFonts w:eastAsia="Times New Roman" w:cs="Arial"/>
                <w:b/>
                <w:bCs/>
                <w:color w:val="000000"/>
                <w:sz w:val="16"/>
                <w:szCs w:val="16"/>
                <w:lang w:val="en-US" w:eastAsia="en-US"/>
              </w:rPr>
              <w:t>Modalities</w:t>
            </w:r>
          </w:p>
        </w:tc>
      </w:tr>
      <w:tr>
        <w:trPr>
          <w:trHeight w:val="20" w:hRule="atLeast"/>
        </w:trPr>
        <w:tc>
          <w:tcPr>
            <w:tcW w:w="882" w:type="dxa"/>
            <w:tcBorders>
              <w:left w:val="single" w:sz="4" w:space="0" w:color="000000"/>
              <w:bottom w:val="single" w:sz="4" w:space="0" w:color="000000"/>
              <w:right w:val="single" w:sz="4" w:space="0" w:color="000000"/>
              <w:insideH w:val="single" w:sz="4" w:space="0" w:color="000000"/>
              <w:insideV w:val="single" w:sz="4" w:space="0" w:color="000000"/>
            </w:tcBorders>
            <w:shd w:color="000000" w:fill="C4BC96" w:val="clear"/>
            <w:vAlign w:val="center"/>
          </w:tcPr>
          <w:p>
            <w:pPr>
              <w:pStyle w:val="Normal"/>
              <w:spacing w:lineRule="auto" w:line="240" w:before="0" w:after="0"/>
              <w:rPr>
                <w:rFonts w:eastAsia="Times New Roman" w:cs="Arial"/>
                <w:b/>
                <w:b/>
                <w:bCs/>
                <w:color w:val="000000"/>
                <w:sz w:val="16"/>
                <w:szCs w:val="16"/>
                <w:lang w:val="en-US" w:eastAsia="en-US"/>
              </w:rPr>
            </w:pPr>
            <w:r>
              <w:rPr>
                <w:rFonts w:eastAsia="Times New Roman" w:cs="Arial"/>
                <w:b/>
                <w:bCs/>
                <w:color w:val="000000"/>
                <w:sz w:val="16"/>
                <w:szCs w:val="16"/>
                <w:lang w:val="en-US" w:eastAsia="en-US"/>
              </w:rPr>
              <w:t>nquest</w:t>
            </w:r>
          </w:p>
        </w:tc>
        <w:tc>
          <w:tcPr>
            <w:tcW w:w="2532"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rPr>
                <w:rFonts w:eastAsia="Times New Roman" w:cs="Arial"/>
                <w:color w:val="000000"/>
                <w:sz w:val="16"/>
                <w:szCs w:val="16"/>
                <w:lang w:val="en-US" w:eastAsia="en-US"/>
              </w:rPr>
            </w:pPr>
            <w:r>
              <w:rPr>
                <w:rFonts w:eastAsia="Times New Roman" w:cs="Arial"/>
                <w:color w:val="000000"/>
                <w:sz w:val="16"/>
                <w:szCs w:val="16"/>
                <w:lang w:val="en-US" w:eastAsia="en-US"/>
              </w:rPr>
              <w:t>Questionnaire number (one for each family)</w:t>
            </w:r>
          </w:p>
        </w:tc>
        <w:tc>
          <w:tcPr>
            <w:tcW w:w="6214"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rPr>
                <w:rFonts w:eastAsia="Times New Roman" w:cs="Arial"/>
                <w:color w:val="000000"/>
                <w:sz w:val="16"/>
                <w:szCs w:val="16"/>
                <w:lang w:val="en-US" w:eastAsia="en-US"/>
              </w:rPr>
            </w:pPr>
            <w:r>
              <w:rPr>
                <w:rFonts w:eastAsia="Times New Roman" w:cs="Arial"/>
                <w:color w:val="000000"/>
                <w:sz w:val="16"/>
                <w:szCs w:val="16"/>
                <w:lang w:val="en-US" w:eastAsia="en-US"/>
              </w:rPr>
              <w:t>[six-digit code]</w:t>
            </w:r>
          </w:p>
        </w:tc>
      </w:tr>
      <w:tr>
        <w:trPr>
          <w:trHeight w:val="20" w:hRule="atLeast"/>
        </w:trPr>
        <w:tc>
          <w:tcPr>
            <w:tcW w:w="882" w:type="dxa"/>
            <w:tcBorders>
              <w:left w:val="single" w:sz="4" w:space="0" w:color="000000"/>
              <w:bottom w:val="single" w:sz="4" w:space="0" w:color="000000"/>
              <w:right w:val="single" w:sz="4" w:space="0" w:color="000000"/>
              <w:insideH w:val="single" w:sz="4" w:space="0" w:color="000000"/>
              <w:insideV w:val="single" w:sz="4" w:space="0" w:color="000000"/>
            </w:tcBorders>
            <w:shd w:color="000000" w:fill="C4BC96" w:val="clear"/>
            <w:vAlign w:val="center"/>
          </w:tcPr>
          <w:p>
            <w:pPr>
              <w:pStyle w:val="Normal"/>
              <w:spacing w:lineRule="auto" w:line="240" w:before="0" w:after="0"/>
              <w:rPr>
                <w:rFonts w:eastAsia="Times New Roman" w:cs="Arial"/>
                <w:b/>
                <w:b/>
                <w:bCs/>
                <w:color w:val="000000"/>
                <w:sz w:val="16"/>
                <w:szCs w:val="16"/>
                <w:lang w:val="en-US" w:eastAsia="en-US"/>
              </w:rPr>
            </w:pPr>
            <w:r>
              <w:rPr>
                <w:rFonts w:eastAsia="Times New Roman" w:cs="Arial"/>
                <w:b/>
                <w:bCs/>
                <w:color w:val="000000"/>
                <w:sz w:val="16"/>
                <w:szCs w:val="16"/>
                <w:lang w:val="en-US" w:eastAsia="en-US"/>
              </w:rPr>
              <w:t>nord</w:t>
            </w:r>
          </w:p>
        </w:tc>
        <w:tc>
          <w:tcPr>
            <w:tcW w:w="2532"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rPr>
                <w:rFonts w:eastAsia="Times New Roman" w:cs="Arial"/>
                <w:color w:val="000000"/>
                <w:sz w:val="16"/>
                <w:szCs w:val="16"/>
                <w:lang w:val="en-US" w:eastAsia="en-US"/>
              </w:rPr>
            </w:pPr>
            <w:r>
              <w:rPr>
                <w:rFonts w:eastAsia="Times New Roman" w:cs="Arial"/>
                <w:color w:val="000000"/>
                <w:sz w:val="16"/>
                <w:szCs w:val="16"/>
                <w:lang w:val="en-US" w:eastAsia="en-US"/>
              </w:rPr>
              <w:t>Individual interviewed within each family</w:t>
            </w:r>
          </w:p>
        </w:tc>
        <w:tc>
          <w:tcPr>
            <w:tcW w:w="6214"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rPr>
                <w:rFonts w:eastAsia="Times New Roman" w:cs="Arial"/>
                <w:color w:val="000000"/>
                <w:sz w:val="16"/>
                <w:szCs w:val="16"/>
                <w:lang w:val="en-US" w:eastAsia="en-US"/>
              </w:rPr>
            </w:pPr>
            <w:r>
              <w:rPr>
                <w:rFonts w:eastAsia="Times New Roman" w:cs="Arial"/>
                <w:color w:val="000000"/>
                <w:sz w:val="16"/>
                <w:szCs w:val="16"/>
                <w:lang w:val="en-US" w:eastAsia="en-US"/>
              </w:rPr>
              <w:t>[one-digit code; range = 1 – 8]</w:t>
            </w:r>
          </w:p>
        </w:tc>
      </w:tr>
      <w:tr>
        <w:trPr>
          <w:trHeight w:val="20" w:hRule="atLeast"/>
        </w:trPr>
        <w:tc>
          <w:tcPr>
            <w:tcW w:w="882" w:type="dxa"/>
            <w:tcBorders>
              <w:left w:val="single" w:sz="4" w:space="0" w:color="000000"/>
              <w:bottom w:val="single" w:sz="4" w:space="0" w:color="000000"/>
              <w:right w:val="single" w:sz="4" w:space="0" w:color="000000"/>
              <w:insideH w:val="single" w:sz="4" w:space="0" w:color="000000"/>
              <w:insideV w:val="single" w:sz="4" w:space="0" w:color="000000"/>
            </w:tcBorders>
            <w:shd w:color="000000" w:fill="C4BC96" w:val="clear"/>
            <w:vAlign w:val="center"/>
          </w:tcPr>
          <w:p>
            <w:pPr>
              <w:pStyle w:val="Normal"/>
              <w:spacing w:lineRule="auto" w:line="240" w:before="0" w:after="0"/>
              <w:rPr>
                <w:rFonts w:eastAsia="Times New Roman" w:cs="Arial"/>
                <w:b/>
                <w:b/>
                <w:bCs/>
                <w:color w:val="000000"/>
                <w:sz w:val="16"/>
                <w:szCs w:val="16"/>
                <w:lang w:val="en-US" w:eastAsia="en-US"/>
              </w:rPr>
            </w:pPr>
            <w:r>
              <w:rPr>
                <w:rFonts w:eastAsia="Times New Roman" w:cs="Arial"/>
                <w:b/>
                <w:bCs/>
                <w:color w:val="000000"/>
                <w:sz w:val="16"/>
                <w:szCs w:val="16"/>
                <w:lang w:val="en-US" w:eastAsia="en-US"/>
              </w:rPr>
              <w:t>NCOMP</w:t>
            </w:r>
          </w:p>
        </w:tc>
        <w:tc>
          <w:tcPr>
            <w:tcW w:w="2532"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rPr>
                <w:rFonts w:eastAsia="Times New Roman" w:cs="Arial"/>
                <w:color w:val="000000"/>
                <w:sz w:val="16"/>
                <w:szCs w:val="16"/>
                <w:lang w:val="en-US" w:eastAsia="en-US"/>
              </w:rPr>
            </w:pPr>
            <w:r>
              <w:rPr>
                <w:rFonts w:eastAsia="Times New Roman" w:cs="Arial"/>
                <w:color w:val="000000"/>
                <w:sz w:val="16"/>
                <w:szCs w:val="16"/>
                <w:lang w:val="en-US" w:eastAsia="en-US"/>
              </w:rPr>
              <w:t>Number of members in the family</w:t>
            </w:r>
          </w:p>
        </w:tc>
        <w:tc>
          <w:tcPr>
            <w:tcW w:w="6214"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rPr>
                <w:rFonts w:eastAsia="Times New Roman" w:cs="Arial"/>
                <w:color w:val="000000"/>
                <w:sz w:val="16"/>
                <w:szCs w:val="16"/>
                <w:lang w:val="en-US" w:eastAsia="en-US"/>
              </w:rPr>
            </w:pPr>
            <w:r>
              <w:rPr>
                <w:rFonts w:eastAsia="Times New Roman" w:cs="Arial"/>
                <w:color w:val="000000"/>
                <w:sz w:val="16"/>
                <w:szCs w:val="16"/>
                <w:lang w:val="en-US" w:eastAsia="en-US"/>
              </w:rPr>
              <w:t>[1-8]</w:t>
            </w:r>
          </w:p>
        </w:tc>
      </w:tr>
      <w:tr>
        <w:trPr>
          <w:trHeight w:val="20" w:hRule="atLeast"/>
        </w:trPr>
        <w:tc>
          <w:tcPr>
            <w:tcW w:w="882" w:type="dxa"/>
            <w:tcBorders>
              <w:left w:val="single" w:sz="4" w:space="0" w:color="000000"/>
              <w:bottom w:val="single" w:sz="4" w:space="0" w:color="000000"/>
              <w:right w:val="single" w:sz="4" w:space="0" w:color="000000"/>
              <w:insideH w:val="single" w:sz="4" w:space="0" w:color="000000"/>
              <w:insideV w:val="single" w:sz="4" w:space="0" w:color="000000"/>
            </w:tcBorders>
            <w:shd w:color="000000" w:fill="C4BC96" w:val="clear"/>
            <w:vAlign w:val="center"/>
          </w:tcPr>
          <w:p>
            <w:pPr>
              <w:pStyle w:val="Normal"/>
              <w:spacing w:lineRule="auto" w:line="240" w:before="0" w:after="0"/>
              <w:rPr>
                <w:rFonts w:eastAsia="Times New Roman" w:cs="Arial"/>
                <w:b/>
                <w:b/>
                <w:bCs/>
                <w:color w:val="000000"/>
                <w:sz w:val="16"/>
                <w:szCs w:val="16"/>
                <w:lang w:val="en-US" w:eastAsia="en-US"/>
              </w:rPr>
            </w:pPr>
            <w:r>
              <w:rPr>
                <w:rFonts w:eastAsia="Times New Roman" w:cs="Arial"/>
                <w:b/>
                <w:bCs/>
                <w:color w:val="000000"/>
                <w:sz w:val="16"/>
                <w:szCs w:val="16"/>
                <w:lang w:val="en-US" w:eastAsia="en-US"/>
              </w:rPr>
              <w:t>sex</w:t>
            </w:r>
          </w:p>
        </w:tc>
        <w:tc>
          <w:tcPr>
            <w:tcW w:w="2532"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rPr>
                <w:rFonts w:eastAsia="Times New Roman" w:cs="Arial"/>
                <w:color w:val="000000"/>
                <w:sz w:val="16"/>
                <w:szCs w:val="16"/>
                <w:lang w:val="en-US" w:eastAsia="en-US"/>
              </w:rPr>
            </w:pPr>
            <w:r>
              <w:rPr>
                <w:rFonts w:eastAsia="Times New Roman" w:cs="Arial"/>
                <w:color w:val="000000"/>
                <w:sz w:val="16"/>
                <w:szCs w:val="16"/>
                <w:lang w:val="en-US" w:eastAsia="en-US"/>
              </w:rPr>
              <w:t>Sex of responder</w:t>
            </w:r>
          </w:p>
        </w:tc>
        <w:tc>
          <w:tcPr>
            <w:tcW w:w="6214"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rPr>
                <w:rFonts w:eastAsia="Times New Roman" w:cs="Arial"/>
                <w:color w:val="000000"/>
                <w:sz w:val="16"/>
                <w:szCs w:val="16"/>
                <w:lang w:val="en-US" w:eastAsia="en-US"/>
              </w:rPr>
            </w:pPr>
            <w:r>
              <w:rPr>
                <w:rFonts w:eastAsia="Times New Roman" w:cs="Arial"/>
                <w:color w:val="000000"/>
                <w:sz w:val="16"/>
                <w:szCs w:val="16"/>
                <w:lang w:val="en-US" w:eastAsia="en-US"/>
              </w:rPr>
              <w:t>1 = man2= woman</w:t>
            </w:r>
          </w:p>
        </w:tc>
      </w:tr>
      <w:tr>
        <w:trPr>
          <w:trHeight w:val="20" w:hRule="atLeast"/>
        </w:trPr>
        <w:tc>
          <w:tcPr>
            <w:tcW w:w="882" w:type="dxa"/>
            <w:tcBorders>
              <w:left w:val="single" w:sz="4" w:space="0" w:color="000000"/>
              <w:bottom w:val="single" w:sz="4" w:space="0" w:color="000000"/>
              <w:right w:val="single" w:sz="4" w:space="0" w:color="000000"/>
              <w:insideH w:val="single" w:sz="4" w:space="0" w:color="000000"/>
              <w:insideV w:val="single" w:sz="4" w:space="0" w:color="000000"/>
            </w:tcBorders>
            <w:shd w:color="000000" w:fill="C4BC96" w:val="clear"/>
            <w:vAlign w:val="center"/>
          </w:tcPr>
          <w:p>
            <w:pPr>
              <w:pStyle w:val="Normal"/>
              <w:spacing w:lineRule="auto" w:line="240" w:before="0" w:after="0"/>
              <w:rPr>
                <w:rFonts w:eastAsia="Times New Roman" w:cs="Arial"/>
                <w:b/>
                <w:b/>
                <w:bCs/>
                <w:color w:val="000000"/>
                <w:sz w:val="16"/>
                <w:szCs w:val="16"/>
                <w:lang w:val="en-US" w:eastAsia="en-US"/>
              </w:rPr>
            </w:pPr>
            <w:r>
              <w:rPr>
                <w:rFonts w:eastAsia="Times New Roman" w:cs="Arial"/>
                <w:b/>
                <w:bCs/>
                <w:color w:val="000000"/>
                <w:sz w:val="16"/>
                <w:szCs w:val="16"/>
                <w:lang w:val="en-US" w:eastAsia="en-US"/>
              </w:rPr>
              <w:t>studio</w:t>
            </w:r>
          </w:p>
        </w:tc>
        <w:tc>
          <w:tcPr>
            <w:tcW w:w="2532"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rPr>
                <w:rFonts w:eastAsia="Times New Roman" w:cs="Arial"/>
                <w:color w:val="000000"/>
                <w:sz w:val="16"/>
                <w:szCs w:val="16"/>
                <w:lang w:val="en-US" w:eastAsia="en-US"/>
              </w:rPr>
            </w:pPr>
            <w:r>
              <w:rPr>
                <w:rFonts w:eastAsia="Times New Roman" w:cs="Arial"/>
                <w:color w:val="000000"/>
                <w:sz w:val="16"/>
                <w:szCs w:val="16"/>
                <w:lang w:val="en-US" w:eastAsia="en-US"/>
              </w:rPr>
              <w:t>Education level of responder</w:t>
            </w:r>
          </w:p>
        </w:tc>
        <w:tc>
          <w:tcPr>
            <w:tcW w:w="6214"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rPr>
                <w:rFonts w:eastAsia="Times New Roman" w:cs="Arial"/>
                <w:color w:val="000000"/>
                <w:sz w:val="16"/>
                <w:szCs w:val="16"/>
                <w:lang w:val="en-US" w:eastAsia="en-US"/>
              </w:rPr>
            </w:pPr>
            <w:r>
              <w:rPr>
                <w:rFonts w:eastAsia="Times New Roman" w:cs="Arial"/>
                <w:color w:val="000000"/>
                <w:sz w:val="16"/>
                <w:szCs w:val="16"/>
                <w:lang w:val="en-US" w:eastAsia="en-US"/>
              </w:rPr>
              <w:t>1 = “no education”; 2 = “completed primary education”; 3 = “completed lower secondary education”; 4 = “completed 3-year professional diploma [normally completed at 16 - 17]”; 5 = “graduated high school”; 6 = “university bachelor’s degree”; 7 = “university master’s degree”; 8 = “post-degree specialization”</w:t>
            </w:r>
          </w:p>
        </w:tc>
      </w:tr>
      <w:tr>
        <w:trPr>
          <w:trHeight w:val="20" w:hRule="atLeast"/>
        </w:trPr>
        <w:tc>
          <w:tcPr>
            <w:tcW w:w="882" w:type="dxa"/>
            <w:tcBorders>
              <w:left w:val="single" w:sz="4" w:space="0" w:color="000000"/>
              <w:bottom w:val="single" w:sz="4" w:space="0" w:color="000000"/>
              <w:right w:val="single" w:sz="4" w:space="0" w:color="000000"/>
              <w:insideH w:val="single" w:sz="4" w:space="0" w:color="000000"/>
              <w:insideV w:val="single" w:sz="4" w:space="0" w:color="000000"/>
            </w:tcBorders>
            <w:shd w:color="000000" w:fill="C4BC96" w:val="clear"/>
            <w:vAlign w:val="center"/>
          </w:tcPr>
          <w:p>
            <w:pPr>
              <w:pStyle w:val="Normal"/>
              <w:spacing w:lineRule="auto" w:line="240" w:before="0" w:after="0"/>
              <w:rPr>
                <w:rFonts w:eastAsia="Times New Roman" w:cs="Arial"/>
                <w:b/>
                <w:b/>
                <w:bCs/>
                <w:color w:val="000000"/>
                <w:sz w:val="16"/>
                <w:szCs w:val="16"/>
                <w:lang w:val="en-US" w:eastAsia="en-US"/>
              </w:rPr>
            </w:pPr>
            <w:r>
              <w:rPr>
                <w:rFonts w:eastAsia="Times New Roman" w:cs="Arial"/>
                <w:b/>
                <w:bCs/>
                <w:color w:val="000000"/>
                <w:sz w:val="16"/>
                <w:szCs w:val="16"/>
                <w:lang w:val="en-US" w:eastAsia="en-US"/>
              </w:rPr>
              <w:t>ETA</w:t>
            </w:r>
          </w:p>
        </w:tc>
        <w:tc>
          <w:tcPr>
            <w:tcW w:w="2532"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rPr>
                <w:rFonts w:eastAsia="Times New Roman" w:cs="Arial"/>
                <w:color w:val="000000"/>
                <w:sz w:val="16"/>
                <w:szCs w:val="16"/>
                <w:lang w:val="en-US" w:eastAsia="en-US"/>
              </w:rPr>
            </w:pPr>
            <w:r>
              <w:rPr>
                <w:rFonts w:eastAsia="Times New Roman" w:cs="Arial"/>
                <w:color w:val="000000"/>
                <w:sz w:val="16"/>
                <w:szCs w:val="16"/>
                <w:lang w:val="en-US" w:eastAsia="en-US"/>
              </w:rPr>
              <w:t>Age of responder</w:t>
            </w:r>
          </w:p>
        </w:tc>
        <w:tc>
          <w:tcPr>
            <w:tcW w:w="6214"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rPr>
                <w:rFonts w:eastAsia="Times New Roman" w:cs="Arial"/>
                <w:color w:val="000000"/>
                <w:sz w:val="16"/>
                <w:szCs w:val="16"/>
                <w:lang w:val="en-US" w:eastAsia="en-US"/>
              </w:rPr>
            </w:pPr>
            <w:r>
              <w:rPr>
                <w:rFonts w:eastAsia="Times New Roman" w:cs="Arial"/>
                <w:color w:val="000000"/>
                <w:sz w:val="16"/>
                <w:szCs w:val="16"/>
                <w:lang w:val="en-US" w:eastAsia="en-US"/>
              </w:rPr>
              <w:t>16 - 65</w:t>
            </w:r>
          </w:p>
        </w:tc>
      </w:tr>
      <w:tr>
        <w:trPr>
          <w:trHeight w:val="20" w:hRule="atLeast"/>
        </w:trPr>
        <w:tc>
          <w:tcPr>
            <w:tcW w:w="882" w:type="dxa"/>
            <w:tcBorders>
              <w:left w:val="single" w:sz="4" w:space="0" w:color="000000"/>
              <w:bottom w:val="single" w:sz="4" w:space="0" w:color="000000"/>
              <w:right w:val="single" w:sz="4" w:space="0" w:color="000000"/>
              <w:insideH w:val="single" w:sz="4" w:space="0" w:color="000000"/>
              <w:insideV w:val="single" w:sz="4" w:space="0" w:color="000000"/>
            </w:tcBorders>
            <w:shd w:color="000000" w:fill="C4BC96" w:val="clear"/>
            <w:vAlign w:val="center"/>
          </w:tcPr>
          <w:p>
            <w:pPr>
              <w:pStyle w:val="Normal"/>
              <w:spacing w:lineRule="auto" w:line="240" w:before="0" w:after="0"/>
              <w:rPr>
                <w:rFonts w:eastAsia="Times New Roman" w:cs="Arial"/>
                <w:b/>
                <w:b/>
                <w:bCs/>
                <w:color w:val="000000"/>
                <w:sz w:val="16"/>
                <w:szCs w:val="16"/>
                <w:lang w:val="en-US" w:eastAsia="en-US"/>
              </w:rPr>
            </w:pPr>
            <w:r>
              <w:rPr>
                <w:rFonts w:eastAsia="Times New Roman" w:cs="Arial"/>
                <w:b/>
                <w:bCs/>
                <w:color w:val="000000"/>
                <w:sz w:val="16"/>
                <w:szCs w:val="16"/>
                <w:lang w:val="en-US" w:eastAsia="en-US"/>
              </w:rPr>
              <w:t>QUAL</w:t>
            </w:r>
          </w:p>
        </w:tc>
        <w:tc>
          <w:tcPr>
            <w:tcW w:w="2532"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rPr>
                <w:rFonts w:eastAsia="Times New Roman" w:cs="Arial"/>
                <w:color w:val="000000"/>
                <w:sz w:val="16"/>
                <w:szCs w:val="16"/>
                <w:lang w:val="en-US" w:eastAsia="en-US"/>
              </w:rPr>
            </w:pPr>
            <w:r>
              <w:rPr>
                <w:rFonts w:eastAsia="Times New Roman" w:cs="Arial"/>
                <w:color w:val="000000"/>
                <w:sz w:val="16"/>
                <w:szCs w:val="16"/>
                <w:lang w:val="en-US" w:eastAsia="en-US"/>
              </w:rPr>
              <w:t>Employment status of responder</w:t>
            </w:r>
          </w:p>
        </w:tc>
        <w:tc>
          <w:tcPr>
            <w:tcW w:w="6214"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rPr>
                <w:rFonts w:eastAsia="Times New Roman" w:cs="Arial"/>
                <w:color w:val="000000"/>
                <w:sz w:val="16"/>
                <w:szCs w:val="16"/>
                <w:lang w:val="en-US" w:eastAsia="en-US"/>
              </w:rPr>
            </w:pPr>
            <w:r>
              <w:rPr>
                <w:rFonts w:eastAsia="Times New Roman" w:cs="Arial"/>
                <w:color w:val="000000"/>
                <w:sz w:val="16"/>
                <w:szCs w:val="16"/>
                <w:lang w:val="en-US" w:eastAsia="en-US"/>
              </w:rPr>
              <w:t>1 = “blue-collar worker”; 2= “white-collar worker” ; 3 = “manager” ; 4 = “entrepreneur / private practitioner” ; 5 =  “other self-employed” ; 6 = “retired” [excluded from the sample]; 7 = “other unemployed”</w:t>
            </w:r>
          </w:p>
        </w:tc>
      </w:tr>
      <w:tr>
        <w:trPr>
          <w:trHeight w:val="20" w:hRule="atLeast"/>
        </w:trPr>
        <w:tc>
          <w:tcPr>
            <w:tcW w:w="882" w:type="dxa"/>
            <w:tcBorders>
              <w:left w:val="single" w:sz="4" w:space="0" w:color="000000"/>
              <w:bottom w:val="single" w:sz="4" w:space="0" w:color="000000"/>
              <w:right w:val="single" w:sz="4" w:space="0" w:color="000000"/>
              <w:insideH w:val="single" w:sz="4" w:space="0" w:color="000000"/>
              <w:insideV w:val="single" w:sz="4" w:space="0" w:color="000000"/>
            </w:tcBorders>
            <w:shd w:color="000000" w:fill="C4BC96" w:val="clear"/>
            <w:vAlign w:val="center"/>
          </w:tcPr>
          <w:p>
            <w:pPr>
              <w:pStyle w:val="Normal"/>
              <w:spacing w:lineRule="auto" w:line="240" w:before="0" w:after="0"/>
              <w:rPr>
                <w:rFonts w:eastAsia="Times New Roman" w:cs="Arial"/>
                <w:b/>
                <w:b/>
                <w:bCs/>
                <w:color w:val="000000"/>
                <w:sz w:val="16"/>
                <w:szCs w:val="16"/>
                <w:lang w:val="en-US" w:eastAsia="en-US"/>
              </w:rPr>
            </w:pPr>
            <w:r>
              <w:rPr>
                <w:rFonts w:eastAsia="Times New Roman" w:cs="Arial"/>
                <w:b/>
                <w:bCs/>
                <w:color w:val="000000"/>
                <w:sz w:val="16"/>
                <w:szCs w:val="16"/>
                <w:lang w:val="en-US" w:eastAsia="en-US"/>
              </w:rPr>
              <w:t>W</w:t>
            </w:r>
          </w:p>
        </w:tc>
        <w:tc>
          <w:tcPr>
            <w:tcW w:w="2532"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rPr>
                <w:rFonts w:eastAsia="Times New Roman" w:cs="Arial"/>
                <w:color w:val="000000"/>
                <w:sz w:val="16"/>
                <w:szCs w:val="16"/>
                <w:lang w:val="en-US" w:eastAsia="en-US"/>
              </w:rPr>
            </w:pPr>
            <w:r>
              <w:rPr>
                <w:rFonts w:eastAsia="Times New Roman" w:cs="Arial"/>
                <w:color w:val="000000"/>
                <w:sz w:val="16"/>
                <w:szCs w:val="16"/>
                <w:lang w:val="en-US" w:eastAsia="en-US"/>
              </w:rPr>
              <w:t>Family wealth</w:t>
            </w:r>
          </w:p>
        </w:tc>
        <w:tc>
          <w:tcPr>
            <w:tcW w:w="6214"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rPr>
                <w:rFonts w:eastAsia="Times New Roman" w:cs="Arial"/>
                <w:color w:val="000000"/>
                <w:sz w:val="16"/>
                <w:szCs w:val="16"/>
                <w:lang w:val="en-US" w:eastAsia="en-US"/>
              </w:rPr>
            </w:pPr>
            <w:r>
              <w:rPr>
                <w:rFonts w:eastAsia="Times New Roman" w:cs="Arial"/>
                <w:color w:val="000000"/>
                <w:sz w:val="16"/>
                <w:szCs w:val="16"/>
                <w:lang w:val="en-US" w:eastAsia="en-US"/>
              </w:rPr>
              <w:t>[euros]</w:t>
            </w:r>
          </w:p>
        </w:tc>
      </w:tr>
      <w:tr>
        <w:trPr>
          <w:trHeight w:val="20" w:hRule="atLeast"/>
        </w:trPr>
        <w:tc>
          <w:tcPr>
            <w:tcW w:w="882" w:type="dxa"/>
            <w:tcBorders>
              <w:left w:val="single" w:sz="4" w:space="0" w:color="000000"/>
              <w:bottom w:val="single" w:sz="4" w:space="0" w:color="000000"/>
              <w:right w:val="single" w:sz="4" w:space="0" w:color="000000"/>
              <w:insideH w:val="single" w:sz="4" w:space="0" w:color="000000"/>
              <w:insideV w:val="single" w:sz="4" w:space="0" w:color="000000"/>
            </w:tcBorders>
            <w:shd w:color="000000" w:fill="C4BC96" w:val="clear"/>
            <w:vAlign w:val="center"/>
          </w:tcPr>
          <w:p>
            <w:pPr>
              <w:pStyle w:val="Normal"/>
              <w:spacing w:lineRule="auto" w:line="240" w:before="0" w:after="0"/>
              <w:rPr>
                <w:rFonts w:eastAsia="Times New Roman" w:cs="Arial"/>
                <w:b/>
                <w:b/>
                <w:bCs/>
                <w:color w:val="000000"/>
                <w:sz w:val="16"/>
                <w:szCs w:val="16"/>
                <w:lang w:val="en-US" w:eastAsia="en-US"/>
              </w:rPr>
            </w:pPr>
            <w:r>
              <w:rPr>
                <w:rFonts w:eastAsia="Times New Roman" w:cs="Arial"/>
                <w:b/>
                <w:bCs/>
                <w:color w:val="000000"/>
                <w:sz w:val="16"/>
                <w:szCs w:val="16"/>
                <w:lang w:val="en-US" w:eastAsia="en-US"/>
              </w:rPr>
              <w:t>CLW2</w:t>
            </w:r>
          </w:p>
        </w:tc>
        <w:tc>
          <w:tcPr>
            <w:tcW w:w="2532"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rPr>
                <w:rFonts w:eastAsia="Times New Roman" w:cs="Arial"/>
                <w:color w:val="000000"/>
                <w:sz w:val="16"/>
                <w:szCs w:val="16"/>
                <w:lang w:val="en-US" w:eastAsia="en-US"/>
              </w:rPr>
            </w:pPr>
            <w:r>
              <w:rPr>
                <w:rFonts w:eastAsia="Times New Roman" w:cs="Arial"/>
                <w:color w:val="000000"/>
                <w:sz w:val="16"/>
                <w:szCs w:val="16"/>
                <w:lang w:val="en-US" w:eastAsia="en-US"/>
              </w:rPr>
              <w:t>Wealth quintile the family belongs to among responder families</w:t>
            </w:r>
          </w:p>
        </w:tc>
        <w:tc>
          <w:tcPr>
            <w:tcW w:w="6214"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rPr>
                <w:rFonts w:eastAsia="Times New Roman" w:cs="Arial"/>
                <w:color w:val="000000"/>
                <w:sz w:val="16"/>
                <w:szCs w:val="16"/>
                <w:lang w:val="en-US" w:eastAsia="en-US"/>
              </w:rPr>
            </w:pPr>
            <w:r>
              <w:rPr>
                <w:rFonts w:eastAsia="Times New Roman" w:cs="Arial"/>
                <w:color w:val="000000"/>
                <w:sz w:val="16"/>
                <w:szCs w:val="16"/>
                <w:lang w:val="en-US" w:eastAsia="en-US"/>
              </w:rPr>
              <w:t>[1-5]</w:t>
            </w:r>
          </w:p>
        </w:tc>
      </w:tr>
      <w:tr>
        <w:trPr>
          <w:trHeight w:val="20" w:hRule="atLeast"/>
        </w:trPr>
        <w:tc>
          <w:tcPr>
            <w:tcW w:w="882" w:type="dxa"/>
            <w:tcBorders>
              <w:left w:val="single" w:sz="4" w:space="0" w:color="000000"/>
              <w:bottom w:val="single" w:sz="4" w:space="0" w:color="000000"/>
              <w:right w:val="single" w:sz="4" w:space="0" w:color="000000"/>
              <w:insideH w:val="single" w:sz="4" w:space="0" w:color="000000"/>
              <w:insideV w:val="single" w:sz="4" w:space="0" w:color="000000"/>
            </w:tcBorders>
            <w:shd w:color="000000" w:fill="C4BC96" w:val="clear"/>
            <w:vAlign w:val="center"/>
          </w:tcPr>
          <w:p>
            <w:pPr>
              <w:pStyle w:val="Normal"/>
              <w:spacing w:lineRule="auto" w:line="240" w:before="0" w:after="0"/>
              <w:rPr>
                <w:rFonts w:eastAsia="Times New Roman" w:cs="Arial"/>
                <w:b/>
                <w:b/>
                <w:bCs/>
                <w:color w:val="000000"/>
                <w:sz w:val="16"/>
                <w:szCs w:val="16"/>
                <w:lang w:val="en-US" w:eastAsia="en-US"/>
              </w:rPr>
            </w:pPr>
            <w:r>
              <w:rPr>
                <w:rFonts w:eastAsia="Times New Roman" w:cs="Arial"/>
                <w:b/>
                <w:bCs/>
                <w:color w:val="000000"/>
                <w:sz w:val="16"/>
                <w:szCs w:val="16"/>
                <w:lang w:val="en-US" w:eastAsia="en-US"/>
              </w:rPr>
              <w:t>condgen</w:t>
            </w:r>
          </w:p>
        </w:tc>
        <w:tc>
          <w:tcPr>
            <w:tcW w:w="2532"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rPr>
                <w:rFonts w:eastAsia="Times New Roman" w:cs="Arial"/>
                <w:color w:val="000000"/>
                <w:sz w:val="16"/>
                <w:szCs w:val="16"/>
                <w:lang w:val="en-US" w:eastAsia="en-US"/>
              </w:rPr>
            </w:pPr>
            <w:r>
              <w:rPr>
                <w:rFonts w:eastAsia="Times New Roman" w:cs="Arial"/>
                <w:color w:val="000000"/>
                <w:sz w:val="16"/>
                <w:szCs w:val="16"/>
                <w:lang w:val="en-US" w:eastAsia="en-US"/>
              </w:rPr>
              <w:t>Family head’s perception of own family’s economic stability (same for each family member)</w:t>
            </w:r>
          </w:p>
        </w:tc>
        <w:tc>
          <w:tcPr>
            <w:tcW w:w="6214"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rPr>
                <w:rFonts w:eastAsia="Times New Roman" w:cs="Arial"/>
                <w:color w:val="000000"/>
                <w:sz w:val="16"/>
                <w:szCs w:val="16"/>
                <w:lang w:val="en-US" w:eastAsia="en-US"/>
              </w:rPr>
            </w:pPr>
            <w:r>
              <w:rPr>
                <w:rFonts w:eastAsia="Times New Roman" w:cs="Arial"/>
                <w:color w:val="000000"/>
                <w:sz w:val="16"/>
                <w:szCs w:val="16"/>
                <w:lang w:val="en-US" w:eastAsia="en-US"/>
              </w:rPr>
              <w:t>"Your family income allows your family to reach the end of the month:"</w:t>
            </w:r>
          </w:p>
          <w:p>
            <w:pPr>
              <w:pStyle w:val="Normal"/>
              <w:spacing w:lineRule="auto" w:line="240" w:before="0" w:after="0"/>
              <w:rPr>
                <w:rFonts w:eastAsia="Times New Roman" w:cs="Arial"/>
                <w:color w:val="000000"/>
                <w:sz w:val="16"/>
                <w:szCs w:val="16"/>
                <w:lang w:val="en-US" w:eastAsia="en-US"/>
              </w:rPr>
            </w:pPr>
            <w:r>
              <w:rPr>
                <w:rFonts w:eastAsia="Times New Roman" w:cs="Arial"/>
                <w:color w:val="000000"/>
                <w:sz w:val="16"/>
                <w:szCs w:val="16"/>
                <w:lang w:val="en-US" w:eastAsia="en-US"/>
              </w:rPr>
              <w:t>1 = "with significant difficulties"; 2 = "wiith difficulties"; 3 = "with some difficulties"; 4 = "fairly easily"; 5 = "easily"; 6 = "very easily"</w:t>
            </w:r>
          </w:p>
        </w:tc>
      </w:tr>
    </w:tbl>
    <w:p>
      <w:pPr>
        <w:pStyle w:val="Normal"/>
        <w:rPr>
          <w:sz w:val="16"/>
          <w:szCs w:val="16"/>
          <w:lang w:val="en-US"/>
        </w:rPr>
      </w:pPr>
      <w:r>
        <w:rPr>
          <w:sz w:val="16"/>
          <w:szCs w:val="16"/>
          <w:lang w:val="en-US"/>
        </w:rPr>
      </w:r>
    </w:p>
    <w:p>
      <w:pPr>
        <w:pStyle w:val="Normal"/>
        <w:rPr>
          <w:lang w:val="en-US"/>
        </w:rPr>
      </w:pPr>
      <w:r>
        <w:rPr>
          <w:lang w:val="en-US"/>
        </w:rPr>
        <w:t>These variables were adapted to become model attributes, thus creating the final dataset used to model the variable distributions (sheet “3. Data_clean”, n = 787)</w:t>
      </w:r>
      <w:r>
        <w:rPr>
          <w:rStyle w:val="FootnoteCharacters"/>
          <w:rStyle w:val="FootnoteAnchor"/>
          <w:lang w:val="en-US"/>
        </w:rPr>
        <w:footnoteReference w:id="3"/>
      </w:r>
      <w:r>
        <w:rPr>
          <w:lang w:val="en-US"/>
        </w:rPr>
        <w:t>.</w:t>
      </w:r>
    </w:p>
    <w:tbl>
      <w:tblPr>
        <w:tblStyle w:val="Grigliatabella"/>
        <w:tblW w:w="9628" w:type="dxa"/>
        <w:jc w:val="center"/>
        <w:tblInd w:w="0" w:type="dxa"/>
        <w:tblCellMar>
          <w:top w:w="0" w:type="dxa"/>
          <w:left w:w="28" w:type="dxa"/>
          <w:bottom w:w="0" w:type="dxa"/>
          <w:right w:w="28" w:type="dxa"/>
        </w:tblCellMar>
        <w:tblLook w:val="04a0" w:noVBand="1" w:noHBand="0" w:lastColumn="0" w:firstColumn="1" w:lastRow="0" w:firstRow="1"/>
      </w:tblPr>
      <w:tblGrid>
        <w:gridCol w:w="1128"/>
        <w:gridCol w:w="709"/>
        <w:gridCol w:w="993"/>
        <w:gridCol w:w="1540"/>
        <w:gridCol w:w="603"/>
        <w:gridCol w:w="1077"/>
        <w:gridCol w:w="1175"/>
        <w:gridCol w:w="862"/>
        <w:gridCol w:w="1540"/>
      </w:tblGrid>
      <w:tr>
        <w:trPr>
          <w:trHeight w:val="20" w:hRule="atLeast"/>
        </w:trPr>
        <w:tc>
          <w:tcPr>
            <w:tcW w:w="1128" w:type="dxa"/>
            <w:tcBorders/>
            <w:shd w:color="auto" w:fill="C4BC96" w:themeFill="background2" w:themeFillShade="bf" w:val="clear"/>
            <w:vAlign w:val="center"/>
          </w:tcPr>
          <w:p>
            <w:pPr>
              <w:pStyle w:val="Normal"/>
              <w:spacing w:lineRule="auto" w:line="240" w:before="0" w:after="0"/>
              <w:rPr>
                <w:b/>
                <w:b/>
                <w:sz w:val="16"/>
                <w:szCs w:val="18"/>
                <w:lang w:val="en-US"/>
              </w:rPr>
            </w:pPr>
            <w:r>
              <w:rPr>
                <w:b/>
                <w:sz w:val="16"/>
                <w:szCs w:val="18"/>
                <w:lang w:val="en-US"/>
              </w:rPr>
              <w:t>Name</w:t>
            </w:r>
          </w:p>
        </w:tc>
        <w:tc>
          <w:tcPr>
            <w:tcW w:w="709" w:type="dxa"/>
            <w:tcBorders/>
            <w:shd w:color="auto" w:fill="C4BC96" w:themeFill="background2" w:themeFillShade="bf" w:val="clear"/>
            <w:vAlign w:val="center"/>
          </w:tcPr>
          <w:p>
            <w:pPr>
              <w:pStyle w:val="Normal"/>
              <w:spacing w:lineRule="auto" w:line="240" w:before="0" w:after="0"/>
              <w:rPr>
                <w:b/>
                <w:b/>
                <w:sz w:val="16"/>
                <w:szCs w:val="18"/>
                <w:lang w:val="en-US"/>
              </w:rPr>
            </w:pPr>
            <w:r>
              <w:rPr>
                <w:b/>
                <w:sz w:val="16"/>
                <w:szCs w:val="18"/>
                <w:lang w:val="en-US"/>
              </w:rPr>
              <w:t>nquest+nord</w:t>
            </w:r>
          </w:p>
        </w:tc>
        <w:tc>
          <w:tcPr>
            <w:tcW w:w="993" w:type="dxa"/>
            <w:tcBorders/>
            <w:shd w:color="auto" w:fill="C4BC96" w:themeFill="background2" w:themeFillShade="bf" w:val="clear"/>
            <w:vAlign w:val="center"/>
          </w:tcPr>
          <w:p>
            <w:pPr>
              <w:pStyle w:val="Normal"/>
              <w:spacing w:lineRule="auto" w:line="240" w:before="0" w:after="0"/>
              <w:rPr>
                <w:b/>
                <w:b/>
                <w:sz w:val="16"/>
                <w:szCs w:val="18"/>
                <w:lang w:val="en-US"/>
              </w:rPr>
            </w:pPr>
            <w:r>
              <w:rPr>
                <w:b/>
                <w:sz w:val="16"/>
                <w:szCs w:val="18"/>
                <w:lang w:val="en-US"/>
              </w:rPr>
              <w:t>sex1</w:t>
            </w:r>
          </w:p>
        </w:tc>
        <w:tc>
          <w:tcPr>
            <w:tcW w:w="1540" w:type="dxa"/>
            <w:tcBorders/>
            <w:shd w:color="auto" w:fill="C4BC96" w:themeFill="background2" w:themeFillShade="bf" w:val="clear"/>
            <w:vAlign w:val="center"/>
          </w:tcPr>
          <w:p>
            <w:pPr>
              <w:pStyle w:val="Normal"/>
              <w:spacing w:lineRule="auto" w:line="240" w:before="0" w:after="0"/>
              <w:rPr>
                <w:b/>
                <w:b/>
                <w:sz w:val="16"/>
                <w:szCs w:val="18"/>
                <w:lang w:val="en-US"/>
              </w:rPr>
            </w:pPr>
            <w:r>
              <w:rPr>
                <w:b/>
                <w:sz w:val="16"/>
                <w:szCs w:val="18"/>
                <w:lang w:val="en-US"/>
              </w:rPr>
              <w:t>e</w:t>
            </w:r>
          </w:p>
        </w:tc>
        <w:tc>
          <w:tcPr>
            <w:tcW w:w="603" w:type="dxa"/>
            <w:tcBorders/>
            <w:shd w:color="auto" w:fill="C4BC96" w:themeFill="background2" w:themeFillShade="bf" w:val="clear"/>
            <w:vAlign w:val="center"/>
          </w:tcPr>
          <w:p>
            <w:pPr>
              <w:pStyle w:val="Normal"/>
              <w:spacing w:lineRule="auto" w:line="240" w:before="0" w:after="0"/>
              <w:rPr>
                <w:b/>
                <w:b/>
                <w:sz w:val="16"/>
                <w:szCs w:val="18"/>
                <w:lang w:val="en-US"/>
              </w:rPr>
            </w:pPr>
            <w:r>
              <w:rPr>
                <w:b/>
                <w:sz w:val="16"/>
                <w:szCs w:val="18"/>
                <w:lang w:val="en-US"/>
              </w:rPr>
              <w:t>age</w:t>
            </w:r>
          </w:p>
        </w:tc>
        <w:tc>
          <w:tcPr>
            <w:tcW w:w="1077" w:type="dxa"/>
            <w:tcBorders/>
            <w:shd w:color="auto" w:fill="C4BC96" w:themeFill="background2" w:themeFillShade="bf" w:val="clear"/>
            <w:vAlign w:val="center"/>
          </w:tcPr>
          <w:p>
            <w:pPr>
              <w:pStyle w:val="Normal"/>
              <w:spacing w:lineRule="auto" w:line="240" w:before="0" w:after="0"/>
              <w:rPr>
                <w:b/>
                <w:b/>
                <w:sz w:val="16"/>
                <w:szCs w:val="18"/>
                <w:lang w:val="en-US"/>
              </w:rPr>
            </w:pPr>
            <w:r>
              <w:rPr>
                <w:b/>
                <w:sz w:val="16"/>
                <w:szCs w:val="18"/>
                <w:lang w:val="en-US"/>
              </w:rPr>
              <w:t>ws</w:t>
            </w:r>
          </w:p>
        </w:tc>
        <w:tc>
          <w:tcPr>
            <w:tcW w:w="1175" w:type="dxa"/>
            <w:tcBorders/>
            <w:shd w:color="auto" w:fill="C4BC96" w:themeFill="background2" w:themeFillShade="bf" w:val="clear"/>
            <w:vAlign w:val="center"/>
          </w:tcPr>
          <w:p>
            <w:pPr>
              <w:pStyle w:val="Normal"/>
              <w:spacing w:lineRule="auto" w:line="240" w:before="0" w:after="0"/>
              <w:rPr>
                <w:b/>
                <w:b/>
                <w:sz w:val="16"/>
                <w:szCs w:val="18"/>
                <w:lang w:val="en-US"/>
              </w:rPr>
            </w:pPr>
            <w:r>
              <w:rPr>
                <w:b/>
                <w:sz w:val="16"/>
                <w:szCs w:val="18"/>
                <w:lang w:val="en-US"/>
              </w:rPr>
              <w:t>W/NCOMP</w:t>
            </w:r>
          </w:p>
        </w:tc>
        <w:tc>
          <w:tcPr>
            <w:tcW w:w="862" w:type="dxa"/>
            <w:tcBorders/>
            <w:shd w:color="auto" w:fill="C4BC96" w:themeFill="background2" w:themeFillShade="bf" w:val="clear"/>
            <w:vAlign w:val="center"/>
          </w:tcPr>
          <w:p>
            <w:pPr>
              <w:pStyle w:val="Normal"/>
              <w:spacing w:lineRule="auto" w:line="240" w:before="0" w:after="0"/>
              <w:rPr>
                <w:b/>
                <w:b/>
                <w:sz w:val="16"/>
                <w:szCs w:val="18"/>
                <w:lang w:val="en-US"/>
              </w:rPr>
            </w:pPr>
            <w:r>
              <w:rPr>
                <w:b/>
                <w:sz w:val="16"/>
                <w:szCs w:val="18"/>
                <w:lang w:val="en-US"/>
              </w:rPr>
              <w:t>CLW2</w:t>
            </w:r>
          </w:p>
        </w:tc>
        <w:tc>
          <w:tcPr>
            <w:tcW w:w="1540" w:type="dxa"/>
            <w:tcBorders/>
            <w:shd w:color="auto" w:fill="C4BC96" w:themeFill="background2" w:themeFillShade="bf" w:val="clear"/>
            <w:vAlign w:val="center"/>
          </w:tcPr>
          <w:p>
            <w:pPr>
              <w:pStyle w:val="Normal"/>
              <w:spacing w:lineRule="auto" w:line="240" w:before="0" w:after="0"/>
              <w:rPr>
                <w:b/>
                <w:b/>
                <w:sz w:val="16"/>
                <w:szCs w:val="18"/>
                <w:lang w:val="en-US"/>
              </w:rPr>
            </w:pPr>
            <w:r>
              <w:rPr>
                <w:b/>
                <w:sz w:val="16"/>
                <w:szCs w:val="18"/>
                <w:lang w:val="en-US"/>
              </w:rPr>
              <w:t>c_econ_propensity</w:t>
            </w:r>
          </w:p>
        </w:tc>
      </w:tr>
      <w:tr>
        <w:trPr>
          <w:trHeight w:val="20" w:hRule="atLeast"/>
        </w:trPr>
        <w:tc>
          <w:tcPr>
            <w:tcW w:w="1128" w:type="dxa"/>
            <w:tcBorders/>
            <w:shd w:fill="auto" w:val="clear"/>
            <w:vAlign w:val="center"/>
          </w:tcPr>
          <w:p>
            <w:pPr>
              <w:pStyle w:val="Normal"/>
              <w:spacing w:lineRule="auto" w:line="240" w:before="0" w:after="0"/>
              <w:rPr>
                <w:b/>
                <w:b/>
                <w:sz w:val="16"/>
                <w:szCs w:val="18"/>
                <w:lang w:val="en-US"/>
              </w:rPr>
            </w:pPr>
            <w:r>
              <w:rPr>
                <w:b/>
                <w:sz w:val="16"/>
                <w:szCs w:val="18"/>
                <w:lang w:val="en-US"/>
              </w:rPr>
              <w:t>Description</w:t>
            </w:r>
          </w:p>
        </w:tc>
        <w:tc>
          <w:tcPr>
            <w:tcW w:w="709" w:type="dxa"/>
            <w:tcBorders/>
            <w:shd w:fill="auto" w:val="clear"/>
            <w:vAlign w:val="center"/>
          </w:tcPr>
          <w:p>
            <w:pPr>
              <w:pStyle w:val="Normal"/>
              <w:spacing w:lineRule="auto" w:line="240" w:before="0" w:after="0"/>
              <w:rPr>
                <w:sz w:val="16"/>
                <w:szCs w:val="18"/>
                <w:lang w:val="en-US"/>
              </w:rPr>
            </w:pPr>
            <w:r>
              <w:rPr>
                <w:sz w:val="16"/>
                <w:szCs w:val="18"/>
                <w:lang w:val="en-US"/>
              </w:rPr>
              <w:t>Agent’s ID</w:t>
            </w:r>
          </w:p>
        </w:tc>
        <w:tc>
          <w:tcPr>
            <w:tcW w:w="993" w:type="dxa"/>
            <w:tcBorders/>
            <w:shd w:fill="auto" w:val="clear"/>
            <w:vAlign w:val="center"/>
          </w:tcPr>
          <w:p>
            <w:pPr>
              <w:pStyle w:val="Normal"/>
              <w:spacing w:lineRule="auto" w:line="240" w:before="0" w:after="0"/>
              <w:rPr>
                <w:sz w:val="16"/>
                <w:szCs w:val="18"/>
                <w:lang w:val="en-US"/>
              </w:rPr>
            </w:pPr>
            <w:r>
              <w:rPr>
                <w:sz w:val="16"/>
                <w:szCs w:val="18"/>
                <w:lang w:val="en-US"/>
              </w:rPr>
              <w:t>Agent’s sex</w:t>
            </w:r>
          </w:p>
        </w:tc>
        <w:tc>
          <w:tcPr>
            <w:tcW w:w="1540" w:type="dxa"/>
            <w:tcBorders/>
            <w:shd w:fill="auto" w:val="clear"/>
            <w:vAlign w:val="center"/>
          </w:tcPr>
          <w:p>
            <w:pPr>
              <w:pStyle w:val="Normal"/>
              <w:spacing w:lineRule="auto" w:line="240" w:before="0" w:after="0"/>
              <w:rPr>
                <w:sz w:val="16"/>
                <w:szCs w:val="18"/>
                <w:lang w:val="en-US"/>
              </w:rPr>
            </w:pPr>
            <w:r>
              <w:rPr>
                <w:sz w:val="16"/>
                <w:szCs w:val="18"/>
                <w:lang w:val="en-US"/>
              </w:rPr>
              <w:t>Agent’s education level</w:t>
            </w:r>
          </w:p>
        </w:tc>
        <w:tc>
          <w:tcPr>
            <w:tcW w:w="603" w:type="dxa"/>
            <w:tcBorders/>
            <w:shd w:fill="auto" w:val="clear"/>
            <w:vAlign w:val="center"/>
          </w:tcPr>
          <w:p>
            <w:pPr>
              <w:pStyle w:val="Normal"/>
              <w:spacing w:lineRule="auto" w:line="240" w:before="0" w:after="0"/>
              <w:rPr>
                <w:sz w:val="16"/>
                <w:szCs w:val="18"/>
                <w:lang w:val="en-US"/>
              </w:rPr>
            </w:pPr>
            <w:r>
              <w:rPr>
                <w:sz w:val="16"/>
                <w:szCs w:val="18"/>
                <w:lang w:val="en-US"/>
              </w:rPr>
              <w:t>In years</w:t>
            </w:r>
          </w:p>
        </w:tc>
        <w:tc>
          <w:tcPr>
            <w:tcW w:w="1077" w:type="dxa"/>
            <w:tcBorders/>
            <w:shd w:fill="auto" w:val="clear"/>
            <w:vAlign w:val="center"/>
          </w:tcPr>
          <w:p>
            <w:pPr>
              <w:pStyle w:val="Normal"/>
              <w:spacing w:lineRule="auto" w:line="240" w:before="0" w:after="0"/>
              <w:rPr>
                <w:sz w:val="16"/>
                <w:szCs w:val="18"/>
                <w:lang w:val="en-US"/>
              </w:rPr>
            </w:pPr>
            <w:r>
              <w:rPr>
                <w:sz w:val="16"/>
                <w:szCs w:val="18"/>
                <w:lang w:val="en-US"/>
              </w:rPr>
              <w:t>Agent’s work status</w:t>
            </w:r>
          </w:p>
        </w:tc>
        <w:tc>
          <w:tcPr>
            <w:tcW w:w="1175" w:type="dxa"/>
            <w:tcBorders/>
            <w:shd w:fill="auto" w:val="clear"/>
            <w:vAlign w:val="center"/>
          </w:tcPr>
          <w:p>
            <w:pPr>
              <w:pStyle w:val="Normal"/>
              <w:spacing w:lineRule="auto" w:line="240" w:before="0" w:after="0"/>
              <w:rPr>
                <w:sz w:val="16"/>
                <w:szCs w:val="18"/>
                <w:lang w:val="en-US"/>
              </w:rPr>
            </w:pPr>
            <w:r>
              <w:rPr>
                <w:sz w:val="16"/>
                <w:szCs w:val="18"/>
                <w:lang w:val="en-US"/>
              </w:rPr>
              <w:t>Agent’s individual wealth, i.e. family wealth divided by number of family members</w:t>
            </w:r>
          </w:p>
        </w:tc>
        <w:tc>
          <w:tcPr>
            <w:tcW w:w="862" w:type="dxa"/>
            <w:tcBorders/>
            <w:shd w:fill="auto" w:val="clear"/>
            <w:vAlign w:val="center"/>
          </w:tcPr>
          <w:p>
            <w:pPr>
              <w:pStyle w:val="Normal"/>
              <w:spacing w:lineRule="auto" w:line="240" w:before="0" w:after="0"/>
              <w:rPr>
                <w:sz w:val="16"/>
                <w:szCs w:val="18"/>
                <w:lang w:val="en-US"/>
              </w:rPr>
            </w:pPr>
            <w:r>
              <w:rPr>
                <w:sz w:val="16"/>
                <w:szCs w:val="18"/>
                <w:lang w:val="en-US"/>
              </w:rPr>
              <w:t>quintile the responder’s family belongs to in the survey distribution</w:t>
            </w:r>
          </w:p>
        </w:tc>
        <w:tc>
          <w:tcPr>
            <w:tcW w:w="1540" w:type="dxa"/>
            <w:tcBorders/>
            <w:shd w:fill="auto" w:val="clear"/>
            <w:vAlign w:val="center"/>
          </w:tcPr>
          <w:p>
            <w:pPr>
              <w:pStyle w:val="Normal"/>
              <w:spacing w:lineRule="auto" w:line="240" w:before="0" w:after="0"/>
              <w:rPr>
                <w:sz w:val="16"/>
                <w:szCs w:val="18"/>
                <w:lang w:val="en-US"/>
              </w:rPr>
            </w:pPr>
            <w:r>
              <w:rPr>
                <w:sz w:val="16"/>
                <w:szCs w:val="18"/>
                <w:lang w:val="en-US"/>
              </w:rPr>
              <w:t>Individual’s criminal propensity due to economic factors</w:t>
            </w:r>
          </w:p>
        </w:tc>
      </w:tr>
      <w:tr>
        <w:trPr>
          <w:trHeight w:val="20" w:hRule="atLeast"/>
        </w:trPr>
        <w:tc>
          <w:tcPr>
            <w:tcW w:w="1128" w:type="dxa"/>
            <w:tcBorders/>
            <w:shd w:fill="auto" w:val="clear"/>
            <w:vAlign w:val="center"/>
          </w:tcPr>
          <w:p>
            <w:pPr>
              <w:pStyle w:val="Normal"/>
              <w:spacing w:lineRule="auto" w:line="240" w:before="0" w:after="0"/>
              <w:rPr>
                <w:b/>
                <w:b/>
                <w:sz w:val="16"/>
                <w:szCs w:val="18"/>
                <w:lang w:val="en-US"/>
              </w:rPr>
            </w:pPr>
            <w:r>
              <w:rPr>
                <w:b/>
                <w:sz w:val="16"/>
                <w:szCs w:val="18"/>
                <w:lang w:val="en-US"/>
              </w:rPr>
              <w:t>Transformations</w:t>
            </w:r>
          </w:p>
        </w:tc>
        <w:tc>
          <w:tcPr>
            <w:tcW w:w="709" w:type="dxa"/>
            <w:tcBorders/>
            <w:shd w:fill="auto" w:val="clear"/>
            <w:vAlign w:val="center"/>
          </w:tcPr>
          <w:p>
            <w:pPr>
              <w:pStyle w:val="Normal"/>
              <w:spacing w:lineRule="auto" w:line="240" w:before="0" w:after="0"/>
              <w:rPr>
                <w:sz w:val="16"/>
                <w:szCs w:val="18"/>
                <w:lang w:val="en-US"/>
              </w:rPr>
            </w:pPr>
            <w:r>
              <w:rPr>
                <w:sz w:val="16"/>
                <w:szCs w:val="18"/>
                <w:lang w:val="en-US"/>
              </w:rPr>
              <w:t>nquest + nord</w:t>
            </w:r>
          </w:p>
        </w:tc>
        <w:tc>
          <w:tcPr>
            <w:tcW w:w="993" w:type="dxa"/>
            <w:tcBorders/>
            <w:shd w:fill="auto" w:val="clear"/>
            <w:vAlign w:val="center"/>
          </w:tcPr>
          <w:p>
            <w:pPr>
              <w:pStyle w:val="Normal"/>
              <w:spacing w:lineRule="auto" w:line="240" w:before="0" w:after="0"/>
              <w:rPr>
                <w:sz w:val="16"/>
                <w:szCs w:val="18"/>
                <w:lang w:val="en-US"/>
              </w:rPr>
            </w:pPr>
            <w:r>
              <w:rPr>
                <w:sz w:val="16"/>
                <w:szCs w:val="18"/>
                <w:lang w:val="en-US"/>
              </w:rPr>
              <w:t>M &lt;- sex=1</w:t>
            </w:r>
          </w:p>
          <w:p>
            <w:pPr>
              <w:pStyle w:val="Normal"/>
              <w:spacing w:lineRule="auto" w:line="240" w:before="0" w:after="0"/>
              <w:rPr>
                <w:sz w:val="16"/>
                <w:szCs w:val="18"/>
                <w:lang w:val="en-US"/>
              </w:rPr>
            </w:pPr>
            <w:r>
              <w:rPr>
                <w:sz w:val="16"/>
                <w:szCs w:val="18"/>
                <w:lang w:val="en-US"/>
              </w:rPr>
              <w:t>F &lt;- sex=2</w:t>
            </w:r>
          </w:p>
        </w:tc>
        <w:tc>
          <w:tcPr>
            <w:tcW w:w="1540" w:type="dxa"/>
            <w:tcBorders/>
            <w:shd w:fill="auto" w:val="clear"/>
            <w:vAlign w:val="center"/>
          </w:tcPr>
          <w:p>
            <w:pPr>
              <w:pStyle w:val="Normal"/>
              <w:spacing w:lineRule="auto" w:line="240" w:before="0" w:after="0"/>
              <w:rPr>
                <w:sz w:val="16"/>
                <w:szCs w:val="18"/>
                <w:lang w:val="en-US"/>
              </w:rPr>
            </w:pPr>
            <w:r>
              <w:rPr>
                <w:sz w:val="16"/>
                <w:szCs w:val="18"/>
                <w:lang w:val="en-US"/>
              </w:rPr>
              <w:t>1 &lt;- studio = 1, 2</w:t>
            </w:r>
          </w:p>
          <w:p>
            <w:pPr>
              <w:pStyle w:val="Normal"/>
              <w:spacing w:lineRule="auto" w:line="240" w:before="0" w:after="0"/>
              <w:rPr>
                <w:sz w:val="16"/>
                <w:szCs w:val="18"/>
                <w:lang w:val="en-US"/>
              </w:rPr>
            </w:pPr>
            <w:r>
              <w:rPr>
                <w:sz w:val="16"/>
                <w:szCs w:val="18"/>
                <w:lang w:val="en-US"/>
              </w:rPr>
              <w:t>2 &lt;- studio = 3</w:t>
            </w:r>
          </w:p>
          <w:p>
            <w:pPr>
              <w:pStyle w:val="Normal"/>
              <w:spacing w:lineRule="auto" w:line="240" w:before="0" w:after="0"/>
              <w:rPr>
                <w:sz w:val="16"/>
                <w:szCs w:val="18"/>
                <w:lang w:val="en-US"/>
              </w:rPr>
            </w:pPr>
            <w:r>
              <w:rPr>
                <w:sz w:val="16"/>
                <w:szCs w:val="18"/>
                <w:lang w:val="en-US"/>
              </w:rPr>
              <w:t>3 &lt;- studio = 4, 5</w:t>
            </w:r>
          </w:p>
          <w:p>
            <w:pPr>
              <w:pStyle w:val="Normal"/>
              <w:spacing w:lineRule="auto" w:line="240" w:before="0" w:after="0"/>
              <w:rPr>
                <w:sz w:val="16"/>
                <w:szCs w:val="18"/>
                <w:lang w:val="en-US"/>
              </w:rPr>
            </w:pPr>
            <w:r>
              <w:rPr>
                <w:sz w:val="16"/>
                <w:szCs w:val="18"/>
                <w:lang w:val="en-US"/>
              </w:rPr>
              <w:t>4 &lt;- studio = 6, 7, 8</w:t>
            </w:r>
          </w:p>
        </w:tc>
        <w:tc>
          <w:tcPr>
            <w:tcW w:w="603" w:type="dxa"/>
            <w:tcBorders/>
            <w:shd w:fill="auto" w:val="clear"/>
            <w:vAlign w:val="center"/>
          </w:tcPr>
          <w:p>
            <w:pPr>
              <w:pStyle w:val="Normal"/>
              <w:spacing w:lineRule="auto" w:line="240" w:before="0" w:after="0"/>
              <w:rPr>
                <w:sz w:val="16"/>
                <w:szCs w:val="18"/>
                <w:lang w:val="en-US"/>
              </w:rPr>
            </w:pPr>
            <w:r>
              <w:rPr>
                <w:sz w:val="16"/>
                <w:szCs w:val="18"/>
                <w:lang w:val="en-US"/>
              </w:rPr>
              <w:t>Age = ETA</w:t>
            </w:r>
          </w:p>
        </w:tc>
        <w:tc>
          <w:tcPr>
            <w:tcW w:w="1077" w:type="dxa"/>
            <w:tcBorders/>
            <w:shd w:fill="auto" w:val="clear"/>
            <w:vAlign w:val="center"/>
          </w:tcPr>
          <w:p>
            <w:pPr>
              <w:pStyle w:val="Normal"/>
              <w:spacing w:lineRule="auto" w:line="240" w:before="0" w:after="0"/>
              <w:rPr>
                <w:sz w:val="16"/>
                <w:szCs w:val="18"/>
                <w:lang w:val="en-US"/>
              </w:rPr>
            </w:pPr>
            <w:r>
              <w:rPr>
                <w:sz w:val="16"/>
                <w:szCs w:val="18"/>
                <w:lang w:val="en-US"/>
              </w:rPr>
              <w:t>1 &lt;- QUAL = 7</w:t>
            </w:r>
          </w:p>
          <w:p>
            <w:pPr>
              <w:pStyle w:val="Normal"/>
              <w:spacing w:lineRule="auto" w:line="240" w:before="0" w:after="0"/>
              <w:rPr>
                <w:sz w:val="16"/>
                <w:szCs w:val="18"/>
                <w:lang w:val="en-US"/>
              </w:rPr>
            </w:pPr>
            <w:r>
              <w:rPr>
                <w:sz w:val="16"/>
                <w:szCs w:val="18"/>
                <w:lang w:val="en-US"/>
              </w:rPr>
              <w:t>2 &lt;- QUAL = 1, 5</w:t>
            </w:r>
          </w:p>
          <w:p>
            <w:pPr>
              <w:pStyle w:val="Normal"/>
              <w:spacing w:lineRule="auto" w:line="240" w:before="0" w:after="0"/>
              <w:rPr>
                <w:sz w:val="16"/>
                <w:szCs w:val="18"/>
                <w:lang w:val="en-US"/>
              </w:rPr>
            </w:pPr>
            <w:r>
              <w:rPr>
                <w:sz w:val="16"/>
                <w:szCs w:val="18"/>
                <w:lang w:val="en-US"/>
              </w:rPr>
              <w:t>3 &lt;- QUAL = 2</w:t>
            </w:r>
          </w:p>
          <w:p>
            <w:pPr>
              <w:pStyle w:val="Normal"/>
              <w:spacing w:lineRule="auto" w:line="240" w:before="0" w:after="0"/>
              <w:rPr>
                <w:sz w:val="16"/>
                <w:szCs w:val="18"/>
                <w:lang w:val="en-US"/>
              </w:rPr>
            </w:pPr>
            <w:r>
              <w:rPr>
                <w:sz w:val="16"/>
                <w:szCs w:val="18"/>
                <w:lang w:val="en-US"/>
              </w:rPr>
              <w:t>4 &lt;- QUAL = 3, 4</w:t>
            </w:r>
          </w:p>
        </w:tc>
        <w:tc>
          <w:tcPr>
            <w:tcW w:w="1175" w:type="dxa"/>
            <w:tcBorders/>
            <w:shd w:fill="auto" w:val="clear"/>
            <w:vAlign w:val="center"/>
          </w:tcPr>
          <w:p>
            <w:pPr>
              <w:pStyle w:val="Normal"/>
              <w:spacing w:lineRule="auto" w:line="240" w:before="0" w:after="0"/>
              <w:rPr>
                <w:sz w:val="16"/>
                <w:szCs w:val="18"/>
                <w:lang w:val="en-US"/>
              </w:rPr>
            </w:pPr>
            <w:r>
              <w:rPr>
                <w:sz w:val="16"/>
                <w:szCs w:val="18"/>
                <w:lang w:val="en-US"/>
              </w:rPr>
              <w:t>W/NCOMP</w:t>
            </w:r>
          </w:p>
        </w:tc>
        <w:tc>
          <w:tcPr>
            <w:tcW w:w="862" w:type="dxa"/>
            <w:tcBorders/>
            <w:shd w:fill="auto" w:val="clear"/>
            <w:vAlign w:val="center"/>
          </w:tcPr>
          <w:p>
            <w:pPr>
              <w:pStyle w:val="Normal"/>
              <w:spacing w:lineRule="auto" w:line="240" w:before="0" w:after="0"/>
              <w:rPr>
                <w:sz w:val="16"/>
                <w:szCs w:val="18"/>
                <w:lang w:val="en-US"/>
              </w:rPr>
            </w:pPr>
            <w:r>
              <w:rPr>
                <w:sz w:val="16"/>
                <w:szCs w:val="18"/>
                <w:lang w:val="en-US"/>
              </w:rPr>
            </w:r>
          </w:p>
        </w:tc>
        <w:tc>
          <w:tcPr>
            <w:tcW w:w="1540" w:type="dxa"/>
            <w:tcBorders/>
            <w:shd w:fill="auto" w:val="clear"/>
            <w:vAlign w:val="center"/>
          </w:tcPr>
          <w:p>
            <w:pPr>
              <w:pStyle w:val="Normal"/>
              <w:spacing w:lineRule="auto" w:line="240" w:before="0" w:after="0"/>
              <w:rPr>
                <w:sz w:val="16"/>
                <w:szCs w:val="18"/>
                <w:lang w:val="en-US"/>
              </w:rPr>
            </w:pPr>
            <w:r>
              <w:rPr>
                <w:sz w:val="16"/>
                <w:szCs w:val="18"/>
                <w:lang w:val="en-US"/>
              </w:rPr>
              <w:t>1 &lt;- condgen = 1</w:t>
            </w:r>
          </w:p>
          <w:p>
            <w:pPr>
              <w:pStyle w:val="Normal"/>
              <w:spacing w:lineRule="auto" w:line="240" w:before="0" w:after="0"/>
              <w:rPr>
                <w:sz w:val="16"/>
                <w:szCs w:val="18"/>
                <w:lang w:val="en-US"/>
              </w:rPr>
            </w:pPr>
            <w:r>
              <w:rPr>
                <w:sz w:val="16"/>
                <w:szCs w:val="18"/>
                <w:lang w:val="en-US"/>
              </w:rPr>
              <w:t>2 &lt;- condgen = 2</w:t>
            </w:r>
          </w:p>
          <w:p>
            <w:pPr>
              <w:pStyle w:val="Normal"/>
              <w:spacing w:lineRule="auto" w:line="240" w:before="0" w:after="0"/>
              <w:rPr>
                <w:sz w:val="16"/>
                <w:szCs w:val="18"/>
                <w:lang w:val="en-US"/>
              </w:rPr>
            </w:pPr>
            <w:r>
              <w:rPr>
                <w:sz w:val="16"/>
                <w:szCs w:val="18"/>
                <w:lang w:val="en-US"/>
              </w:rPr>
              <w:t>3 &lt;- condgen = 3</w:t>
            </w:r>
          </w:p>
          <w:p>
            <w:pPr>
              <w:pStyle w:val="Normal"/>
              <w:spacing w:lineRule="auto" w:line="240" w:before="0" w:after="0"/>
              <w:rPr>
                <w:sz w:val="16"/>
                <w:szCs w:val="18"/>
                <w:lang w:val="en-US"/>
              </w:rPr>
            </w:pPr>
            <w:r>
              <w:rPr>
                <w:sz w:val="16"/>
                <w:szCs w:val="18"/>
                <w:lang w:val="en-US"/>
              </w:rPr>
              <w:t>4 &lt;- condgen = 4, 5, 6</w:t>
            </w:r>
          </w:p>
        </w:tc>
      </w:tr>
      <w:tr>
        <w:trPr>
          <w:trHeight w:val="20" w:hRule="atLeast"/>
        </w:trPr>
        <w:tc>
          <w:tcPr>
            <w:tcW w:w="1128" w:type="dxa"/>
            <w:tcBorders/>
            <w:shd w:fill="auto" w:val="clear"/>
            <w:vAlign w:val="center"/>
          </w:tcPr>
          <w:p>
            <w:pPr>
              <w:pStyle w:val="Normal"/>
              <w:spacing w:lineRule="auto" w:line="240" w:before="0" w:after="0"/>
              <w:rPr>
                <w:b/>
                <w:b/>
                <w:sz w:val="16"/>
                <w:szCs w:val="18"/>
                <w:lang w:val="en-US"/>
              </w:rPr>
            </w:pPr>
            <w:r>
              <w:rPr>
                <w:b/>
                <w:sz w:val="16"/>
                <w:szCs w:val="18"/>
                <w:lang w:val="en-US"/>
              </w:rPr>
              <w:t>Modalities</w:t>
            </w:r>
          </w:p>
        </w:tc>
        <w:tc>
          <w:tcPr>
            <w:tcW w:w="709" w:type="dxa"/>
            <w:tcBorders/>
            <w:shd w:fill="auto" w:val="clear"/>
            <w:vAlign w:val="center"/>
          </w:tcPr>
          <w:p>
            <w:pPr>
              <w:pStyle w:val="Normal"/>
              <w:spacing w:lineRule="auto" w:line="240" w:before="0" w:after="0"/>
              <w:rPr>
                <w:sz w:val="16"/>
                <w:szCs w:val="18"/>
                <w:lang w:val="en-US"/>
              </w:rPr>
            </w:pPr>
            <w:r>
              <w:rPr>
                <w:sz w:val="16"/>
                <w:szCs w:val="18"/>
                <w:lang w:val="en-US"/>
              </w:rPr>
              <w:t>[seven-digit code]</w:t>
            </w:r>
          </w:p>
        </w:tc>
        <w:tc>
          <w:tcPr>
            <w:tcW w:w="993" w:type="dxa"/>
            <w:tcBorders/>
            <w:shd w:fill="auto" w:val="clear"/>
            <w:vAlign w:val="center"/>
          </w:tcPr>
          <w:p>
            <w:pPr>
              <w:pStyle w:val="Normal"/>
              <w:spacing w:lineRule="auto" w:line="240" w:before="0" w:after="0"/>
              <w:rPr>
                <w:sz w:val="16"/>
                <w:szCs w:val="18"/>
                <w:lang w:val="en-US"/>
              </w:rPr>
            </w:pPr>
            <w:r>
              <w:rPr>
                <w:sz w:val="16"/>
                <w:szCs w:val="18"/>
                <w:lang w:val="en-US"/>
              </w:rPr>
              <w:t>M = man</w:t>
            </w:r>
          </w:p>
          <w:p>
            <w:pPr>
              <w:pStyle w:val="Normal"/>
              <w:spacing w:lineRule="auto" w:line="240" w:before="0" w:after="0"/>
              <w:rPr>
                <w:sz w:val="16"/>
                <w:szCs w:val="18"/>
                <w:lang w:val="en-US"/>
              </w:rPr>
            </w:pPr>
            <w:r>
              <w:rPr>
                <w:sz w:val="16"/>
                <w:szCs w:val="18"/>
                <w:lang w:val="en-US"/>
              </w:rPr>
              <w:t>F = woman</w:t>
            </w:r>
          </w:p>
        </w:tc>
        <w:tc>
          <w:tcPr>
            <w:tcW w:w="1540" w:type="dxa"/>
            <w:tcBorders/>
            <w:shd w:fill="auto" w:val="clear"/>
            <w:vAlign w:val="center"/>
          </w:tcPr>
          <w:p>
            <w:pPr>
              <w:pStyle w:val="Normal"/>
              <w:spacing w:lineRule="auto" w:line="240" w:before="0" w:after="0"/>
              <w:rPr>
                <w:sz w:val="16"/>
                <w:szCs w:val="18"/>
                <w:lang w:val="en-US"/>
              </w:rPr>
            </w:pPr>
            <w:r>
              <w:rPr>
                <w:sz w:val="16"/>
                <w:szCs w:val="18"/>
                <w:lang w:val="en-US"/>
              </w:rPr>
              <w:t>1 = primary education</w:t>
            </w:r>
          </w:p>
          <w:p>
            <w:pPr>
              <w:pStyle w:val="Normal"/>
              <w:spacing w:lineRule="auto" w:line="240" w:before="0" w:after="0"/>
              <w:rPr>
                <w:sz w:val="16"/>
                <w:szCs w:val="18"/>
                <w:lang w:val="en-US"/>
              </w:rPr>
            </w:pPr>
            <w:r>
              <w:rPr>
                <w:sz w:val="16"/>
                <w:szCs w:val="18"/>
                <w:lang w:val="en-US"/>
              </w:rPr>
              <w:t>2 = lower secondary education</w:t>
            </w:r>
          </w:p>
          <w:p>
            <w:pPr>
              <w:pStyle w:val="Normal"/>
              <w:spacing w:lineRule="auto" w:line="240" w:before="0" w:after="0"/>
              <w:rPr>
                <w:sz w:val="16"/>
                <w:szCs w:val="18"/>
                <w:lang w:val="en-US"/>
              </w:rPr>
            </w:pPr>
            <w:r>
              <w:rPr>
                <w:sz w:val="16"/>
                <w:szCs w:val="18"/>
                <w:lang w:val="en-US"/>
              </w:rPr>
              <w:t>3 = higher secondary education (incl. 3-year professional diploma</w:t>
            </w:r>
          </w:p>
          <w:p>
            <w:pPr>
              <w:pStyle w:val="Normal"/>
              <w:spacing w:lineRule="auto" w:line="240" w:before="0" w:after="0"/>
              <w:rPr>
                <w:sz w:val="16"/>
                <w:szCs w:val="18"/>
                <w:lang w:val="en-US"/>
              </w:rPr>
            </w:pPr>
            <w:r>
              <w:rPr>
                <w:sz w:val="16"/>
                <w:szCs w:val="18"/>
                <w:lang w:val="en-US"/>
              </w:rPr>
              <w:t>4 = tertiary education</w:t>
            </w:r>
          </w:p>
        </w:tc>
        <w:tc>
          <w:tcPr>
            <w:tcW w:w="603" w:type="dxa"/>
            <w:tcBorders/>
            <w:shd w:fill="auto" w:val="clear"/>
            <w:vAlign w:val="center"/>
          </w:tcPr>
          <w:p>
            <w:pPr>
              <w:pStyle w:val="Normal"/>
              <w:spacing w:lineRule="auto" w:line="240" w:before="0" w:after="0"/>
              <w:rPr>
                <w:sz w:val="16"/>
                <w:szCs w:val="18"/>
                <w:lang w:val="en-US"/>
              </w:rPr>
            </w:pPr>
            <w:r>
              <w:rPr>
                <w:sz w:val="16"/>
                <w:szCs w:val="18"/>
                <w:lang w:val="en-US"/>
              </w:rPr>
              <w:t>16 - 65</w:t>
            </w:r>
          </w:p>
        </w:tc>
        <w:tc>
          <w:tcPr>
            <w:tcW w:w="1077" w:type="dxa"/>
            <w:tcBorders/>
            <w:shd w:fill="auto" w:val="clear"/>
            <w:vAlign w:val="center"/>
          </w:tcPr>
          <w:p>
            <w:pPr>
              <w:pStyle w:val="Normal"/>
              <w:spacing w:lineRule="auto" w:line="240" w:before="0" w:after="0"/>
              <w:rPr>
                <w:sz w:val="16"/>
                <w:szCs w:val="18"/>
                <w:lang w:val="en-US"/>
              </w:rPr>
            </w:pPr>
            <w:r>
              <w:rPr>
                <w:sz w:val="16"/>
                <w:szCs w:val="18"/>
                <w:lang w:val="en-US"/>
              </w:rPr>
              <w:t>1 = unemployed</w:t>
            </w:r>
          </w:p>
          <w:p>
            <w:pPr>
              <w:pStyle w:val="Normal"/>
              <w:spacing w:lineRule="auto" w:line="240" w:before="0" w:after="0"/>
              <w:rPr>
                <w:sz w:val="16"/>
                <w:szCs w:val="18"/>
                <w:lang w:val="en-US"/>
              </w:rPr>
            </w:pPr>
            <w:r>
              <w:rPr>
                <w:sz w:val="16"/>
                <w:szCs w:val="18"/>
                <w:lang w:val="en-US"/>
              </w:rPr>
              <w:t>2 = blue-collar worker</w:t>
            </w:r>
          </w:p>
          <w:p>
            <w:pPr>
              <w:pStyle w:val="Normal"/>
              <w:spacing w:lineRule="auto" w:line="240" w:before="0" w:after="0"/>
              <w:rPr>
                <w:sz w:val="16"/>
                <w:szCs w:val="18"/>
                <w:lang w:val="en-US"/>
              </w:rPr>
            </w:pPr>
            <w:r>
              <w:rPr>
                <w:sz w:val="16"/>
                <w:szCs w:val="18"/>
                <w:lang w:val="en-US"/>
              </w:rPr>
              <w:t>3 = white-collar worker</w:t>
            </w:r>
          </w:p>
          <w:p>
            <w:pPr>
              <w:pStyle w:val="Normal"/>
              <w:spacing w:lineRule="auto" w:line="240" w:before="0" w:after="0"/>
              <w:rPr>
                <w:sz w:val="16"/>
                <w:szCs w:val="18"/>
                <w:lang w:val="en-US"/>
              </w:rPr>
            </w:pPr>
            <w:r>
              <w:rPr>
                <w:sz w:val="16"/>
                <w:szCs w:val="18"/>
                <w:lang w:val="en-US"/>
              </w:rPr>
              <w:t>4 = manager</w:t>
            </w:r>
          </w:p>
        </w:tc>
        <w:tc>
          <w:tcPr>
            <w:tcW w:w="1175" w:type="dxa"/>
            <w:tcBorders/>
            <w:shd w:fill="auto" w:val="clear"/>
            <w:vAlign w:val="center"/>
          </w:tcPr>
          <w:p>
            <w:pPr>
              <w:pStyle w:val="Normal"/>
              <w:spacing w:lineRule="auto" w:line="240" w:before="0" w:after="0"/>
              <w:rPr>
                <w:sz w:val="16"/>
                <w:szCs w:val="18"/>
                <w:lang w:val="en-US"/>
              </w:rPr>
            </w:pPr>
            <w:r>
              <w:rPr>
                <w:sz w:val="16"/>
                <w:szCs w:val="18"/>
                <w:lang w:val="en-US"/>
              </w:rPr>
              <w:t>[euros]</w:t>
            </w:r>
          </w:p>
        </w:tc>
        <w:tc>
          <w:tcPr>
            <w:tcW w:w="862" w:type="dxa"/>
            <w:tcBorders/>
            <w:shd w:fill="auto" w:val="clear"/>
            <w:vAlign w:val="center"/>
          </w:tcPr>
          <w:p>
            <w:pPr>
              <w:pStyle w:val="Normal"/>
              <w:spacing w:lineRule="auto" w:line="240" w:before="0" w:after="0"/>
              <w:rPr>
                <w:sz w:val="16"/>
                <w:szCs w:val="18"/>
                <w:lang w:val="en-US"/>
              </w:rPr>
            </w:pPr>
            <w:r>
              <w:rPr>
                <w:sz w:val="16"/>
                <w:szCs w:val="18"/>
                <w:lang w:val="en-US"/>
              </w:rPr>
              <w:t>1 - 5</w:t>
            </w:r>
          </w:p>
        </w:tc>
        <w:tc>
          <w:tcPr>
            <w:tcW w:w="1540" w:type="dxa"/>
            <w:tcBorders/>
            <w:shd w:fill="auto" w:val="clear"/>
            <w:vAlign w:val="center"/>
          </w:tcPr>
          <w:p>
            <w:pPr>
              <w:pStyle w:val="Normal"/>
              <w:spacing w:lineRule="auto" w:line="240" w:before="0" w:after="0"/>
              <w:rPr>
                <w:sz w:val="16"/>
                <w:szCs w:val="18"/>
                <w:lang w:val="en-US"/>
              </w:rPr>
            </w:pPr>
            <w:r>
              <w:rPr>
                <w:sz w:val="16"/>
                <w:szCs w:val="18"/>
                <w:lang w:val="en-US"/>
              </w:rPr>
              <w:t>"Your family income allows your family to reach the end of the month:"</w:t>
            </w:r>
          </w:p>
          <w:p>
            <w:pPr>
              <w:pStyle w:val="Normal"/>
              <w:spacing w:lineRule="auto" w:line="240" w:before="0" w:after="0"/>
              <w:rPr>
                <w:sz w:val="16"/>
                <w:szCs w:val="18"/>
                <w:lang w:val="en-US"/>
              </w:rPr>
            </w:pPr>
            <w:r>
              <w:rPr>
                <w:sz w:val="16"/>
                <w:szCs w:val="18"/>
                <w:lang w:val="en-US"/>
              </w:rPr>
              <w:t>1 = "with significant difficulties"</w:t>
            </w:r>
          </w:p>
          <w:p>
            <w:pPr>
              <w:pStyle w:val="Normal"/>
              <w:spacing w:lineRule="auto" w:line="240" w:before="0" w:after="0"/>
              <w:rPr>
                <w:sz w:val="16"/>
                <w:szCs w:val="18"/>
                <w:lang w:val="en-US"/>
              </w:rPr>
            </w:pPr>
            <w:r>
              <w:rPr>
                <w:sz w:val="16"/>
                <w:szCs w:val="18"/>
                <w:lang w:val="en-US"/>
              </w:rPr>
              <w:t>2 = "wiith difficulties"</w:t>
            </w:r>
          </w:p>
          <w:p>
            <w:pPr>
              <w:pStyle w:val="Normal"/>
              <w:spacing w:lineRule="auto" w:line="240" w:before="0" w:after="0"/>
              <w:rPr>
                <w:sz w:val="16"/>
                <w:szCs w:val="18"/>
                <w:lang w:val="en-US"/>
              </w:rPr>
            </w:pPr>
            <w:r>
              <w:rPr>
                <w:sz w:val="16"/>
                <w:szCs w:val="18"/>
                <w:lang w:val="en-US"/>
              </w:rPr>
              <w:t>3 = "with some difficulties"</w:t>
            </w:r>
          </w:p>
          <w:p>
            <w:pPr>
              <w:pStyle w:val="Normal"/>
              <w:spacing w:lineRule="auto" w:line="240" w:before="0" w:after="0"/>
              <w:rPr>
                <w:sz w:val="16"/>
                <w:szCs w:val="18"/>
                <w:lang w:val="en-US"/>
              </w:rPr>
            </w:pPr>
            <w:r>
              <w:rPr>
                <w:sz w:val="16"/>
                <w:szCs w:val="18"/>
                <w:lang w:val="en-US"/>
              </w:rPr>
              <w:t>4 = "fairly easily", "easily" or "very easily"</w:t>
            </w:r>
          </w:p>
        </w:tc>
      </w:tr>
    </w:tbl>
    <w:p>
      <w:pPr>
        <w:pStyle w:val="Normal"/>
        <w:rPr>
          <w:lang w:val="en-US"/>
        </w:rPr>
      </w:pPr>
      <w:r>
        <w:rPr>
          <w:lang w:val="en-US"/>
        </w:rPr>
      </w:r>
    </w:p>
    <w:p>
      <w:pPr>
        <w:pStyle w:val="Heading1"/>
        <w:rPr/>
      </w:pPr>
      <w:r>
        <w:rPr/>
        <w:t>3. SES-related probabilities</w:t>
      </w:r>
    </w:p>
    <w:p>
      <w:pPr>
        <w:pStyle w:val="Normal"/>
        <w:rPr>
          <w:lang w:val="en-US"/>
        </w:rPr>
      </w:pPr>
      <w:r>
        <w:rPr>
          <w:lang w:val="en-US"/>
        </w:rPr>
        <w:t>The values of the relevant variables will be distributed according to the observed probabilities in the BoI dataset. We created the distribution matrix sheet (“4. Distribution_matrices). The structure is the following:</w:t>
      </w:r>
    </w:p>
    <w:tbl>
      <w:tblPr>
        <w:tblStyle w:val="Grigliatabella"/>
        <w:tblpPr w:bottomFromText="0" w:horzAnchor="margin" w:leftFromText="141" w:rightFromText="141" w:tblpX="0" w:tblpXSpec="center" w:tblpY="57" w:topFromText="0" w:vertAnchor="text"/>
        <w:tblW w:w="5000" w:type="pct"/>
        <w:jc w:val="center"/>
        <w:tblInd w:w="0" w:type="dxa"/>
        <w:tblCellMar>
          <w:top w:w="0" w:type="dxa"/>
          <w:left w:w="103" w:type="dxa"/>
          <w:bottom w:w="0" w:type="dxa"/>
          <w:right w:w="108" w:type="dxa"/>
        </w:tblCellMar>
        <w:tblLook w:val="04a0" w:noVBand="1" w:noHBand="0" w:lastColumn="0" w:firstColumn="1" w:lastRow="0" w:firstRow="1"/>
      </w:tblPr>
      <w:tblGrid>
        <w:gridCol w:w="1562"/>
        <w:gridCol w:w="1131"/>
        <w:gridCol w:w="1276"/>
        <w:gridCol w:w="569"/>
        <w:gridCol w:w="1278"/>
        <w:gridCol w:w="281"/>
        <w:gridCol w:w="569"/>
        <w:gridCol w:w="567"/>
        <w:gridCol w:w="568"/>
        <w:gridCol w:w="567"/>
        <w:gridCol w:w="567"/>
        <w:gridCol w:w="702"/>
      </w:tblGrid>
      <w:tr>
        <w:trPr>
          <w:trHeight w:val="370" w:hRule="atLeast"/>
        </w:trPr>
        <w:tc>
          <w:tcPr>
            <w:tcW w:w="1562" w:type="dxa"/>
            <w:tcBorders/>
            <w:shd w:fill="auto" w:val="clear"/>
          </w:tcPr>
          <w:p>
            <w:pPr>
              <w:pStyle w:val="Normal"/>
              <w:spacing w:lineRule="auto" w:line="240" w:before="0" w:after="0"/>
              <w:jc w:val="center"/>
              <w:rPr>
                <w:bCs/>
                <w:sz w:val="18"/>
              </w:rPr>
            </w:pPr>
            <w:r>
              <w:rPr>
                <w:bCs/>
                <w:sz w:val="18"/>
              </w:rPr>
              <w:t>A</w:t>
            </w:r>
          </w:p>
        </w:tc>
        <w:tc>
          <w:tcPr>
            <w:tcW w:w="1131" w:type="dxa"/>
            <w:tcBorders/>
            <w:shd w:fill="auto" w:val="clear"/>
          </w:tcPr>
          <w:p>
            <w:pPr>
              <w:pStyle w:val="Normal"/>
              <w:spacing w:lineRule="auto" w:line="240" w:before="0" w:after="0"/>
              <w:jc w:val="center"/>
              <w:rPr>
                <w:bCs/>
                <w:sz w:val="18"/>
              </w:rPr>
            </w:pPr>
            <w:r>
              <w:rPr>
                <w:bCs/>
                <w:sz w:val="18"/>
              </w:rPr>
              <w:t>B</w:t>
            </w:r>
          </w:p>
        </w:tc>
        <w:tc>
          <w:tcPr>
            <w:tcW w:w="1276" w:type="dxa"/>
            <w:tcBorders/>
            <w:shd w:fill="auto" w:val="clear"/>
          </w:tcPr>
          <w:p>
            <w:pPr>
              <w:pStyle w:val="Normal"/>
              <w:spacing w:lineRule="auto" w:line="240" w:before="0" w:after="0"/>
              <w:jc w:val="center"/>
              <w:rPr>
                <w:bCs/>
                <w:sz w:val="18"/>
              </w:rPr>
            </w:pPr>
            <w:r>
              <w:rPr>
                <w:bCs/>
                <w:sz w:val="18"/>
              </w:rPr>
              <w:t>C</w:t>
            </w:r>
          </w:p>
        </w:tc>
        <w:tc>
          <w:tcPr>
            <w:tcW w:w="569" w:type="dxa"/>
            <w:tcBorders/>
            <w:shd w:fill="auto" w:val="clear"/>
          </w:tcPr>
          <w:p>
            <w:pPr>
              <w:pStyle w:val="Normal"/>
              <w:spacing w:lineRule="auto" w:line="240" w:before="0" w:after="0"/>
              <w:jc w:val="center"/>
              <w:rPr>
                <w:bCs/>
                <w:sz w:val="18"/>
              </w:rPr>
            </w:pPr>
            <w:r>
              <w:rPr>
                <w:bCs/>
                <w:sz w:val="18"/>
              </w:rPr>
              <w:t>D</w:t>
            </w:r>
          </w:p>
        </w:tc>
        <w:tc>
          <w:tcPr>
            <w:tcW w:w="1278" w:type="dxa"/>
            <w:tcBorders/>
            <w:shd w:fill="auto" w:val="clear"/>
          </w:tcPr>
          <w:p>
            <w:pPr>
              <w:pStyle w:val="Normal"/>
              <w:spacing w:lineRule="auto" w:line="240" w:before="0" w:after="0"/>
              <w:jc w:val="center"/>
              <w:rPr>
                <w:bCs/>
                <w:sz w:val="18"/>
              </w:rPr>
            </w:pPr>
            <w:r>
              <w:rPr>
                <w:bCs/>
                <w:sz w:val="18"/>
              </w:rPr>
              <w:t>E</w:t>
            </w:r>
          </w:p>
        </w:tc>
        <w:tc>
          <w:tcPr>
            <w:tcW w:w="281" w:type="dxa"/>
            <w:tcBorders/>
            <w:shd w:fill="auto" w:val="clear"/>
          </w:tcPr>
          <w:p>
            <w:pPr>
              <w:pStyle w:val="Normal"/>
              <w:spacing w:lineRule="auto" w:line="240" w:before="0" w:after="0"/>
              <w:jc w:val="center"/>
              <w:rPr>
                <w:bCs/>
                <w:sz w:val="18"/>
              </w:rPr>
            </w:pPr>
            <w:r>
              <w:rPr>
                <w:bCs/>
                <w:sz w:val="18"/>
              </w:rPr>
              <w:t>F</w:t>
            </w:r>
          </w:p>
        </w:tc>
        <w:tc>
          <w:tcPr>
            <w:tcW w:w="569" w:type="dxa"/>
            <w:tcBorders/>
            <w:shd w:fill="auto" w:val="clear"/>
          </w:tcPr>
          <w:p>
            <w:pPr>
              <w:pStyle w:val="Normal"/>
              <w:spacing w:lineRule="auto" w:line="240" w:before="0" w:after="0"/>
              <w:jc w:val="center"/>
              <w:rPr>
                <w:bCs/>
                <w:sz w:val="18"/>
              </w:rPr>
            </w:pPr>
            <w:r>
              <w:rPr>
                <w:bCs/>
                <w:sz w:val="18"/>
              </w:rPr>
              <w:t>G</w:t>
            </w:r>
          </w:p>
        </w:tc>
        <w:tc>
          <w:tcPr>
            <w:tcW w:w="567" w:type="dxa"/>
            <w:tcBorders/>
            <w:shd w:fill="auto" w:val="clear"/>
          </w:tcPr>
          <w:p>
            <w:pPr>
              <w:pStyle w:val="Normal"/>
              <w:spacing w:lineRule="auto" w:line="240" w:before="0" w:after="0"/>
              <w:jc w:val="center"/>
              <w:rPr>
                <w:bCs/>
                <w:sz w:val="18"/>
              </w:rPr>
            </w:pPr>
            <w:r>
              <w:rPr>
                <w:bCs/>
                <w:sz w:val="18"/>
              </w:rPr>
              <w:t>H</w:t>
            </w:r>
          </w:p>
        </w:tc>
        <w:tc>
          <w:tcPr>
            <w:tcW w:w="568" w:type="dxa"/>
            <w:tcBorders/>
            <w:shd w:fill="auto" w:val="clear"/>
          </w:tcPr>
          <w:p>
            <w:pPr>
              <w:pStyle w:val="Normal"/>
              <w:spacing w:lineRule="auto" w:line="240" w:before="0" w:after="0"/>
              <w:jc w:val="center"/>
              <w:rPr>
                <w:bCs/>
                <w:sz w:val="18"/>
              </w:rPr>
            </w:pPr>
            <w:r>
              <w:rPr>
                <w:bCs/>
                <w:sz w:val="18"/>
              </w:rPr>
              <w:t>I</w:t>
            </w:r>
          </w:p>
        </w:tc>
        <w:tc>
          <w:tcPr>
            <w:tcW w:w="567" w:type="dxa"/>
            <w:tcBorders/>
            <w:shd w:fill="auto" w:val="clear"/>
          </w:tcPr>
          <w:p>
            <w:pPr>
              <w:pStyle w:val="Normal"/>
              <w:spacing w:lineRule="auto" w:line="240" w:before="0" w:after="0"/>
              <w:jc w:val="center"/>
              <w:rPr>
                <w:bCs/>
                <w:sz w:val="18"/>
              </w:rPr>
            </w:pPr>
            <w:r>
              <w:rPr>
                <w:bCs/>
                <w:sz w:val="18"/>
              </w:rPr>
              <w:t>J</w:t>
            </w:r>
          </w:p>
        </w:tc>
        <w:tc>
          <w:tcPr>
            <w:tcW w:w="567" w:type="dxa"/>
            <w:tcBorders/>
            <w:shd w:fill="auto" w:val="clear"/>
          </w:tcPr>
          <w:p>
            <w:pPr>
              <w:pStyle w:val="Normal"/>
              <w:spacing w:lineRule="auto" w:line="240" w:before="0" w:after="0"/>
              <w:jc w:val="center"/>
              <w:rPr>
                <w:bCs/>
                <w:sz w:val="18"/>
              </w:rPr>
            </w:pPr>
            <w:r>
              <w:rPr>
                <w:bCs/>
                <w:sz w:val="18"/>
              </w:rPr>
              <w:t>K</w:t>
            </w:r>
          </w:p>
        </w:tc>
        <w:tc>
          <w:tcPr>
            <w:tcW w:w="702" w:type="dxa"/>
            <w:tcBorders/>
            <w:shd w:fill="auto" w:val="clear"/>
          </w:tcPr>
          <w:p>
            <w:pPr>
              <w:pStyle w:val="Normal"/>
              <w:spacing w:lineRule="auto" w:line="240" w:before="0" w:after="0"/>
              <w:jc w:val="center"/>
              <w:rPr>
                <w:bCs/>
                <w:sz w:val="18"/>
              </w:rPr>
            </w:pPr>
            <w:r>
              <w:rPr>
                <w:bCs/>
                <w:sz w:val="18"/>
              </w:rPr>
              <w:t>L</w:t>
            </w:r>
          </w:p>
        </w:tc>
      </w:tr>
      <w:tr>
        <w:trPr>
          <w:trHeight w:val="370" w:hRule="atLeast"/>
        </w:trPr>
        <w:tc>
          <w:tcPr>
            <w:tcW w:w="1562" w:type="dxa"/>
            <w:tcBorders/>
            <w:shd w:fill="auto" w:val="clear"/>
          </w:tcPr>
          <w:p>
            <w:pPr>
              <w:pStyle w:val="Normal"/>
              <w:spacing w:lineRule="auto" w:line="240" w:before="0" w:after="0"/>
              <w:rPr>
                <w:bCs/>
                <w:sz w:val="18"/>
              </w:rPr>
            </w:pPr>
            <w:r>
              <w:rPr>
                <w:bCs/>
                <w:sz w:val="18"/>
              </w:rPr>
              <w:t>Distribution (compact name)</w:t>
            </w:r>
          </w:p>
        </w:tc>
        <w:tc>
          <w:tcPr>
            <w:tcW w:w="1131" w:type="dxa"/>
            <w:tcBorders/>
            <w:shd w:fill="auto" w:val="clear"/>
          </w:tcPr>
          <w:p>
            <w:pPr>
              <w:pStyle w:val="Normal"/>
              <w:spacing w:lineRule="auto" w:line="240" w:before="0" w:after="0"/>
              <w:rPr>
                <w:bCs/>
                <w:sz w:val="18"/>
              </w:rPr>
            </w:pPr>
            <w:r>
              <w:rPr>
                <w:bCs/>
                <w:sz w:val="18"/>
              </w:rPr>
              <w:t>Distribution (function)</w:t>
            </w:r>
          </w:p>
        </w:tc>
        <w:tc>
          <w:tcPr>
            <w:tcW w:w="1276" w:type="dxa"/>
            <w:tcBorders/>
            <w:shd w:fill="auto" w:val="clear"/>
          </w:tcPr>
          <w:p>
            <w:pPr>
              <w:pStyle w:val="Normal"/>
              <w:spacing w:lineRule="auto" w:line="240" w:before="0" w:after="0"/>
              <w:rPr>
                <w:bCs/>
                <w:sz w:val="18"/>
              </w:rPr>
            </w:pPr>
            <w:r>
              <w:rPr>
                <w:bCs/>
                <w:sz w:val="18"/>
              </w:rPr>
              <w:t>age bracket</w:t>
            </w:r>
          </w:p>
        </w:tc>
        <w:tc>
          <w:tcPr>
            <w:tcW w:w="569" w:type="dxa"/>
            <w:tcBorders/>
            <w:shd w:fill="auto" w:val="clear"/>
          </w:tcPr>
          <w:p>
            <w:pPr>
              <w:pStyle w:val="Normal"/>
              <w:spacing w:lineRule="auto" w:line="240" w:before="0" w:after="0"/>
              <w:rPr>
                <w:bCs/>
                <w:sz w:val="18"/>
              </w:rPr>
            </w:pPr>
            <w:r>
              <w:rPr>
                <w:bCs/>
                <w:sz w:val="18"/>
              </w:rPr>
              <w:t>sex</w:t>
            </w:r>
          </w:p>
        </w:tc>
        <w:tc>
          <w:tcPr>
            <w:tcW w:w="1278" w:type="dxa"/>
            <w:tcBorders/>
            <w:shd w:fill="auto" w:val="clear"/>
          </w:tcPr>
          <w:p>
            <w:pPr>
              <w:pStyle w:val="Normal"/>
              <w:spacing w:lineRule="auto" w:line="240" w:before="0" w:after="0"/>
              <w:rPr>
                <w:bCs/>
                <w:sz w:val="18"/>
              </w:rPr>
            </w:pPr>
            <w:r>
              <w:rPr>
                <w:bCs/>
                <w:sz w:val="18"/>
              </w:rPr>
              <w:t>% / abs_val</w:t>
            </w:r>
          </w:p>
        </w:tc>
        <w:tc>
          <w:tcPr>
            <w:tcW w:w="281" w:type="dxa"/>
            <w:tcBorders/>
            <w:shd w:fill="auto" w:val="clear"/>
          </w:tcPr>
          <w:p>
            <w:pPr>
              <w:pStyle w:val="Normal"/>
              <w:spacing w:lineRule="auto" w:line="240" w:before="0" w:after="0"/>
              <w:rPr>
                <w:bCs/>
                <w:sz w:val="18"/>
              </w:rPr>
            </w:pPr>
            <w:r>
              <w:rPr>
                <w:bCs/>
                <w:sz w:val="18"/>
              </w:rPr>
              <w:t>y</w:t>
            </w:r>
          </w:p>
        </w:tc>
        <w:tc>
          <w:tcPr>
            <w:tcW w:w="569" w:type="dxa"/>
            <w:tcBorders/>
            <w:shd w:fill="auto" w:val="clear"/>
          </w:tcPr>
          <w:p>
            <w:pPr>
              <w:pStyle w:val="Normal"/>
              <w:spacing w:lineRule="auto" w:line="240" w:before="0" w:after="0"/>
              <w:rPr>
                <w:bCs/>
                <w:sz w:val="18"/>
              </w:rPr>
            </w:pPr>
            <w:r>
              <w:rPr>
                <w:bCs/>
                <w:sz w:val="18"/>
              </w:rPr>
              <w:t>x=1</w:t>
            </w:r>
          </w:p>
        </w:tc>
        <w:tc>
          <w:tcPr>
            <w:tcW w:w="567" w:type="dxa"/>
            <w:tcBorders/>
            <w:shd w:fill="auto" w:val="clear"/>
          </w:tcPr>
          <w:p>
            <w:pPr>
              <w:pStyle w:val="Normal"/>
              <w:spacing w:lineRule="auto" w:line="240" w:before="0" w:after="0"/>
              <w:rPr>
                <w:bCs/>
                <w:sz w:val="18"/>
              </w:rPr>
            </w:pPr>
            <w:r>
              <w:rPr>
                <w:bCs/>
                <w:sz w:val="18"/>
              </w:rPr>
              <w:t>x=2</w:t>
            </w:r>
          </w:p>
        </w:tc>
        <w:tc>
          <w:tcPr>
            <w:tcW w:w="568" w:type="dxa"/>
            <w:tcBorders/>
            <w:shd w:fill="auto" w:val="clear"/>
          </w:tcPr>
          <w:p>
            <w:pPr>
              <w:pStyle w:val="Normal"/>
              <w:spacing w:lineRule="auto" w:line="240" w:before="0" w:after="0"/>
              <w:rPr>
                <w:bCs/>
                <w:sz w:val="18"/>
              </w:rPr>
            </w:pPr>
            <w:r>
              <w:rPr>
                <w:bCs/>
                <w:sz w:val="18"/>
              </w:rPr>
              <w:t>x=3</w:t>
            </w:r>
          </w:p>
        </w:tc>
        <w:tc>
          <w:tcPr>
            <w:tcW w:w="567" w:type="dxa"/>
            <w:tcBorders/>
            <w:shd w:fill="auto" w:val="clear"/>
          </w:tcPr>
          <w:p>
            <w:pPr>
              <w:pStyle w:val="Normal"/>
              <w:spacing w:lineRule="auto" w:line="240" w:before="0" w:after="0"/>
              <w:rPr>
                <w:bCs/>
                <w:sz w:val="18"/>
              </w:rPr>
            </w:pPr>
            <w:r>
              <w:rPr>
                <w:bCs/>
                <w:sz w:val="18"/>
              </w:rPr>
              <w:t>x=4</w:t>
            </w:r>
          </w:p>
        </w:tc>
        <w:tc>
          <w:tcPr>
            <w:tcW w:w="567" w:type="dxa"/>
            <w:tcBorders/>
            <w:shd w:fill="auto" w:val="clear"/>
          </w:tcPr>
          <w:p>
            <w:pPr>
              <w:pStyle w:val="Normal"/>
              <w:spacing w:lineRule="auto" w:line="240" w:before="0" w:after="0"/>
              <w:rPr>
                <w:bCs/>
                <w:sz w:val="18"/>
              </w:rPr>
            </w:pPr>
            <w:r>
              <w:rPr>
                <w:bCs/>
                <w:sz w:val="18"/>
              </w:rPr>
              <w:t>x=5</w:t>
            </w:r>
          </w:p>
        </w:tc>
        <w:tc>
          <w:tcPr>
            <w:tcW w:w="702" w:type="dxa"/>
            <w:tcBorders/>
            <w:shd w:fill="auto" w:val="clear"/>
          </w:tcPr>
          <w:p>
            <w:pPr>
              <w:pStyle w:val="Normal"/>
              <w:spacing w:lineRule="auto" w:line="240" w:before="0" w:after="0"/>
              <w:rPr>
                <w:bCs/>
                <w:sz w:val="18"/>
              </w:rPr>
            </w:pPr>
            <w:r>
              <w:rPr>
                <w:bCs/>
                <w:sz w:val="18"/>
              </w:rPr>
              <w:t>SUM</w:t>
            </w:r>
          </w:p>
        </w:tc>
      </w:tr>
    </w:tbl>
    <w:p>
      <w:pPr>
        <w:pStyle w:val="Normal"/>
        <w:rPr>
          <w:lang w:val="en-US"/>
        </w:rPr>
      </w:pPr>
      <w:r>
        <w:rPr>
          <w:lang w:val="en-US"/>
        </w:rPr>
      </w:r>
    </w:p>
    <w:p>
      <w:pPr>
        <w:pStyle w:val="Normal"/>
        <w:rPr>
          <w:lang w:val="en-US"/>
        </w:rPr>
      </w:pPr>
      <w:r>
        <w:rPr>
          <w:lang w:val="en-US"/>
        </w:rPr>
        <w:t>Columns A and B describe the distribution of interest (e.g. education level by family wealth), both in alphanumeric and mathematical terms. Column C and D describe respectively the age bracket and agent sex(es) the distribution refers to. Column E tells whether the distribution as contained in columns G-L is in absolute terms, i.e. whether it refers to the absolute number of survey responders in the category, or to their column percentage, i.e. the fraction of all responders in the same age, sex and independent variable categories. Column F contains the output variable modality the distribution in columns G-L refers to (including the sum of all modalities). Columns G-K contain modalities 1 to 5 of the independent variable in the output variable category described by columns C, D and F. Column L contains the sum of the content of columns G-K.</w:t>
      </w:r>
    </w:p>
    <w:p>
      <w:pPr>
        <w:pStyle w:val="Normal"/>
        <w:rPr>
          <w:lang w:val="en-US"/>
        </w:rPr>
      </w:pPr>
      <w:r>
        <w:rPr>
          <w:lang w:val="en-US"/>
        </w:rPr>
        <w:t>We can better illustrate the previous paragraph with an example:</w:t>
      </w:r>
    </w:p>
    <w:p>
      <w:pPr>
        <w:pStyle w:val="Normal"/>
        <w:jc w:val="center"/>
        <w:rPr>
          <w:lang w:val="en-US"/>
        </w:rPr>
      </w:pPr>
      <w:r>
        <w:rPr/>
        <w:drawing>
          <wp:inline distT="0" distB="0" distL="0" distR="2540">
            <wp:extent cx="6112510" cy="1017905"/>
            <wp:effectExtent l="0" t="0" r="0" b="0"/>
            <wp:docPr id="3" name="Immagin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1" descr=""/>
                    <pic:cNvPicPr>
                      <a:picLocks noChangeAspect="1" noChangeArrowheads="1"/>
                    </pic:cNvPicPr>
                  </pic:nvPicPr>
                  <pic:blipFill>
                    <a:blip r:embed="rId5"/>
                    <a:stretch>
                      <a:fillRect/>
                    </a:stretch>
                  </pic:blipFill>
                  <pic:spPr bwMode="auto">
                    <a:xfrm>
                      <a:off x="0" y="0"/>
                      <a:ext cx="6112510" cy="1017905"/>
                    </a:xfrm>
                    <a:prstGeom prst="rect">
                      <a:avLst/>
                    </a:prstGeom>
                  </pic:spPr>
                </pic:pic>
              </a:graphicData>
            </a:graphic>
          </wp:inline>
        </w:drawing>
      </w:r>
      <w:r>
        <w:rPr/>
        <w:drawing>
          <wp:inline distT="0" distB="6350" distL="0" distR="0">
            <wp:extent cx="6115050" cy="1079500"/>
            <wp:effectExtent l="0" t="0" r="0" b="0"/>
            <wp:docPr id="4" name="Immagin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2" descr=""/>
                    <pic:cNvPicPr>
                      <a:picLocks noChangeAspect="1" noChangeArrowheads="1"/>
                    </pic:cNvPicPr>
                  </pic:nvPicPr>
                  <pic:blipFill>
                    <a:blip r:embed="rId6"/>
                    <a:stretch>
                      <a:fillRect/>
                    </a:stretch>
                  </pic:blipFill>
                  <pic:spPr bwMode="auto">
                    <a:xfrm>
                      <a:off x="0" y="0"/>
                      <a:ext cx="6115050" cy="1079500"/>
                    </a:xfrm>
                    <a:prstGeom prst="rect">
                      <a:avLst/>
                    </a:prstGeom>
                  </pic:spPr>
                </pic:pic>
              </a:graphicData>
            </a:graphic>
          </wp:inline>
        </w:drawing>
      </w:r>
    </w:p>
    <w:p>
      <w:pPr>
        <w:pStyle w:val="Normal"/>
        <w:rPr>
          <w:lang w:val="en-US"/>
        </w:rPr>
      </w:pPr>
      <w:r>
        <w:rPr>
          <w:lang w:val="en-US"/>
        </w:rPr>
      </w:r>
    </w:p>
    <w:p>
      <w:pPr>
        <w:pStyle w:val="Normal"/>
        <w:rPr>
          <w:lang w:val="en-US"/>
        </w:rPr>
      </w:pPr>
      <w:r>
        <w:rPr>
          <w:lang w:val="en-US"/>
        </w:rPr>
        <w:t>Let’s focus on row 3. First of all, the distribution of interest is education level by family wealth, as shown in columns A and B. That is, the independent variable x is wealth, while the output variable y is education level. The distribution refers to male responders aged 25-44, as per columns C and D. The distribution is displayed in percentages, as shown in column E. Column F tells us we are looking at the distribution of responders whose education level y equals 2. Columns G to L tell us the wealth distribution of responders whose y=2. For instance, looking at cell J3 we can say about 53% of the male survey responders aged 25-44 who belong to a family in the fourth wealth quintile have a lower secondary education.</w:t>
      </w:r>
    </w:p>
    <w:p>
      <w:pPr>
        <w:pStyle w:val="Normal"/>
        <w:widowControl/>
        <w:bidi w:val="0"/>
        <w:spacing w:lineRule="auto" w:line="276" w:before="0" w:after="200"/>
        <w:jc w:val="left"/>
        <w:rPr/>
      </w:pPr>
      <w:r>
        <w:rPr>
          <w:lang w:val="en-US"/>
        </w:rPr>
        <w:t>From a programming standpoint, it is useful to look at the table by independent variable (x) categories. In this example, taking cells J2 to J6 (all of which refer to males aged 25-44) we know male agents in the simulation who belong to the fourth wealth quintile will have a probability of (roughly) 53% of reaching an education level =2, a (roughly) 35% of reaching an education level = 3 and a (roughly) 12% probability of reaching an education level = 4. In other terms, about half of fourth-quintile males will finish middle school, about a third will graduate from high school and those who are left will get a university degree.</w:t>
      </w:r>
    </w:p>
    <w:sectPr>
      <w:footerReference w:type="default" r:id="rId7"/>
      <w:footnotePr>
        <w:numFmt w:val="decimal"/>
      </w:footnotePr>
      <w:type w:val="nextPage"/>
      <w:pgSz w:w="11906" w:h="16838"/>
      <w:pgMar w:left="1134" w:right="1134" w:header="0" w:top="1417" w:footer="454"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Segoe UI">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231018982"/>
    </w:sdtPr>
    <w:sdtContent>
      <w:p>
        <w:pPr>
          <w:pStyle w:val="Footer"/>
          <w:jc w:val="center"/>
          <w:rPr/>
        </w:pPr>
        <w:r>
          <w:rPr/>
          <w:fldChar w:fldCharType="begin"/>
        </w:r>
        <w:r>
          <w:rPr/>
          <w:instrText> PAGE </w:instrText>
        </w:r>
        <w:r>
          <w:rPr/>
          <w:fldChar w:fldCharType="separate"/>
        </w:r>
        <w:r>
          <w:rPr/>
          <w:t>6</w:t>
        </w:r>
        <w:r>
          <w:rPr/>
          <w:fldChar w:fldCharType="end"/>
        </w:r>
      </w:p>
    </w:sdtContent>
  </w:sdt>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rStyle w:val="FootnoteCharacters"/>
        </w:rPr>
        <w:footnoteRef/>
      </w:r>
      <w:r>
        <w:rPr>
          <w:lang w:val="en-US"/>
        </w:rPr>
        <w:t xml:space="preserve"> </w:t>
      </w:r>
      <w:r>
        <w:rPr>
          <w:lang w:val="en-US"/>
        </w:rPr>
        <w:t>We were able to select only residents of the Palermo municipality, but that created a responder sample too small for accurate distributions.</w:t>
      </w:r>
    </w:p>
  </w:footnote>
  <w:footnote w:id="3">
    <w:p>
      <w:pPr>
        <w:pStyle w:val="Footnote"/>
        <w:rPr>
          <w:lang w:val="en-US"/>
        </w:rPr>
      </w:pPr>
      <w:r>
        <w:rPr>
          <w:rStyle w:val="FootnoteCharacters"/>
        </w:rPr>
        <w:footnoteRef/>
      </w:r>
      <w:r>
        <w:rPr>
          <w:lang w:val="en-US"/>
        </w:rPr>
        <w:t xml:space="preserve"> </w:t>
      </w:r>
      <w:r>
        <w:rPr>
          <w:lang w:val="en-US"/>
        </w:rPr>
        <w:t>Note that we incorporated categories QUAL = 4 (“entrepreneur/private practitioner”, n = 29) and QUAL = 5 (“other self-employed”, including craftsmen, owners or partners of family businesses and "sporadic workers", n = 39) respectively into “manager” and “blue-collar” work status categories respectively. This is because QUAL = 4 includes independent contractors, freelancers, private practitioners, individual entrepreneurs and company shareholders, all of whom we assume to have manager characteristics. QUAL = 5 includes craftsmen, owners or partners of family businesses and "sporadic workers", all of whom we assume to have blue-worker characteristics.</w:t>
      </w:r>
    </w:p>
    <w:p>
      <w:pPr>
        <w:pStyle w:val="Footnote"/>
        <w:rPr/>
      </w:pPr>
      <w:r>
        <w:rPr/>
      </w:r>
    </w:p>
  </w:footnote>
</w:footnotes>
</file>

<file path=word/settings.xml><?xml version="1.0" encoding="utf-8"?>
<w:settings xmlns:w="http://schemas.openxmlformats.org/wordprocessingml/2006/main">
  <w:zoom w:percent="80"/>
  <w:trackRevisions/>
  <w:defaultTabStop w:val="708"/>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it-IT"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宋体" w:cs="" w:cstheme="minorBidi" w:eastAsiaTheme="minorEastAsia"/>
        <w:sz w:val="22"/>
        <w:szCs w:val="22"/>
        <w:lang w:val="it-IT" w:eastAsia="zh-CN"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0e1038"/>
    <w:pPr>
      <w:widowControl/>
      <w:bidi w:val="0"/>
      <w:spacing w:lineRule="auto" w:line="276" w:before="0" w:after="200"/>
      <w:jc w:val="left"/>
    </w:pPr>
    <w:rPr>
      <w:rFonts w:ascii="Arial" w:hAnsi="Arial" w:eastAsia="宋体" w:cs="" w:cstheme="minorBidi" w:eastAsiaTheme="minorEastAsia"/>
      <w:color w:val="auto"/>
      <w:kern w:val="0"/>
      <w:sz w:val="22"/>
      <w:szCs w:val="22"/>
      <w:lang w:val="it-IT" w:eastAsia="zh-CN" w:bidi="ar-SA"/>
    </w:rPr>
  </w:style>
  <w:style w:type="paragraph" w:styleId="Heading1">
    <w:name w:val="Heading 1"/>
    <w:basedOn w:val="Normal"/>
    <w:next w:val="Normal"/>
    <w:link w:val="Titolo1Carattere"/>
    <w:uiPriority w:val="9"/>
    <w:qFormat/>
    <w:rsid w:val="00d056b6"/>
    <w:pPr>
      <w:spacing w:before="240" w:after="200"/>
      <w:outlineLvl w:val="0"/>
    </w:pPr>
    <w:rPr>
      <w:b/>
      <w:lang w:val="en-US"/>
    </w:rPr>
  </w:style>
  <w:style w:type="character" w:styleId="DefaultParagraphFont" w:default="1">
    <w:name w:val="Default Paragraph Font"/>
    <w:uiPriority w:val="1"/>
    <w:semiHidden/>
    <w:unhideWhenUsed/>
    <w:qFormat/>
    <w:rPr/>
  </w:style>
  <w:style w:type="character" w:styleId="DataCarattere" w:customStyle="1">
    <w:name w:val="Data Carattere"/>
    <w:basedOn w:val="DefaultParagraphFont"/>
    <w:link w:val="Data"/>
    <w:uiPriority w:val="99"/>
    <w:semiHidden/>
    <w:qFormat/>
    <w:rsid w:val="00611396"/>
    <w:rPr/>
  </w:style>
  <w:style w:type="character" w:styleId="InternetLink">
    <w:name w:val="Internet Link"/>
    <w:basedOn w:val="DefaultParagraphFont"/>
    <w:uiPriority w:val="99"/>
    <w:unhideWhenUsed/>
    <w:rsid w:val="00421112"/>
    <w:rPr>
      <w:color w:val="0000FF" w:themeColor="hyperlink"/>
      <w:u w:val="single"/>
    </w:rPr>
  </w:style>
  <w:style w:type="character" w:styleId="Menzionenonrisolta1" w:customStyle="1">
    <w:name w:val="Menzione non risolta1"/>
    <w:basedOn w:val="DefaultParagraphFont"/>
    <w:uiPriority w:val="99"/>
    <w:semiHidden/>
    <w:unhideWhenUsed/>
    <w:qFormat/>
    <w:rsid w:val="00421112"/>
    <w:rPr>
      <w:color w:val="808080"/>
      <w:shd w:fill="E6E6E6" w:val="clear"/>
    </w:rPr>
  </w:style>
  <w:style w:type="character" w:styleId="TestonotaapidipaginaCarattere" w:customStyle="1">
    <w:name w:val="Testo nota a piè di pagina Carattere"/>
    <w:basedOn w:val="DefaultParagraphFont"/>
    <w:link w:val="Testonotaapidipagina"/>
    <w:uiPriority w:val="99"/>
    <w:semiHidden/>
    <w:qFormat/>
    <w:rsid w:val="00f132cc"/>
    <w:rPr>
      <w:sz w:val="20"/>
      <w:szCs w:val="20"/>
    </w:rPr>
  </w:style>
  <w:style w:type="character" w:styleId="FootnoteCharacters">
    <w:name w:val="Footnote Characters"/>
    <w:basedOn w:val="DefaultParagraphFont"/>
    <w:uiPriority w:val="99"/>
    <w:semiHidden/>
    <w:unhideWhenUsed/>
    <w:qFormat/>
    <w:rsid w:val="00f132cc"/>
    <w:rPr>
      <w:vertAlign w:val="superscript"/>
    </w:rPr>
  </w:style>
  <w:style w:type="character" w:styleId="FootnoteAnchor">
    <w:name w:val="Footnote Anchor"/>
    <w:rPr>
      <w:vertAlign w:val="superscript"/>
    </w:rPr>
  </w:style>
  <w:style w:type="character" w:styleId="IntestazioneCarattere" w:customStyle="1">
    <w:name w:val="Intestazione Carattere"/>
    <w:basedOn w:val="DefaultParagraphFont"/>
    <w:link w:val="Intestazione"/>
    <w:uiPriority w:val="99"/>
    <w:qFormat/>
    <w:rsid w:val="00093c6c"/>
    <w:rPr/>
  </w:style>
  <w:style w:type="character" w:styleId="PidipaginaCarattere" w:customStyle="1">
    <w:name w:val="Piè di pagina Carattere"/>
    <w:basedOn w:val="DefaultParagraphFont"/>
    <w:link w:val="Pidipagina"/>
    <w:uiPriority w:val="99"/>
    <w:qFormat/>
    <w:rsid w:val="00093c6c"/>
    <w:rPr/>
  </w:style>
  <w:style w:type="character" w:styleId="Annotationreference">
    <w:name w:val="annotation reference"/>
    <w:basedOn w:val="DefaultParagraphFont"/>
    <w:uiPriority w:val="99"/>
    <w:semiHidden/>
    <w:unhideWhenUsed/>
    <w:qFormat/>
    <w:rsid w:val="00f61499"/>
    <w:rPr>
      <w:sz w:val="16"/>
      <w:szCs w:val="16"/>
    </w:rPr>
  </w:style>
  <w:style w:type="character" w:styleId="TestocommentoCarattere" w:customStyle="1">
    <w:name w:val="Testo commento Carattere"/>
    <w:basedOn w:val="DefaultParagraphFont"/>
    <w:link w:val="Testocommento"/>
    <w:uiPriority w:val="99"/>
    <w:semiHidden/>
    <w:qFormat/>
    <w:rsid w:val="00f61499"/>
    <w:rPr>
      <w:sz w:val="20"/>
      <w:szCs w:val="20"/>
    </w:rPr>
  </w:style>
  <w:style w:type="character" w:styleId="SoggettocommentoCarattere" w:customStyle="1">
    <w:name w:val="Soggetto commento Carattere"/>
    <w:basedOn w:val="TestocommentoCarattere"/>
    <w:link w:val="Soggettocommento"/>
    <w:uiPriority w:val="99"/>
    <w:semiHidden/>
    <w:qFormat/>
    <w:rsid w:val="00f61499"/>
    <w:rPr>
      <w:b/>
      <w:bCs/>
      <w:sz w:val="20"/>
      <w:szCs w:val="20"/>
    </w:rPr>
  </w:style>
  <w:style w:type="character" w:styleId="TestofumettoCarattere" w:customStyle="1">
    <w:name w:val="Testo fumetto Carattere"/>
    <w:basedOn w:val="DefaultParagraphFont"/>
    <w:link w:val="Testofumetto"/>
    <w:uiPriority w:val="99"/>
    <w:semiHidden/>
    <w:qFormat/>
    <w:rsid w:val="00f61499"/>
    <w:rPr>
      <w:rFonts w:ascii="Segoe UI" w:hAnsi="Segoe UI" w:cs="Segoe UI"/>
      <w:sz w:val="18"/>
      <w:szCs w:val="18"/>
    </w:rPr>
  </w:style>
  <w:style w:type="character" w:styleId="Titolo1Carattere" w:customStyle="1">
    <w:name w:val="Titolo 1 Carattere"/>
    <w:basedOn w:val="DefaultParagraphFont"/>
    <w:link w:val="Titolo1"/>
    <w:uiPriority w:val="9"/>
    <w:qFormat/>
    <w:rsid w:val="00d056b6"/>
    <w:rPr>
      <w:b/>
      <w:lang w:val="en-US"/>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lang w:val="en-US"/>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Date">
    <w:name w:val="Date"/>
    <w:basedOn w:val="Normal"/>
    <w:next w:val="Normal"/>
    <w:link w:val="DataCarattere"/>
    <w:uiPriority w:val="99"/>
    <w:semiHidden/>
    <w:unhideWhenUsed/>
    <w:qFormat/>
    <w:rsid w:val="00611396"/>
    <w:pPr/>
    <w:rPr/>
  </w:style>
  <w:style w:type="paragraph" w:styleId="ListParagraph">
    <w:name w:val="List Paragraph"/>
    <w:basedOn w:val="Normal"/>
    <w:uiPriority w:val="34"/>
    <w:qFormat/>
    <w:rsid w:val="00f37487"/>
    <w:pPr>
      <w:spacing w:before="0" w:after="200"/>
      <w:ind w:left="720" w:hanging="0"/>
      <w:contextualSpacing/>
    </w:pPr>
    <w:rPr/>
  </w:style>
  <w:style w:type="paragraph" w:styleId="Footnote">
    <w:name w:val="Footnote Text"/>
    <w:basedOn w:val="Normal"/>
    <w:link w:val="TestonotaapidipaginaCarattere"/>
    <w:uiPriority w:val="99"/>
    <w:semiHidden/>
    <w:unhideWhenUsed/>
    <w:rsid w:val="00f132cc"/>
    <w:pPr>
      <w:spacing w:lineRule="auto" w:line="240" w:before="0" w:after="0"/>
    </w:pPr>
    <w:rPr>
      <w:sz w:val="20"/>
      <w:szCs w:val="20"/>
    </w:rPr>
  </w:style>
  <w:style w:type="paragraph" w:styleId="Header">
    <w:name w:val="Header"/>
    <w:basedOn w:val="Normal"/>
    <w:link w:val="IntestazioneCarattere"/>
    <w:uiPriority w:val="99"/>
    <w:unhideWhenUsed/>
    <w:rsid w:val="00093c6c"/>
    <w:pPr>
      <w:tabs>
        <w:tab w:val="clear" w:pos="708"/>
        <w:tab w:val="center" w:pos="4513" w:leader="none"/>
        <w:tab w:val="right" w:pos="9026" w:leader="none"/>
      </w:tabs>
      <w:spacing w:lineRule="auto" w:line="240" w:before="0" w:after="0"/>
    </w:pPr>
    <w:rPr/>
  </w:style>
  <w:style w:type="paragraph" w:styleId="Footer">
    <w:name w:val="Footer"/>
    <w:basedOn w:val="Normal"/>
    <w:link w:val="PidipaginaCarattere"/>
    <w:uiPriority w:val="99"/>
    <w:unhideWhenUsed/>
    <w:rsid w:val="00093c6c"/>
    <w:pPr>
      <w:tabs>
        <w:tab w:val="clear" w:pos="708"/>
        <w:tab w:val="center" w:pos="4513" w:leader="none"/>
        <w:tab w:val="right" w:pos="9026" w:leader="none"/>
      </w:tabs>
      <w:spacing w:lineRule="auto" w:line="240" w:before="0" w:after="0"/>
    </w:pPr>
    <w:rPr/>
  </w:style>
  <w:style w:type="paragraph" w:styleId="Annotationtext">
    <w:name w:val="annotation text"/>
    <w:basedOn w:val="Normal"/>
    <w:link w:val="TestocommentoCarattere"/>
    <w:uiPriority w:val="99"/>
    <w:semiHidden/>
    <w:unhideWhenUsed/>
    <w:qFormat/>
    <w:rsid w:val="00f61499"/>
    <w:pPr>
      <w:spacing w:lineRule="auto" w:line="240"/>
    </w:pPr>
    <w:rPr>
      <w:sz w:val="20"/>
      <w:szCs w:val="20"/>
    </w:rPr>
  </w:style>
  <w:style w:type="paragraph" w:styleId="Annotationsubject">
    <w:name w:val="annotation subject"/>
    <w:basedOn w:val="Annotationtext"/>
    <w:next w:val="Annotationtext"/>
    <w:link w:val="SoggettocommentoCarattere"/>
    <w:uiPriority w:val="99"/>
    <w:semiHidden/>
    <w:unhideWhenUsed/>
    <w:qFormat/>
    <w:rsid w:val="00f61499"/>
    <w:pPr/>
    <w:rPr>
      <w:b/>
      <w:bCs/>
    </w:rPr>
  </w:style>
  <w:style w:type="paragraph" w:styleId="BalloonText">
    <w:name w:val="Balloon Text"/>
    <w:basedOn w:val="Normal"/>
    <w:link w:val="TestofumettoCarattere"/>
    <w:uiPriority w:val="99"/>
    <w:semiHidden/>
    <w:unhideWhenUsed/>
    <w:qFormat/>
    <w:rsid w:val="00f61499"/>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table" w:styleId="Grigliatabella">
    <w:name w:val="Table Grid"/>
    <w:basedOn w:val="Tabellanormale"/>
    <w:uiPriority w:val="59"/>
    <w:rsid w:val="00497ee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jpeg"/><Relationship Id="rId4" Type="http://schemas.openxmlformats.org/officeDocument/2006/relationships/hyperlink" Target="https://www.bancaditalia.it/pubblicazioni/indagine-famiglie/index.html" TargetMode="External"/><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footer" Target="footer1.xml"/><Relationship Id="rId8" Type="http://schemas.openxmlformats.org/officeDocument/2006/relationships/footnotes" Target="footnotes.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70FF31-B8B1-4CBA-A455-DC46E0EA3B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Application>LibreOffice/6.1.1.2$MacOSX_X86_64 LibreOffice_project/5d19a1bfa650b796764388cd8b33a5af1f5baa1b</Application>
  <Pages>3</Pages>
  <Words>1808</Words>
  <Characters>9192</Characters>
  <CharactersWithSpaces>10846</CharactersWithSpaces>
  <Paragraphs>165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2018-10-05T15:18:00Z</dcterms:created>
  <dc:creator>Tre Quattordici</dc:creator>
  <dc:description/>
  <dc:language>en-US</dc:language>
  <cp:lastModifiedBy>M P</cp:lastModifiedBy>
  <dcterms:modified xsi:type="dcterms:W3CDTF">2018-12-06T06:48:25Z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