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78" w:type="dxa"/>
        <w:tblInd w:w="655" w:type="dxa"/>
        <w:tblLook w:val="04A0" w:firstRow="1" w:lastRow="0" w:firstColumn="1" w:lastColumn="0" w:noHBand="0" w:noVBand="1"/>
      </w:tblPr>
      <w:tblGrid>
        <w:gridCol w:w="1947"/>
        <w:gridCol w:w="3921"/>
        <w:gridCol w:w="1440"/>
        <w:gridCol w:w="1470"/>
      </w:tblGrid>
      <w:tr w:rsidR="00D87BF1" w:rsidTr="007A33E1">
        <w:trPr>
          <w:trHeight w:val="280"/>
        </w:trPr>
        <w:tc>
          <w:tcPr>
            <w:tcW w:w="1947" w:type="dxa"/>
          </w:tcPr>
          <w:p w:rsidR="00D87BF1" w:rsidRDefault="00951E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921" w:type="dxa"/>
          </w:tcPr>
          <w:p w:rsidR="00D87BF1" w:rsidRDefault="00D649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910" w:type="dxa"/>
            <w:gridSpan w:val="2"/>
          </w:tcPr>
          <w:p w:rsidR="00D87BF1" w:rsidRDefault="00951E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A319A4" w:rsidTr="00A319A4">
        <w:trPr>
          <w:trHeight w:val="576"/>
        </w:trPr>
        <w:tc>
          <w:tcPr>
            <w:tcW w:w="1947" w:type="dxa"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921" w:type="dxa"/>
          </w:tcPr>
          <w:p w:rsidR="00A319A4" w:rsidRDefault="00A319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Mei 2018 </w:t>
            </w:r>
          </w:p>
        </w:tc>
        <w:tc>
          <w:tcPr>
            <w:tcW w:w="1440" w:type="dxa"/>
            <w:vMerge w:val="restart"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0" w:type="dxa"/>
            <w:vMerge w:val="restart"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19A4" w:rsidTr="00A319A4">
        <w:trPr>
          <w:trHeight w:val="280"/>
        </w:trPr>
        <w:tc>
          <w:tcPr>
            <w:tcW w:w="1947" w:type="dxa"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</w:tcPr>
          <w:p w:rsidR="00A319A4" w:rsidRDefault="00A319A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S           (D400150082)</w:t>
            </w:r>
          </w:p>
        </w:tc>
        <w:tc>
          <w:tcPr>
            <w:tcW w:w="1440" w:type="dxa"/>
            <w:vMerge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0" w:type="dxa"/>
            <w:vMerge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19A4" w:rsidTr="00A319A4">
        <w:trPr>
          <w:trHeight w:val="280"/>
        </w:trPr>
        <w:tc>
          <w:tcPr>
            <w:tcW w:w="1947" w:type="dxa"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</w:tcPr>
          <w:p w:rsidR="00A319A4" w:rsidRDefault="00A319A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              (D400150095)</w:t>
            </w:r>
          </w:p>
        </w:tc>
        <w:tc>
          <w:tcPr>
            <w:tcW w:w="1440" w:type="dxa"/>
            <w:vMerge/>
          </w:tcPr>
          <w:p w:rsidR="00A319A4" w:rsidRDefault="00A319A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70" w:type="dxa"/>
            <w:vMerge/>
          </w:tcPr>
          <w:p w:rsidR="00A319A4" w:rsidRDefault="00A319A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87BF1" w:rsidTr="007A33E1">
        <w:trPr>
          <w:trHeight w:val="280"/>
        </w:trPr>
        <w:tc>
          <w:tcPr>
            <w:tcW w:w="1947" w:type="dxa"/>
          </w:tcPr>
          <w:p w:rsidR="00D87BF1" w:rsidRDefault="00D87B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</w:tcPr>
          <w:p w:rsidR="00D87BF1" w:rsidRDefault="00951E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            (D400150142)</w:t>
            </w:r>
          </w:p>
        </w:tc>
        <w:tc>
          <w:tcPr>
            <w:tcW w:w="2910" w:type="dxa"/>
            <w:gridSpan w:val="2"/>
          </w:tcPr>
          <w:p w:rsidR="00D87BF1" w:rsidRDefault="007A33E1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D87BF1" w:rsidTr="007A33E1">
        <w:trPr>
          <w:trHeight w:val="264"/>
        </w:trPr>
        <w:tc>
          <w:tcPr>
            <w:tcW w:w="1947" w:type="dxa"/>
          </w:tcPr>
          <w:p w:rsidR="00D87BF1" w:rsidRDefault="00D87B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</w:tcPr>
          <w:p w:rsidR="00D87BF1" w:rsidRDefault="00951E7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                (D400150115)</w:t>
            </w:r>
          </w:p>
        </w:tc>
        <w:tc>
          <w:tcPr>
            <w:tcW w:w="2910" w:type="dxa"/>
            <w:gridSpan w:val="2"/>
          </w:tcPr>
          <w:p w:rsidR="00D87BF1" w:rsidRDefault="007A33E1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</w:tc>
      </w:tr>
    </w:tbl>
    <w:p w:rsidR="00D87BF1" w:rsidRDefault="00D87BF1">
      <w:pPr>
        <w:jc w:val="both"/>
      </w:pPr>
    </w:p>
    <w:p w:rsidR="00D87BF1" w:rsidRDefault="00951E7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4</w:t>
      </w:r>
    </w:p>
    <w:p w:rsidR="00D87BF1" w:rsidRDefault="00951E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Management Resource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</w:p>
    <w:p w:rsidR="00D87BF1" w:rsidRDefault="00D87BF1">
      <w:pPr>
        <w:jc w:val="center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TUJUAN </w:t>
      </w:r>
    </w:p>
    <w:p w:rsidR="00D87BF1" w:rsidRDefault="00951E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Resource.</w:t>
      </w:r>
    </w:p>
    <w:p w:rsidR="00D87BF1" w:rsidRDefault="00951E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Resource.</w:t>
      </w:r>
    </w:p>
    <w:p w:rsidR="00D87BF1" w:rsidRDefault="00951E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BF1" w:rsidRDefault="00D87B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ALAT DAN BAHAN </w:t>
      </w:r>
    </w:p>
    <w:p w:rsidR="00D87BF1" w:rsidRDefault="00951E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D87BF1" w:rsidRDefault="00951E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D87BF1" w:rsidRDefault="00D87BF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DASAR TEORI</w:t>
      </w:r>
    </w:p>
    <w:p w:rsidR="00D87BF1" w:rsidRDefault="00951E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>Dalam penggunaan ini, nilai hitungan menunjukkan jumlah sumber daya yang tersedia. Untuk mendapatkan kontrol sumber daya, tugas harus terlebih dahulu mendapatkan semaphore - mengurangi nilai hitungan semaphore. Ketika nilai hitungan mencapai nol tidak ada sumber daya gratis. Ketika tugas selesai dengan sumber daya itu 'memberi' semaphore kembali - incrementing nilai hitungan semaphore. Dalam hal ini diharapkan agar nilai hitung awal sama dengan nilai hitung maksimum, yang menunjukkan bahwa semua sumber daya gratis.</w:t>
      </w:r>
    </w:p>
    <w:p w:rsidR="00D87BF1" w:rsidRDefault="00D87B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  <w:lang w:eastAsia="en-CA"/>
        </w:rPr>
      </w:pPr>
    </w:p>
    <w:p w:rsidR="00D87BF1" w:rsidRDefault="00951E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lastRenderedPageBreak/>
        <w:t>Perencanaan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>Daya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 xml:space="preserve"> </w:t>
      </w:r>
    </w:p>
    <w:p w:rsidR="00D87BF1" w:rsidRDefault="00951E7B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orang di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keahliannya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unik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tenggat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evolusi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menguntungkan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ditagih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dihabiskan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87BF1" w:rsidRDefault="00951E7B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Keuntungan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Mnaagement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Resource</w:t>
      </w:r>
    </w:p>
    <w:p w:rsidR="00D87BF1" w:rsidRDefault="00951E7B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ditempatkan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mengalokasikannya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bergeser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memperkirakan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skala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berlipat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memenangkan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tugas-tugas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CRM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akuntansi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memungkinka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manfaat-biaya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pengalokasian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tugas-tugas</w:t>
      </w:r>
      <w:proofErr w:type="spellEnd"/>
      <w:r>
        <w:rPr>
          <w:rFonts w:ascii="Times New Roman" w:hAnsi="Times New Roman" w:cs="Times New Roman"/>
          <w:sz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Akhirnya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berkolaborasi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BF1" w:rsidRDefault="00951E7B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Kerugian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Management Resource</w:t>
      </w:r>
    </w:p>
    <w:p w:rsidR="00D87BF1" w:rsidRDefault="00951E7B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mengadopsi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diantisipasi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spreadsheet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bervariasi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drastis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penawaran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memadai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BF1" w:rsidRDefault="00951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7D04E4" w:rsidRPr="007D04E4" w:rsidRDefault="007D04E4" w:rsidP="007D04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D04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CD3551B" wp14:editId="0274E2AD">
            <wp:simplePos x="0" y="0"/>
            <wp:positionH relativeFrom="column">
              <wp:posOffset>476250</wp:posOffset>
            </wp:positionH>
            <wp:positionV relativeFrom="paragraph">
              <wp:posOffset>252730</wp:posOffset>
            </wp:positionV>
            <wp:extent cx="5172075" cy="1838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4E4">
        <w:rPr>
          <w:rFonts w:ascii="Times New Roman" w:hAnsi="Times New Roman" w:cs="Times New Roman"/>
          <w:sz w:val="24"/>
        </w:rPr>
        <w:t xml:space="preserve">D 1.1 </w:t>
      </w:r>
      <w:proofErr w:type="spellStart"/>
      <w:r w:rsidRPr="007D04E4">
        <w:rPr>
          <w:rFonts w:ascii="Times New Roman" w:hAnsi="Times New Roman" w:cs="Times New Roman"/>
          <w:sz w:val="24"/>
        </w:rPr>
        <w:t>Skema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rangkaian</w:t>
      </w:r>
      <w:proofErr w:type="spellEnd"/>
    </w:p>
    <w:p w:rsidR="007D04E4" w:rsidRPr="007D04E4" w:rsidRDefault="007D04E4" w:rsidP="007D04E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87BF1" w:rsidRDefault="007D04E4" w:rsidP="007D04E4">
      <w:pPr>
        <w:tabs>
          <w:tab w:val="left" w:pos="399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1.2 </w:t>
      </w:r>
      <w:proofErr w:type="spellStart"/>
      <w:r w:rsidR="00951E7B">
        <w:rPr>
          <w:rFonts w:ascii="Times New Roman" w:hAnsi="Times New Roman" w:cs="Times New Roman"/>
          <w:sz w:val="24"/>
        </w:rPr>
        <w:t>Hasil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Percobaan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Script </w:t>
      </w:r>
      <w:r>
        <w:rPr>
          <w:rFonts w:ascii="Times New Roman" w:hAnsi="Times New Roman" w:cs="Times New Roman"/>
          <w:sz w:val="24"/>
        </w:rPr>
        <w:tab/>
      </w:r>
    </w:p>
    <w:p w:rsidR="007D04E4" w:rsidRDefault="007D04E4" w:rsidP="007D04E4">
      <w:pPr>
        <w:tabs>
          <w:tab w:val="left" w:pos="399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F36593" wp14:editId="168CB011">
            <wp:simplePos x="0" y="0"/>
            <wp:positionH relativeFrom="column">
              <wp:posOffset>533400</wp:posOffset>
            </wp:positionH>
            <wp:positionV relativeFrom="paragraph">
              <wp:posOffset>41275</wp:posOffset>
            </wp:positionV>
            <wp:extent cx="4314825" cy="3209925"/>
            <wp:effectExtent l="0" t="0" r="9525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BF1" w:rsidRDefault="00D87BF1">
      <w:pPr>
        <w:spacing w:after="0" w:line="360" w:lineRule="auto"/>
        <w:ind w:left="720"/>
        <w:jc w:val="both"/>
      </w:pP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Theme="majorBidi" w:hAnsiTheme="majorBidi" w:cstheme="majorBidi"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4941E15" wp14:editId="6152C8EB">
            <wp:simplePos x="0" y="0"/>
            <wp:positionH relativeFrom="column">
              <wp:posOffset>428625</wp:posOffset>
            </wp:positionH>
            <wp:positionV relativeFrom="paragraph">
              <wp:posOffset>61630</wp:posOffset>
            </wp:positionV>
            <wp:extent cx="5141071" cy="1600200"/>
            <wp:effectExtent l="0" t="0" r="254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07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7D04E4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96619B0" wp14:editId="3CF46614">
            <wp:simplePos x="0" y="0"/>
            <wp:positionH relativeFrom="column">
              <wp:posOffset>742950</wp:posOffset>
            </wp:positionH>
            <wp:positionV relativeFrom="paragraph">
              <wp:posOffset>262890</wp:posOffset>
            </wp:positionV>
            <wp:extent cx="3543300" cy="2778760"/>
            <wp:effectExtent l="0" t="0" r="0" b="254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0C6C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E7B">
        <w:rPr>
          <w:rFonts w:ascii="Times New Roman" w:hAnsi="Times New Roman" w:cs="Times New Roman"/>
          <w:sz w:val="24"/>
        </w:rPr>
        <w:t>D</w:t>
      </w:r>
      <w:r w:rsidR="00D6491D">
        <w:rPr>
          <w:rFonts w:ascii="Times New Roman" w:hAnsi="Times New Roman" w:cs="Times New Roman"/>
          <w:sz w:val="24"/>
        </w:rPr>
        <w:t xml:space="preserve">.2 </w:t>
      </w:r>
      <w:r w:rsidR="00951E7B">
        <w:rPr>
          <w:rFonts w:ascii="Times New Roman" w:hAnsi="Times New Roman" w:cs="Times New Roman"/>
          <w:sz w:val="24"/>
        </w:rPr>
        <w:t xml:space="preserve">Serial Monitor </w:t>
      </w:r>
    </w:p>
    <w:p w:rsidR="00D87BF1" w:rsidRDefault="00D87BF1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7D04E4" w:rsidRDefault="007D04E4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ANALISA</w:t>
      </w:r>
    </w:p>
    <w:p w:rsidR="00D87BF1" w:rsidRDefault="00951E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E.1.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87BF1" w:rsidRPr="007D04E4" w:rsidRDefault="00951E7B" w:rsidP="007D04E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7D04E4">
        <w:rPr>
          <w:rFonts w:ascii="Times New Roman" w:hAnsi="Times New Roman" w:cs="Times New Roman"/>
          <w:sz w:val="24"/>
        </w:rPr>
        <w:t>Pada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praktikum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7D04E4">
        <w:rPr>
          <w:rFonts w:ascii="Times New Roman" w:hAnsi="Times New Roman" w:cs="Times New Roman"/>
          <w:sz w:val="24"/>
        </w:rPr>
        <w:t>ini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menggunakan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fungsi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management resource </w:t>
      </w:r>
      <w:proofErr w:type="spellStart"/>
      <w:r w:rsidRPr="007D04E4">
        <w:rPr>
          <w:rFonts w:ascii="Times New Roman" w:hAnsi="Times New Roman" w:cs="Times New Roman"/>
          <w:sz w:val="24"/>
        </w:rPr>
        <w:t>dan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3 task </w:t>
      </w:r>
      <w:proofErr w:type="spellStart"/>
      <w:r w:rsidRPr="007D04E4">
        <w:rPr>
          <w:rFonts w:ascii="Times New Roman" w:hAnsi="Times New Roman" w:cs="Times New Roman"/>
          <w:sz w:val="24"/>
        </w:rPr>
        <w:t>pada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program. Program </w:t>
      </w:r>
      <w:proofErr w:type="spellStart"/>
      <w:r w:rsidRPr="007D04E4">
        <w:rPr>
          <w:rFonts w:ascii="Times New Roman" w:hAnsi="Times New Roman" w:cs="Times New Roman"/>
          <w:sz w:val="24"/>
        </w:rPr>
        <w:t>dibuat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dapat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berjalan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secara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terus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menerus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secara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gantian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pada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masing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7D04E4">
        <w:rPr>
          <w:rFonts w:ascii="Times New Roman" w:hAnsi="Times New Roman" w:cs="Times New Roman"/>
          <w:sz w:val="24"/>
        </w:rPr>
        <w:t>masing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Pr="007D04E4">
        <w:rPr>
          <w:rFonts w:ascii="Times New Roman" w:hAnsi="Times New Roman" w:cs="Times New Roman"/>
          <w:sz w:val="24"/>
        </w:rPr>
        <w:t>nya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7D04E4"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digunakan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untuk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memasukkan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D04E4">
        <w:rPr>
          <w:rFonts w:ascii="Times New Roman" w:hAnsi="Times New Roman" w:cs="Times New Roman"/>
          <w:sz w:val="24"/>
        </w:rPr>
        <w:t>kemudian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akan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diambil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oleh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xSemaphoreTake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dan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kemudian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ditampilkan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pada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Serial Monitor. </w:t>
      </w:r>
      <w:proofErr w:type="spellStart"/>
      <w:r w:rsidRPr="007D04E4">
        <w:rPr>
          <w:rFonts w:ascii="Times New Roman" w:hAnsi="Times New Roman" w:cs="Times New Roman"/>
          <w:sz w:val="24"/>
        </w:rPr>
        <w:t>Sehingga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7D04E4">
        <w:rPr>
          <w:rFonts w:ascii="Times New Roman" w:hAnsi="Times New Roman" w:cs="Times New Roman"/>
          <w:sz w:val="24"/>
        </w:rPr>
        <w:t>berjalan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secara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terus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 w:cs="Times New Roman"/>
          <w:sz w:val="24"/>
        </w:rPr>
        <w:t>menerus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(forever loop) </w:t>
      </w:r>
      <w:proofErr w:type="spellStart"/>
      <w:r w:rsidRPr="007D04E4">
        <w:rPr>
          <w:rFonts w:ascii="Times New Roman" w:hAnsi="Times New Roman" w:cs="Times New Roman"/>
          <w:sz w:val="24"/>
        </w:rPr>
        <w:t>pada</w:t>
      </w:r>
      <w:proofErr w:type="spellEnd"/>
      <w:r w:rsidRPr="007D04E4">
        <w:rPr>
          <w:rFonts w:ascii="Times New Roman" w:hAnsi="Times New Roman" w:cs="Times New Roman"/>
          <w:sz w:val="24"/>
        </w:rPr>
        <w:t xml:space="preserve"> serial monitor. </w:t>
      </w:r>
    </w:p>
    <w:p w:rsidR="00D87BF1" w:rsidRDefault="00951E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vTaskDelay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penundaan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pemunculan</w:t>
      </w:r>
      <w:proofErr w:type="spellEnd"/>
      <w:r>
        <w:rPr>
          <w:rFonts w:ascii="Times New Roman" w:hAnsi="Times New Roman" w:cs="Times New Roman"/>
          <w:sz w:val="24"/>
        </w:rPr>
        <w:t xml:space="preserve"> data di serial monitor.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task program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delay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Serial.println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keserial</w:t>
      </w:r>
      <w:proofErr w:type="spellEnd"/>
      <w:r>
        <w:rPr>
          <w:rFonts w:ascii="Times New Roman" w:hAnsi="Times New Roman" w:cs="Times New Roman"/>
          <w:sz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xTaskCreate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prvPrintTask</w:t>
      </w:r>
      <w:proofErr w:type="spellEnd"/>
      <w:r>
        <w:rPr>
          <w:rFonts w:ascii="Times New Roman" w:hAnsi="Times New Roman" w:cs="Times New Roman"/>
          <w:sz w:val="24"/>
        </w:rPr>
        <w:t xml:space="preserve">, "Print 1", 200, (void*)"Task 1 Running \r\n",1,NULL);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meng</w:t>
      </w:r>
      <w:r>
        <w:rPr>
          <w:rFonts w:ascii="Times New Roman" w:hAnsi="Times New Roman" w:cs="Times New Roman"/>
          <w:i/>
          <w:sz w:val="24"/>
        </w:rPr>
        <w:t>create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Task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pemunculan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serial monitor. </w:t>
      </w:r>
    </w:p>
    <w:p w:rsidR="00D87BF1" w:rsidRDefault="00951E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SemaphoreHandle_t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xMutex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mengendalikan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</w:t>
      </w:r>
      <w:proofErr w:type="spellEnd"/>
      <w:r>
        <w:rPr>
          <w:rFonts w:ascii="Times New Roman" w:hAnsi="Times New Roman" w:cs="Times New Roman"/>
          <w:sz w:val="24"/>
        </w:rPr>
        <w:t xml:space="preserve"> (forever loop)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serial monitor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keluara</w:t>
      </w:r>
      <w:proofErr w:type="spellEnd"/>
      <w:r>
        <w:rPr>
          <w:rFonts w:ascii="Times New Roman" w:hAnsi="Times New Roman" w:cs="Times New Roman"/>
          <w:sz w:val="24"/>
        </w:rPr>
        <w:t xml:space="preserve"> yang double.</w:t>
      </w:r>
    </w:p>
    <w:p w:rsidR="00D87BF1" w:rsidRDefault="00D87B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KESIMPULAN </w:t>
      </w:r>
    </w:p>
    <w:p w:rsidR="00D87BF1" w:rsidRDefault="00951E7B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isyarat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BF1" w:rsidRDefault="00951E7B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jalannya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D87BF1" w:rsidRDefault="00951E7B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Serial Monitor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SempahoreHandle_t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xMutex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sectPr w:rsidR="00D87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0000004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0000005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0000006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multilevel"/>
    <w:tmpl w:val="802ECC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multilevel"/>
    <w:tmpl w:val="7AB25E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C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CA076A"/>
    <w:multiLevelType w:val="multilevel"/>
    <w:tmpl w:val="C712AE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F1"/>
    <w:rsid w:val="007A33E1"/>
    <w:rsid w:val="007D04E4"/>
    <w:rsid w:val="00951E7B"/>
    <w:rsid w:val="00A319A4"/>
    <w:rsid w:val="00D6491D"/>
    <w:rsid w:val="00D87BF1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410D"/>
  <w15:docId w15:val="{6A1D9297-40AB-4B17-B2C7-3F7622EE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skimlinks-unlinked">
    <w:name w:val="skimlinks-unlinked"/>
    <w:basedOn w:val="DefaultParagraphFont"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698</Words>
  <Characters>4802</Characters>
  <Application>Microsoft Office Word</Application>
  <DocSecurity>0</DocSecurity>
  <Lines>145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2018-07-20T21:52:00Z</dcterms:created>
  <dcterms:modified xsi:type="dcterms:W3CDTF">2018-07-21T07:13:00Z</dcterms:modified>
</cp:coreProperties>
</file>