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3</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10:10 PM-00:00 AM</w:t>
      </w:r>
    </w:p>
    <w:p w:rsidR="00000000" w:rsidDel="00000000" w:rsidP="00000000" w:rsidRDefault="00000000" w:rsidRPr="00000000">
      <w:pPr>
        <w:contextualSpacing w:val="0"/>
        <w:rPr/>
      </w:pPr>
      <w:r w:rsidDel="00000000" w:rsidR="00000000" w:rsidRPr="00000000">
        <w:rPr>
          <w:rtl w:val="0"/>
        </w:rPr>
        <w:t xml:space="preserve">Date: Sep 3rd 2017</w:t>
      </w:r>
    </w:p>
    <w:p w:rsidR="00000000" w:rsidDel="00000000" w:rsidP="00000000" w:rsidRDefault="00000000" w:rsidRPr="00000000">
      <w:pPr>
        <w:contextualSpacing w:val="0"/>
        <w:rPr/>
      </w:pPr>
      <w:r w:rsidDel="00000000" w:rsidR="00000000" w:rsidRPr="00000000">
        <w:rPr>
          <w:rtl w:val="0"/>
        </w:rPr>
        <w:t xml:space="preserve">Location: Online (Google Hangouts)</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Address frontend and backend ideas for Proof of Concept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Frontend UI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Backend design assessment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PHP, IIS setup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Frontend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interface has only one webpage, basic functionalities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Admin interface has more options/filters/searches, and can address issues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HTML5, CSS3,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POC Backend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ER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How to import data (.CSV → 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PHP/IIS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Other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Proof Of Concept (Continuation from Meeting 2)</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Structure/Primary Keys</w:t>
      </w:r>
    </w:p>
    <w:p w:rsidR="00000000" w:rsidDel="00000000" w:rsidP="00000000" w:rsidRDefault="00000000" w:rsidRPr="00000000">
      <w:pPr>
        <w:contextualSpacing w:val="0"/>
        <w:rPr/>
      </w:pPr>
      <w:r w:rsidDel="00000000" w:rsidR="00000000" w:rsidRPr="00000000">
        <w:rPr>
          <w:rtl w:val="0"/>
        </w:rPr>
        <w:t xml:space="preserve">Employee ID and Certification No.</w:t>
      </w:r>
    </w:p>
    <w:p w:rsidR="00000000" w:rsidDel="00000000" w:rsidP="00000000" w:rsidRDefault="00000000" w:rsidRPr="00000000">
      <w:pPr>
        <w:contextualSpacing w:val="0"/>
        <w:rPr/>
      </w:pPr>
      <w:r w:rsidDel="00000000" w:rsidR="00000000" w:rsidRPr="00000000">
        <w:rPr>
          <w:rtl w:val="0"/>
        </w:rPr>
        <w:t xml:space="preserve">Problem we are currently facing: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Appraisers all have Employee ID and Certification number, however, other employees may not have a certification number, therefore it can cause problems.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Board of Equalization uses Certification number as their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Solutions: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Hashing Employee ID and Certification number together to create a unique value</w:t>
      </w:r>
    </w:p>
    <w:p w:rsidR="00000000" w:rsidDel="00000000" w:rsidP="00000000" w:rsidRDefault="00000000" w:rsidRPr="00000000">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Creating a lookup table to match employee ID and certification number, and the table will only be for appraisers/BOE data → Use Employee ID as primary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Migration from Microsoft Access to Microsoft SQL: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 a third party software downloaded from (</w:t>
      </w:r>
      <w:hyperlink r:id="rId5">
        <w:r w:rsidDel="00000000" w:rsidR="00000000" w:rsidRPr="00000000">
          <w:rPr>
            <w:color w:val="1155cc"/>
            <w:u w:val="single"/>
            <w:rtl w:val="0"/>
          </w:rPr>
          <w:t xml:space="preserve">http://www.bullzip.com/products/a2s/info.php</w:t>
        </w:r>
      </w:hyperlink>
      <w:r w:rsidDel="00000000" w:rsidR="00000000" w:rsidRPr="00000000">
        <w:rPr>
          <w:rtl w:val="0"/>
        </w:rPr>
        <w:t xml:space="preserv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Concern about Security issues (need clients’ approval)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Manual conversion MS Access to Excel, Excel to MSSQL (possibly using Python 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architecture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038600" cy="4667250"/>
            <wp:effectExtent b="0" l="0" r="0" t="0"/>
            <wp:docPr descr="Untitled Diagram.png" id="4" name="image8.png"/>
            <a:graphic>
              <a:graphicData uri="http://schemas.openxmlformats.org/drawingml/2006/picture">
                <pic:pic>
                  <pic:nvPicPr>
                    <pic:cNvPr descr="Untitled Diagram.png" id="0" name="image8.png"/>
                    <pic:cNvPicPr preferRelativeResize="0"/>
                  </pic:nvPicPr>
                  <pic:blipFill>
                    <a:blip r:embed="rId6"/>
                    <a:srcRect b="0" l="0" r="0" t="0"/>
                    <a:stretch>
                      <a:fillRect/>
                    </a:stretch>
                  </pic:blipFill>
                  <pic:spPr>
                    <a:xfrm>
                      <a:off x="0" y="0"/>
                      <a:ext cx="4038600"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Stored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BOE variables:</w:t>
      </w:r>
    </w:p>
    <w:p w:rsidR="00000000" w:rsidDel="00000000" w:rsidP="00000000" w:rsidRDefault="00000000" w:rsidRPr="00000000">
      <w:pPr>
        <w:contextualSpacing w:val="0"/>
        <w:rPr/>
      </w:pPr>
      <w:r w:rsidDel="00000000" w:rsidR="00000000" w:rsidRPr="00000000">
        <w:rPr>
          <w:rtl w:val="0"/>
        </w:rPr>
        <w:t xml:space="preserve">Annual Requirement: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Last Name, First Name, Middle Name, Cert. No., County Code, County Name, Temporary Cert. Date, Perm. Cert. Date, ADV Cert. Date, Current Status, Status, Cert. Type, Fiscal Year, Earned Hours, Required Hours, Current year Balance, Prior year balance, Carry to year 1, Carry to year 2, Carry to year 3, Carry forward total </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County Code, County Name, Certification No., Last Name, First Name, Middle Name, Fiscal Year, End Date, Course, Location, Grade, Hours Earned</w:t>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County Code, County Name, Fiscal Year, Last Name, First Name, Middle Name, Cert. No., Auditor, Carry Forward, Certificate Type</w:t>
      </w:r>
    </w:p>
    <w:p w:rsidR="00000000" w:rsidDel="00000000" w:rsidP="00000000" w:rsidRDefault="00000000" w:rsidRPr="00000000">
      <w:pPr>
        <w:contextualSpacing w:val="0"/>
        <w:rPr/>
      </w:pPr>
      <w:r w:rsidDel="00000000" w:rsidR="00000000" w:rsidRPr="00000000">
        <w:rPr>
          <w:rtl w:val="0"/>
        </w:rPr>
        <w:t xml:space="preserve">LAC variables: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19775" cy="1819275"/>
            <wp:effectExtent b="0" l="0" r="0" t="0"/>
            <wp:docPr id="1" name="image4.png"/>
            <a:graphic>
              <a:graphicData uri="http://schemas.openxmlformats.org/drawingml/2006/picture">
                <pic:pic>
                  <pic:nvPicPr>
                    <pic:cNvPr id="0" name="image4.png"/>
                    <pic:cNvPicPr preferRelativeResize="0"/>
                  </pic:nvPicPr>
                  <pic:blipFill>
                    <a:blip r:embed="rId7"/>
                    <a:srcRect b="45738" l="2083" r="0" t="0"/>
                    <a:stretch>
                      <a:fillRect/>
                    </a:stretch>
                  </pic:blipFill>
                  <pic:spPr>
                    <a:xfrm>
                      <a:off x="0" y="0"/>
                      <a:ext cx="5819775"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36564" cy="15192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36564"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PDF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409950"/>
            <wp:effectExtent b="12700" l="12700" r="12700" t="12700"/>
            <wp:docPr id="2" name="image6.png"/>
            <a:graphic>
              <a:graphicData uri="http://schemas.openxmlformats.org/drawingml/2006/picture">
                <pic:pic>
                  <pic:nvPicPr>
                    <pic:cNvPr id="0" name="image6.png"/>
                    <pic:cNvPicPr preferRelativeResize="0"/>
                  </pic:nvPicPr>
                  <pic:blipFill>
                    <a:blip r:embed="rId9"/>
                    <a:srcRect b="23504" l="0" r="0" t="0"/>
                    <a:stretch>
                      <a:fillRect/>
                    </a:stretch>
                  </pic:blipFill>
                  <pic:spPr>
                    <a:xfrm>
                      <a:off x="0" y="0"/>
                      <a:ext cx="5943600" cy="3409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Extendibility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Other employees (without certification number)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Variables from LA county Assessor's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Normalization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Database normalization, or simply normalization, is the process of organizing the columns (attributes) and tables (relations) of a relational database to reduce data redundancy and improve data integrity. Normalization is also the process of simplifying the design of a database so that it achieves the optimal structure. It was first proposed by Edgar F. Codd, as an integral part of a relational model. (Wikipedia)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Edge cases/possible problems with data and Validation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Bad Data (Typographical Errors)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Duplication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Input Field Standardization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Employee ID doesn’t match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UI Functionality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Self-Reporting/Updating information such as classes, personal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How to migrate existing data into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Third party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Write a script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Frontend to backend connection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Arial Unicode MS" w:cs="Arial Unicode MS" w:eastAsia="Arial Unicode MS" w:hAnsi="Arial Unicode MS"/>
          <w:rtl w:val="0"/>
        </w:rPr>
        <w:t xml:space="preserve">Monthly updated BOE data → Our SQL server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Keep master copy, data validation, migrate BOE → SQL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Scrap local SQL copy every time then create new data from BOE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Data normalization, we need to analyze database first before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hyperlink" Target="http://www.bullzip.com/products/a2s/info.php" TargetMode="Externa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