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Step 1: Defining the client’s requirements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Our clients’ needs can range from testing the suitability of the proposed software to sharing knowledge within the client’s organisation. The proof of concept accordingly aimed to deliver three scenarios: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Embed transforms within near real-time message handling, particularly WITSML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Data migration converting to LAS files to and from the client’s PPDM-based system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Data migration converting to DLIS files to and from the client’s PPDM-based system.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Step 2: Defining the client’s input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In any project, we clearly define the requirements from the client before starting work.  In this example, the items required before the proof of concept began included: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Business rules to define the required mappings, such as details of field mappings, lookups and error handling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Samples of the data to be extracted, such as well header and log curve data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Any relevant information about the source and target models, such as local choices in the use of PPDM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Sample files in the required format, including LAS 2.0 and 3.0.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Step 3: Action planning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Our action plan followed a similar path to our previous proofs of concept.  It was followed through to implementation and included: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A review of the information received from the client: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Each source and target data model, including format, connection options and sample data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Validation rules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Mapping rules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Design of the workflow of the data through the integration process: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Document flow of data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Document the decisions made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Design the integration for implementation within our Transformation Manager software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Implement the integration within Transformation Manager, including testing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Demonstrate the results to the client (see Step 4 for more details)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Describe the process and usage of Transformation Manager to the user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Create a report describing the concepts, outcome and potential usage within future projects.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  <w:color w:val="444444"/>
        </w:rPr>
      </w:pPr>
      <w:r w:rsidDel="00000000" w:rsidR="00000000" w:rsidRPr="00000000">
        <w:rPr>
          <w:b w:val="1"/>
          <w:color w:val="444444"/>
          <w:rtl w:val="0"/>
        </w:rPr>
        <w:t xml:space="preserve">Step 4: Proof of concept delivery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In the petroleum data management example mentioned above, our team delivered: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A final, tested, Transformation Manager deployment pack which delivered the data transformation to the client’s specification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A licensed version of Transformation Manager for internal evaluation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A proof of concept report as described above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Knowledge transfer to the client, including the use of Transformation Manager, a review of its capabilities and an overview methodology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sz w:val="22"/>
          <w:szCs w:val="22"/>
        </w:rPr>
      </w:pPr>
      <w:r w:rsidDel="00000000" w:rsidR="00000000" w:rsidRPr="00000000">
        <w:rPr>
          <w:color w:val="444444"/>
          <w:rtl w:val="0"/>
        </w:rPr>
        <w:t xml:space="preserve">A presentation and demo showing key processes, outcomes and future options.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color w:val="444444"/>
        </w:rPr>
      </w:pPr>
      <w:r w:rsidDel="00000000" w:rsidR="00000000" w:rsidRPr="00000000">
        <w:rPr>
          <w:color w:val="444444"/>
          <w:rtl w:val="0"/>
        </w:rPr>
        <w:t xml:space="preserve">The result was a software component which can efficiently deploy the client’s data to a range of the most popular petroleum data management file formats.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4444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444444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