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Agilent 3322OA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1.7MHz -&gt; -14dBm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3.4MHz -&gt; -66dBm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El resto 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GW instek gfg 8219A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1.7MHz -&gt; -14.4dBm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3.4MHz -&gt; -50.4dBm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5.1MHz -&gt; -42.8dBm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6.8MHz -&gt; 64.4dBm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8.5MHz -&gt; -62.4dBm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10.2MHz -&gt; -76.4dBm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11.9MHz -&gt; -66dBm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13.6MHz -&gt; -77dBm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15.3MHz -&gt; -66.6dBm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17MHz -&gt; -77dBm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18.7MHz -&gt; -69dBm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GW gfg 8019G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