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4000" w:hRule="exact"/>
        </w:trPr>
        <w:tc>
          <w:tcPr>
            <w:shd w:fill="0F172A" w:val="clear"/>
            <w:vAlign w:val="top"/>
          </w:tcPr>
          <w:p>
            <w:pPr>
              <w:spacing w:after="0" w:before="1200"/>
              <w:jc w:val="center"/>
            </w:pPr>
            <w:r>
              <w:rPr>
                <w:rFonts w:ascii="Calibri" w:eastAsia="SimHei"/>
                <w:b/>
                <w:bCs/>
                <w:color w:val="FFFFFF"/>
                <w:sz w:val="36"/>
                <w:szCs w:val="36"/>
              </w:rPr>
              <w:t xml:space="preserve">DJEZZY NATIONAL SOC PLATFORM</w:t>
            </w:r>
          </w:p>
          <w:p>
            <w:pPr>
              <w:spacing w:after="0" w:before="300"/>
              <w:jc w:val="center"/>
            </w:pPr>
            <w:r>
              <w:rPr>
                <w:rFonts w:ascii="Calibri" w:eastAsia="SimHei"/>
                <w:color w:val="94A3B8"/>
                <w:sz w:val="32"/>
                <w:szCs w:val="32"/>
              </w:rPr>
              <w:t xml:space="preserve">Phase 11: Enterprise Production Roadmap</w:t>
            </w:r>
          </w:p>
          <w:p>
            <w:pPr>
              <w:spacing w:after="0" w:before="200"/>
              <w:jc w:val="center"/>
            </w:pPr>
            <w:r>
              <w:rPr>
                <w:rFonts w:ascii="Calibri" w:eastAsia="SimHei"/>
                <w:color w:val="3B82F6"/>
                <w:sz w:val="26"/>
                <w:szCs w:val="26"/>
              </w:rPr>
              <w:t xml:space="preserve">Full Open Security Tools Integration &amp; Production Readiness</w:t>
            </w:r>
          </w:p>
        </w:tc>
      </w:tr>
      <w:tr>
        <w:trPr>
          <w:trHeight w:val="11838" w:hRule="exact"/>
        </w:trPr>
        <w:tc>
          <w:tcPr>
            <w:shd w:fill="FFFFFF" w:val="clear"/>
            <w:vAlign w:val="top"/>
          </w:tcPr>
          <w:p>
            <w:pPr>
              <w:spacing w:after="200" w:before="800"/>
              <w:jc w:val="center"/>
            </w:pPr>
            <w:r>
              <w:rPr>
                <w:rFonts w:ascii="Calibri" w:eastAsia="SimHei"/>
                <w:b/>
                <w:bCs/>
                <w:color w:val="0B1220"/>
                <w:sz w:val="44"/>
                <w:szCs w:val="44"/>
              </w:rPr>
              <w:t xml:space="preserve">Enterprise-Grade Security Operations Center</w:t>
            </w:r>
          </w:p>
          <w:p>
            <w:pPr>
              <w:spacing w:after="100" w:before="100"/>
              <w:jc w:val="center"/>
            </w:pPr>
            <w:r>
              <w:rPr>
                <w:rFonts w:ascii="Calibri" w:eastAsia="SimHei"/>
                <w:color w:val="5B6B7D"/>
                <w:sz w:val="28"/>
                <w:szCs w:val="28"/>
              </w:rPr>
              <w:t xml:space="preserve">for Algerian Telecommunications Operator</w:t>
            </w:r>
          </w:p>
          <w:p>
            <w:pPr>
              <w:spacing w:after="200" w:before="600"/>
              <w:jc w:val="center"/>
            </w:pPr>
            <w:r>
              <w:rPr>
                <w:rFonts w:ascii="Times New Roman" w:eastAsia="SimSun"/>
                <w:color w:val="1C2A3D"/>
                <w:sz w:val="22"/>
                <w:szCs w:val="22"/>
              </w:rPr>
              <w:t xml:space="preserve">Open-Source Cybersecurity Tools Integration | Heavy-Load Database Schema</w:t>
            </w:r>
          </w:p>
          <w:p>
            <w:pPr>
              <w:jc w:val="center"/>
            </w:pPr>
            <w:r>
              <w:rPr>
                <w:rFonts w:ascii="Times New Roman" w:eastAsia="SimSun"/>
                <w:color w:val="1C2A3D"/>
                <w:sz w:val="22"/>
                <w:szCs w:val="22"/>
              </w:rPr>
              <w:t xml:space="preserve">Telco-Scale Architecture (15M+ Subscribers | 1M+ Events/Hour)</w:t>
            </w:r>
          </w:p>
          <w:p>
            <w:pPr>
              <w:spacing w:after="0" w:before="1500"/>
              <w:jc w:val="center"/>
            </w:pPr>
            <w:r>
              <w:rPr>
                <w:rFonts w:ascii="Times New Roman" w:eastAsia="SimSun"/>
                <w:color w:val="5B6B7D"/>
                <w:sz w:val="20"/>
                <w:szCs w:val="20"/>
              </w:rPr>
              <w:t xml:space="preserve">Version 1.0 | Confidential</w:t>
            </w:r>
          </w:p>
        </w:tc>
      </w:tr>
    </w:tbl>
    <w:p>
      <w:pPr>
        <w:sectPr>
          <w:pgSz w:w="11906" w:h="16838" w:orient="portrait"/>
          <w:pgMar w:top="0" w:right="0" w:bottom="0" w:left="0" w:header="708" w:footer="708" w:gutter="0"/>
          <w:pgNumType/>
          <w:docGrid w:linePitch="360"/>
        </w:sectPr>
      </w:pPr>
    </w:p>
    <w:p>
      <w:pPr>
        <w:pStyle w:val="Heading1"/>
      </w:pPr>
      <w:bookmarkStart w:id="100000" w:name="_Toc100000"/>
      <w:r>
        <w:rPr>
          <w:b/>
          <w:bCs/>
        </w:rPr>
        <w:t xml:space="preserve">Table of Contents</w:t>
      </w:r>
      <w:bookmarkEnd w:id="100000"/>
    </w:p>
    <w:sdt>
      <w:sdtPr>
        <w:alias w:val="Table of Contents"/>
      </w:sdtPr>
      <w:sdtContent>
        <w:p>
          <w:r>
            <w:fldChar w:fldCharType="begin" w:dirty="true"/>
          </w:r>
          <w:r>
            <w:instrText xml:space="preserve">TOC</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Open Security Tools Integration Architecture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2.1 SIEM Platform Integration (Wazuh / ELK Stack)</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2.2 Endpoint Detection &amp; Response (Wazuh + GRR + Osquery)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2.3 Security Orchestration &amp; Automation (TheHive + Cortex)</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2.4 Threat Intelligence Platform (MISP + OpenCTI)</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2.5 Network Security Monitoring (Suricata + Zeek + Arkime)</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2.6 Vulnerability Management (OpenVAS + DefectDojo)</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3. Enterprise Database Schema for Heavy Load</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3.1 Core Relational Schema (PostgreSQL 16)</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3.2 Time-Series Data Optimization (TimescaleDB)</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3.3 Connection Pooling Architecture (PgBouncer)</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3.4 Read Replica Strategy for Query Distribution</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4. Backend API Implementation Plan</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4.1 API Gateway &amp; Service Mesh</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4.2 Core API Endpoint Specifications</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4.3 Authentication &amp; Authorization Framework</w:t>
            </w:r>
            <w:r>
              <w:tab/>
            </w:r>
            <w:r>
              <w:fldChar w:fldCharType="begin"/>
            </w:r>
            <w:r>
              <w:instrText xml:space="preserve"> PAGEREF _Toc100017 \h </w:instrText>
            </w:r>
            <w:r>
              <w:fldChar w:fldCharType="separate"/>
            </w:r>
            <w:r>
              <w:t>10</w:t>
            </w:r>
            <w:r>
              <w:fldChar w:fldCharType="end"/>
            </w:r>
          </w:hyperlink>
        </w:p>
        <w:p>
          <w:pPr>
            <w:pStyle w:val="9"/>
            <w:tabs>
              <w:tab w:val="right" w:leader="dot" w:pos="9026"/>
            </w:tabs>
            <w:spacing w:before="120" w:after="60"/>
          </w:pPr>
          <w:hyperlink w:anchor="_Toc100018" w:history="1">
            <w:r>
              <w:rPr>
                <w:rStyle w:val="Hyperlink"/>
              </w:rPr>
              <w:t>5. Real Integration Architecture</w:t>
            </w:r>
            <w:r>
              <w:tab/>
            </w:r>
            <w:r>
              <w:fldChar w:fldCharType="begin"/>
            </w:r>
            <w:r>
              <w:instrText xml:space="preserve"> PAGEREF _Toc100018 \h </w:instrText>
            </w:r>
            <w:r>
              <w:fldChar w:fldCharType="separate"/>
            </w:r>
            <w:r>
              <w:t>10</w:t>
            </w:r>
            <w:r>
              <w:fldChar w:fldCharType="end"/>
            </w:r>
          </w:hyperlink>
        </w:p>
        <w:p>
          <w:pPr>
            <w:pStyle w:val="9"/>
            <w:tabs>
              <w:tab w:val="right" w:leader="dot" w:pos="9026"/>
            </w:tabs>
            <w:spacing w:before="120" w:after="60"/>
          </w:pPr>
          <w:hyperlink w:anchor="_Toc100019" w:history="1">
            <w:r>
              <w:rPr>
                <w:rStyle w:val="Hyperlink"/>
              </w:rPr>
              <w:t>5.1 Apache Kafka Event Streaming Backbone</w:t>
            </w:r>
            <w:r>
              <w:tab/>
            </w:r>
            <w:r>
              <w:fldChar w:fldCharType="begin"/>
            </w:r>
            <w:r>
              <w:instrText xml:space="preserve"> PAGEREF _Toc100019 \h </w:instrText>
            </w:r>
            <w:r>
              <w:fldChar w:fldCharType="separate"/>
            </w:r>
            <w:r>
              <w:t>11</w:t>
            </w:r>
            <w:r>
              <w:fldChar w:fldCharType="end"/>
            </w:r>
          </w:hyperlink>
        </w:p>
        <w:p>
          <w:pPr>
            <w:pStyle w:val="9"/>
            <w:tabs>
              <w:tab w:val="right" w:leader="dot" w:pos="9026"/>
            </w:tabs>
            <w:spacing w:before="120" w:after="60"/>
          </w:pPr>
          <w:hyperlink w:anchor="_Toc100020" w:history="1">
            <w:r>
              <w:rPr>
                <w:rStyle w:val="Hyperlink"/>
              </w:rPr>
              <w:t>5.2 BSS/OSS System Integration Connectors</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5.3 External Threat Feed Integration</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6. Performance Optimization Strategy</w:t>
            </w:r>
            <w:r>
              <w:tab/>
            </w:r>
            <w:r>
              <w:fldChar w:fldCharType="begin"/>
            </w:r>
            <w:r>
              <w:instrText xml:space="preserve"> PAGEREF _Toc100022 \h </w:instrText>
            </w:r>
            <w:r>
              <w:fldChar w:fldCharType="separate"/>
            </w:r>
            <w:r>
              <w:t>12</w:t>
            </w:r>
            <w:r>
              <w:fldChar w:fldCharType="end"/>
            </w:r>
          </w:hyperlink>
        </w:p>
        <w:p>
          <w:pPr>
            <w:pStyle w:val="9"/>
            <w:tabs>
              <w:tab w:val="right" w:leader="dot" w:pos="9026"/>
            </w:tabs>
            <w:spacing w:before="120" w:after="60"/>
          </w:pPr>
          <w:hyperlink w:anchor="_Toc100023" w:history="1">
            <w:r>
              <w:rPr>
                <w:rStyle w:val="Hyperlink"/>
              </w:rPr>
              <w:t>6.1 Multi-Layer Caching Architecture</w:t>
            </w:r>
            <w:r>
              <w:tab/>
            </w:r>
            <w:r>
              <w:fldChar w:fldCharType="begin"/>
            </w:r>
            <w:r>
              <w:instrText xml:space="preserve"> PAGEREF _Toc100023 \h </w:instrText>
            </w:r>
            <w:r>
              <w:fldChar w:fldCharType="separate"/>
            </w:r>
            <w:r>
              <w:t>12</w:t>
            </w:r>
            <w:r>
              <w:fldChar w:fldCharType="end"/>
            </w:r>
          </w:hyperlink>
        </w:p>
        <w:p>
          <w:pPr>
            <w:pStyle w:val="9"/>
            <w:tabs>
              <w:tab w:val="right" w:leader="dot" w:pos="9026"/>
            </w:tabs>
            <w:spacing w:before="120" w:after="60"/>
          </w:pPr>
          <w:hyperlink w:anchor="_Toc100024" w:history="1">
            <w:r>
              <w:rPr>
                <w:rStyle w:val="Hyperlink"/>
              </w:rPr>
              <w:t>6.2 Database Query Optimization</w:t>
            </w:r>
            <w:r>
              <w:tab/>
            </w:r>
            <w:r>
              <w:fldChar w:fldCharType="begin"/>
            </w:r>
            <w:r>
              <w:instrText xml:space="preserve"> PAGEREF _Toc100024 \h </w:instrText>
            </w:r>
            <w:r>
              <w:fldChar w:fldCharType="separate"/>
            </w:r>
            <w:r>
              <w:t>12</w:t>
            </w:r>
            <w:r>
              <w:fldChar w:fldCharType="end"/>
            </w:r>
          </w:hyperlink>
        </w:p>
        <w:p>
          <w:pPr>
            <w:pStyle w:val="9"/>
            <w:tabs>
              <w:tab w:val="right" w:leader="dot" w:pos="9026"/>
            </w:tabs>
            <w:spacing w:before="120" w:after="60"/>
          </w:pPr>
          <w:hyperlink w:anchor="_Toc100025" w:history="1">
            <w:r>
              <w:rPr>
                <w:rStyle w:val="Hyperlink"/>
              </w:rPr>
              <w:t>6.3 Frontend Rendering Optimization</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7. Security Hardening &amp; Compliance</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7.1 Network Segmentation &amp; Zero Trust</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7.2 Data Protection &amp; Encryption</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7.3 Audit Logging &amp; Compliance</w:t>
            </w:r>
            <w:r>
              <w:tab/>
            </w:r>
            <w:r>
              <w:fldChar w:fldCharType="begin"/>
            </w:r>
            <w:r>
              <w:instrText xml:space="preserve"> PAGEREF _Toc100029 \h </w:instrText>
            </w:r>
            <w:r>
              <w:fldChar w:fldCharType="separate"/>
            </w:r>
            <w:r>
              <w:t>14</w:t>
            </w:r>
            <w:r>
              <w:fldChar w:fldCharType="end"/>
            </w:r>
          </w:hyperlink>
        </w:p>
        <w:p>
          <w:pPr>
            <w:pStyle w:val="9"/>
            <w:tabs>
              <w:tab w:val="right" w:leader="dot" w:pos="9026"/>
            </w:tabs>
            <w:spacing w:before="120" w:after="60"/>
          </w:pPr>
          <w:hyperlink w:anchor="_Toc100030" w:history="1">
            <w:r>
              <w:rPr>
                <w:rStyle w:val="Hyperlink"/>
              </w:rPr>
              <w:t>8. Implementation Timeline &amp; Milestones</w:t>
            </w:r>
            <w:r>
              <w:tab/>
            </w:r>
            <w:r>
              <w:fldChar w:fldCharType="begin"/>
            </w:r>
            <w:r>
              <w:instrText xml:space="preserve"> PAGEREF _Toc100030 \h </w:instrText>
            </w:r>
            <w:r>
              <w:fldChar w:fldCharType="separate"/>
            </w:r>
            <w:r>
              <w:t>15</w:t>
            </w:r>
            <w:r>
              <w:fldChar w:fldCharType="end"/>
            </w:r>
          </w:hyperlink>
        </w:p>
        <w:p>
          <w:pPr>
            <w:pStyle w:val="9"/>
            <w:tabs>
              <w:tab w:val="right" w:leader="dot" w:pos="9026"/>
            </w:tabs>
            <w:spacing w:before="120" w:after="60"/>
          </w:pPr>
          <w:hyperlink w:anchor="_Toc100031" w:history="1">
            <w:r>
              <w:rPr>
                <w:rStyle w:val="Hyperlink"/>
              </w:rPr>
              <w:t>8.1 Phase 11.1: Core Infrastructure Foundation (Months 1-3)</w:t>
            </w:r>
            <w:r>
              <w:tab/>
            </w:r>
            <w:r>
              <w:fldChar w:fldCharType="begin"/>
            </w:r>
            <w:r>
              <w:instrText xml:space="preserve"> PAGEREF _Toc100031 \h </w:instrText>
            </w:r>
            <w:r>
              <w:fldChar w:fldCharType="separate"/>
            </w:r>
            <w:r>
              <w:t>15</w:t>
            </w:r>
            <w:r>
              <w:fldChar w:fldCharType="end"/>
            </w:r>
          </w:hyperlink>
        </w:p>
        <w:p>
          <w:pPr>
            <w:pStyle w:val="9"/>
            <w:tabs>
              <w:tab w:val="right" w:leader="dot" w:pos="9026"/>
            </w:tabs>
            <w:spacing w:before="120" w:after="60"/>
          </w:pPr>
          <w:hyperlink w:anchor="_Toc100032" w:history="1">
            <w:r>
              <w:rPr>
                <w:rStyle w:val="Hyperlink"/>
              </w:rPr>
              <w:t>8.2 Phase 11.2: Security Tool Integration (Months 4-6)</w:t>
            </w:r>
            <w:r>
              <w:tab/>
            </w:r>
            <w:r>
              <w:fldChar w:fldCharType="begin"/>
            </w:r>
            <w:r>
              <w:instrText xml:space="preserve"> PAGEREF _Toc100032 \h </w:instrText>
            </w:r>
            <w:r>
              <w:fldChar w:fldCharType="separate"/>
            </w:r>
            <w:r>
              <w:t>15</w:t>
            </w:r>
            <w:r>
              <w:fldChar w:fldCharType="end"/>
            </w:r>
          </w:hyperlink>
        </w:p>
        <w:p>
          <w:pPr>
            <w:pStyle w:val="9"/>
            <w:tabs>
              <w:tab w:val="right" w:leader="dot" w:pos="9026"/>
            </w:tabs>
            <w:spacing w:before="120" w:after="60"/>
          </w:pPr>
          <w:hyperlink w:anchor="_Toc100033" w:history="1">
            <w:r>
              <w:rPr>
                <w:rStyle w:val="Hyperlink"/>
              </w:rPr>
              <w:t>8.3 Phase 11.3: Advanced Capabilities (Months 7-9)</w:t>
            </w:r>
            <w:r>
              <w:tab/>
            </w:r>
            <w:r>
              <w:fldChar w:fldCharType="begin"/>
            </w:r>
            <w:r>
              <w:instrText xml:space="preserve"> PAGEREF _Toc100033 \h </w:instrText>
            </w:r>
            <w:r>
              <w:fldChar w:fldCharType="separate"/>
            </w:r>
            <w:r>
              <w:t>16</w:t>
            </w:r>
            <w:r>
              <w:fldChar w:fldCharType="end"/>
            </w:r>
          </w:hyperlink>
        </w:p>
        <w:p>
          <w:pPr>
            <w:pStyle w:val="9"/>
            <w:tabs>
              <w:tab w:val="right" w:leader="dot" w:pos="9026"/>
            </w:tabs>
            <w:spacing w:before="120" w:after="60"/>
          </w:pPr>
          <w:hyperlink w:anchor="_Toc100034" w:history="1">
            <w:r>
              <w:rPr>
                <w:rStyle w:val="Hyperlink"/>
              </w:rPr>
              <w:t>8.4 Phase 11.4: Optimization &amp; Production Cutover (Months 10-12)</w:t>
            </w:r>
            <w:r>
              <w:tab/>
            </w:r>
            <w:r>
              <w:fldChar w:fldCharType="begin"/>
            </w:r>
            <w:r>
              <w:instrText xml:space="preserve"> PAGEREF _Toc100034 \h </w:instrText>
            </w:r>
            <w:r>
              <w:fldChar w:fldCharType="separate"/>
            </w:r>
            <w:r>
              <w:t>16</w:t>
            </w:r>
            <w:r>
              <w:fldChar w:fldCharType="end"/>
            </w:r>
          </w:hyperlink>
        </w:p>
        <w:p>
          <w:pPr>
            <w:pStyle w:val="9"/>
            <w:tabs>
              <w:tab w:val="right" w:leader="dot" w:pos="9026"/>
            </w:tabs>
            <w:spacing w:before="120" w:after="60"/>
          </w:pPr>
          <w:hyperlink w:anchor="_Toc100035" w:history="1">
            <w:r>
              <w:rPr>
                <w:rStyle w:val="Hyperlink"/>
              </w:rPr>
              <w:t>9. Success Criteria &amp; Acceptance Criteria</w:t>
            </w:r>
            <w:r>
              <w:tab/>
            </w:r>
            <w:r>
              <w:fldChar w:fldCharType="begin"/>
            </w:r>
            <w:r>
              <w:instrText xml:space="preserve"> PAGEREF _Toc100035 \h </w:instrText>
            </w:r>
            <w:r>
              <w:fldChar w:fldCharType="separate"/>
            </w:r>
            <w:r>
              <w:t>17</w:t>
            </w:r>
            <w:r>
              <w:fldChar w:fldCharType="end"/>
            </w:r>
          </w:hyperlink>
        </w:p>
        <w:p>
          <w:pPr>
            <w:pStyle w:val="9"/>
            <w:tabs>
              <w:tab w:val="right" w:leader="dot" w:pos="9026"/>
            </w:tabs>
            <w:spacing w:before="120" w:after="60"/>
          </w:pPr>
          <w:hyperlink w:anchor="_Toc100036" w:history="1">
            <w:r>
              <w:rPr>
                <w:rStyle w:val="Hyperlink"/>
              </w:rPr>
              <w:t>10. Conclusion &amp; Next Steps</w:t>
            </w:r>
            <w:r>
              <w:tab/>
            </w:r>
            <w:r>
              <w:fldChar w:fldCharType="begin"/>
            </w:r>
            <w:r>
              <w:instrText xml:space="preserve"> PAGEREF _Toc100036 \h </w:instrText>
            </w:r>
            <w:r>
              <w:fldChar w:fldCharType="separate"/>
            </w:r>
            <w:r>
              <w:t>17</w:t>
            </w:r>
            <w:r>
              <w:fldChar w:fldCharType="end"/>
            </w:r>
          </w:hyperlink>
        </w:p>
        <w:p>
          <w:r>
            <w:fldChar w:fldCharType="end"/>
          </w:r>
        </w:p>
      </w:sdtContent>
    </w:sdt>
    <w:p>
      <w:pPr>
        <w:spacing w:before="200"/>
      </w:pPr>
      <w:r>
        <w:r>
          <w:br w:type="page"/>
        </w:r>
      </w:r>
    </w:p>
    <w:p>
      <w:pPr>
        <w:pStyle w:val="Heading1"/>
        <w:spacing w:after="120" w:before="360" w:line="312"/>
      </w:pPr>
      <w:bookmarkStart w:id="100001" w:name="_Toc100001"/>
      <w:r>
        <w:rPr>
          <w:rFonts w:ascii="Calibri" w:eastAsia="SimHei"/>
          <w:b/>
          <w:bCs/>
          <w:color w:val="0B1220"/>
          <w:sz w:val="32"/>
          <w:szCs w:val="32"/>
        </w:rPr>
        <w:t xml:space="preserve">1. Executive Summary</w:t>
      </w:r>
      <w:bookmarkEnd w:id="100001"/>
    </w:p>
    <w:p>
      <w:pPr>
        <w:spacing w:line="312"/>
        <w:ind w:firstLine="480"/>
        <w:jc w:val="both"/>
      </w:pPr>
      <w:r>
        <w:rPr>
          <w:rFonts w:ascii="Times New Roman" w:eastAsia="SimSun"/>
          <w:color w:val="1C2A3D"/>
          <w:sz w:val="24"/>
          <w:szCs w:val="24"/>
        </w:rPr>
        <w:t xml:space="preserve">This Phase 11 Enterprise Production Roadmap defines the comprehensive strategy for transforming the Djezzy National SOC Platform from a development prototype into a fully operational, production-ready Security Operations Center capable of supporting real-world telecommunications operations at national scale. The roadmap addresses three critical dimensions of enterprise readiness: complete integration of industry-standard open-source cybersecurity tools, database architecture optimized for telco-grade workloads, and production-hardened infrastructure designed for 24/7 mission-critical operations.</w:t>
      </w:r>
    </w:p>
    <w:p>
      <w:pPr>
        <w:spacing w:line="312"/>
        <w:ind w:firstLine="480"/>
        <w:jc w:val="both"/>
      </w:pPr>
      <w:r>
        <w:rPr>
          <w:rFonts w:ascii="Times New Roman" w:eastAsia="SimSun"/>
          <w:color w:val="1C2A3D"/>
          <w:sz w:val="24"/>
          <w:szCs w:val="24"/>
        </w:rPr>
        <w:t xml:space="preserve">The Algerian telecommunications market presents unique challenges that demand specialized security capabilities. With approximately 15 million mobile subscribers and network infrastructure spanning thousands of cell towers, data centers, and interconnection points across the country, the SOC platform must process millions of security events per hour while maintaining sub-second response times for critical alerts. This roadmap provides the technical blueprint for achieving these requirements through strategic integration of proven open-source security tools and enterprise-grade architectural patterns.</w:t>
      </w:r>
    </w:p>
    <w:p>
      <w:pPr>
        <w:spacing w:line="312"/>
        <w:ind w:firstLine="480"/>
        <w:jc w:val="both"/>
      </w:pPr>
      <w:r>
        <w:rPr>
          <w:rFonts w:ascii="Times New Roman" w:eastAsia="SimSun"/>
          <w:color w:val="1C2A3D"/>
          <w:sz w:val="24"/>
          <w:szCs w:val="24"/>
        </w:rPr>
        <w:t xml:space="preserve">The implementation strategy prioritizes operational continuity during the transition period, ensuring that existing security monitoring capabilities remain functional while new systems are deployed incrementally. Each integration phase includes comprehensive testing protocols, rollback procedures, and performance validation criteria to minimize risk during the production migration. The total estimated timeline for full enterprise deployment spans approximately 12 months, organized into four major milestones with clear deliverables and acceptance criteria.</w:t>
      </w:r>
    </w:p>
    <w:p>
      <w:pPr>
        <w:spacing w:after="150" w:before="300"/>
      </w:pPr>
      <w:r>
        <w:rPr>
          <w:b/>
          <w:bCs/>
          <w:color w:val="0B1220"/>
          <w:sz w:val="24"/>
          <w:szCs w:val="24"/>
        </w:rPr>
        <w:t xml:space="preserve">Key Strategic Objectives:</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tblGrid>
      <w:tr>
        <w:trPr>
          <w:cantSplit/>
          <w:tblHeader/>
        </w:trPr>
        <w:tc>
          <w:tcPr>
            <w:tcW w:type="pct" w:w="4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Objective</w:t>
            </w:r>
          </w:p>
        </w:tc>
        <w:tc>
          <w:tcPr>
            <w:tcW w:type="pct" w:w="3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Target Metric</w:t>
            </w:r>
          </w:p>
        </w:tc>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Priority</w:t>
            </w:r>
          </w:p>
        </w:tc>
      </w:tr>
      <w:tr>
        <w:trPr>
          <w:cantSplit/>
        </w:trPr>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Full Open-Source Tool Integration</w:t>
            </w:r>
          </w:p>
        </w:tc>
        <w:tc>
          <w:tcPr>
            <w:tcW w:type="pct" w:w="35%"/>
            <w:shd w:fill="F1F5F9" w:val="clear"/>
            <w:tcMar>
              <w:top w:type="dxa" w:w="60"/>
              <w:left w:type="dxa" w:w="100"/>
              <w:bottom w:type="dxa" w:w="60"/>
              <w:right w:type="dxa" w:w="100"/>
            </w:tcMar>
          </w:tcPr>
          <w:p>
            <w:r>
              <w:rPr>
                <w:rFonts w:ascii="Times New Roman" w:eastAsia="SimSun"/>
                <w:color w:val="1C2A3D"/>
                <w:sz w:val="21"/>
                <w:szCs w:val="21"/>
              </w:rPr>
              <w:t xml:space="preserve">10+ security platforms integrated</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Critical</w:t>
            </w:r>
          </w:p>
        </w:tc>
      </w:tr>
      <w:tr>
        <w:trPr>
          <w:cantSplit/>
        </w:trPr>
        <w:tc>
          <w:tcPr>
            <w:tcW w:type="pct" w:w="40%"/>
            <w:shd w:fill="FFFFFF" w:val="clear"/>
            <w:tcMar>
              <w:top w:type="dxa" w:w="60"/>
              <w:left w:type="dxa" w:w="100"/>
              <w:bottom w:type="dxa" w:w="60"/>
              <w:right w:type="dxa" w:w="100"/>
            </w:tcMar>
          </w:tcPr>
          <w:p>
            <w:r>
              <w:rPr>
                <w:rFonts w:ascii="Times New Roman" w:eastAsia="SimSun"/>
                <w:color w:val="1C2A3D"/>
                <w:sz w:val="21"/>
                <w:szCs w:val="21"/>
              </w:rPr>
              <w:t xml:space="preserve">Database Scalability</w:t>
            </w:r>
          </w:p>
        </w:tc>
        <w:tc>
          <w:tcPr>
            <w:tcW w:type="pct" w:w="35%"/>
            <w:shd w:fill="FFFFFF" w:val="clear"/>
            <w:tcMar>
              <w:top w:type="dxa" w:w="60"/>
              <w:left w:type="dxa" w:w="100"/>
              <w:bottom w:type="dxa" w:w="60"/>
              <w:right w:type="dxa" w:w="100"/>
            </w:tcMar>
          </w:tcPr>
          <w:p>
            <w:r>
              <w:rPr>
                <w:rFonts w:ascii="Times New Roman" w:eastAsia="SimSun"/>
                <w:color w:val="1C2A3D"/>
                <w:sz w:val="21"/>
                <w:szCs w:val="21"/>
              </w:rPr>
              <w:t xml:space="preserve">1M+ events/hour ingestion capacity</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Critical</w:t>
            </w:r>
          </w:p>
        </w:tc>
      </w:tr>
      <w:tr>
        <w:trPr>
          <w:cantSplit/>
        </w:trPr>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API Backend Implementation</w:t>
            </w:r>
          </w:p>
        </w:tc>
        <w:tc>
          <w:tcPr>
            <w:tcW w:type="pct" w:w="35%"/>
            <w:shd w:fill="F1F5F9" w:val="clear"/>
            <w:tcMar>
              <w:top w:type="dxa" w:w="60"/>
              <w:left w:type="dxa" w:w="100"/>
              <w:bottom w:type="dxa" w:w="60"/>
              <w:right w:type="dxa" w:w="100"/>
            </w:tcMar>
          </w:tcPr>
          <w:p>
            <w:r>
              <w:rPr>
                <w:rFonts w:ascii="Times New Roman" w:eastAsia="SimSun"/>
                <w:color w:val="1C2A3D"/>
                <w:sz w:val="21"/>
                <w:szCs w:val="21"/>
              </w:rPr>
              <w:t xml:space="preserve">RESTful APIs replacing all mock data</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High</w:t>
            </w:r>
          </w:p>
        </w:tc>
      </w:tr>
      <w:tr>
        <w:trPr>
          <w:cantSplit/>
        </w:trPr>
        <w:tc>
          <w:tcPr>
            <w:tcW w:type="pct" w:w="40%"/>
            <w:shd w:fill="FFFFFF" w:val="clear"/>
            <w:tcMar>
              <w:top w:type="dxa" w:w="60"/>
              <w:left w:type="dxa" w:w="100"/>
              <w:bottom w:type="dxa" w:w="60"/>
              <w:right w:type="dxa" w:w="100"/>
            </w:tcMar>
          </w:tcPr>
          <w:p>
            <w:r>
              <w:rPr>
                <w:rFonts w:ascii="Times New Roman" w:eastAsia="SimSun"/>
                <w:color w:val="1C2A3D"/>
                <w:sz w:val="21"/>
                <w:szCs w:val="21"/>
              </w:rPr>
              <w:t xml:space="preserve">Production Infrastructure</w:t>
            </w:r>
          </w:p>
        </w:tc>
        <w:tc>
          <w:tcPr>
            <w:tcW w:type="pct" w:w="35%"/>
            <w:shd w:fill="FFFFFF" w:val="clear"/>
            <w:tcMar>
              <w:top w:type="dxa" w:w="60"/>
              <w:left w:type="dxa" w:w="100"/>
              <w:bottom w:type="dxa" w:w="60"/>
              <w:right w:type="dxa" w:w="100"/>
            </w:tcMar>
          </w:tcPr>
          <w:p>
            <w:r>
              <w:rPr>
                <w:rFonts w:ascii="Times New Roman" w:eastAsia="SimSun"/>
                <w:color w:val="1C2A3D"/>
                <w:sz w:val="21"/>
                <w:szCs w:val="21"/>
              </w:rPr>
              <w:t xml:space="preserve">99.95% uptime SLA achievement</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Critical</w:t>
            </w:r>
          </w:p>
        </w:tc>
      </w:tr>
      <w:tr>
        <w:trPr>
          <w:cantSplit/>
        </w:trPr>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Security Compliance</w:t>
            </w:r>
          </w:p>
        </w:tc>
        <w:tc>
          <w:tcPr>
            <w:tcW w:type="pct" w:w="35%"/>
            <w:shd w:fill="F1F5F9" w:val="clear"/>
            <w:tcMar>
              <w:top w:type="dxa" w:w="60"/>
              <w:left w:type="dxa" w:w="100"/>
              <w:bottom w:type="dxa" w:w="60"/>
              <w:right w:type="dxa" w:w="100"/>
            </w:tcMar>
          </w:tcPr>
          <w:p>
            <w:r>
              <w:rPr>
                <w:rFonts w:ascii="Times New Roman" w:eastAsia="SimSun"/>
                <w:color w:val="1C2A3D"/>
                <w:sz w:val="21"/>
                <w:szCs w:val="21"/>
              </w:rPr>
              <w:t xml:space="preserve">ISO 27001 / NIST alignment</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High</w:t>
            </w:r>
          </w:p>
        </w:tc>
      </w:tr>
    </w:tbl>
    <w:p>
      <w:pPr>
        <w:pStyle w:val="Heading1"/>
        <w:spacing w:after="120" w:before="360" w:line="312"/>
      </w:pPr>
      <w:bookmarkStart w:id="100002" w:name="_Toc100002"/>
      <w:r>
        <w:rPr>
          <w:rFonts w:ascii="Calibri" w:eastAsia="SimHei"/>
          <w:b/>
          <w:bCs/>
          <w:color w:val="0B1220"/>
          <w:sz w:val="32"/>
          <w:szCs w:val="32"/>
        </w:rPr>
        <w:t xml:space="preserve">2. Open Security Tools Integration Architecture</w:t>
      </w:r>
      <w:bookmarkEnd w:id="100002"/>
    </w:p>
    <w:p>
      <w:pPr>
        <w:spacing w:line="312"/>
        <w:ind w:firstLine="480"/>
        <w:jc w:val="both"/>
      </w:pPr>
      <w:r>
        <w:rPr>
          <w:rFonts w:ascii="Times New Roman" w:eastAsia="SimSun"/>
          <w:color w:val="1C2A3D"/>
          <w:sz w:val="24"/>
          <w:szCs w:val="24"/>
        </w:rPr>
        <w:t xml:space="preserve">The foundation of an effective Security Operations Center lies in the seamless integration of specialized cybersecurity tools, each addressing specific domains of the threat detection and response lifecycle. This section details the comprehensive integration architecture that brings together best-of-breed open-source security platforms into a unified operational framework. The selected tool stack represents the culmination of extensive evaluation against criteria including feature completeness, community support, scalability characteristics, and compatibility with existing Djezzy infrastructure.</w:t>
      </w:r>
    </w:p>
    <w:p>
      <w:pPr>
        <w:spacing w:line="312"/>
        <w:ind w:firstLine="480"/>
        <w:jc w:val="both"/>
      </w:pPr>
      <w:r>
        <w:rPr>
          <w:rFonts w:ascii="Times New Roman" w:eastAsia="SimSun"/>
          <w:color w:val="1C2A3D"/>
          <w:sz w:val="24"/>
          <w:szCs w:val="24"/>
        </w:rPr>
        <w:t xml:space="preserve">The integration architecture follows a hub-and-spoke model where the Djezzy SOC Platform serves as the central orchestration layer, providing unified dashboards, workflow management, and cross-tool correlation capabilities. Each integrated tool maintains its specialized functionality while contributing data and insights to the central platform through standardized APIs and message queues. This approach preserves the strengths of individual tools while eliminating operational silos that typically plague multi-vendor security environments.</w:t>
      </w:r>
    </w:p>
    <w:p>
      <w:pPr>
        <w:pStyle w:val="Heading1"/>
        <w:spacing w:after="120" w:before="360" w:line="312"/>
      </w:pPr>
      <w:bookmarkStart w:id="100003" w:name="_Toc100003"/>
      <w:r>
        <w:rPr>
          <w:rFonts w:ascii="Calibri" w:eastAsia="SimHei"/>
          <w:b/>
          <w:bCs/>
          <w:color w:val="0B1220"/>
          <w:sz w:val="32"/>
          <w:szCs w:val="32"/>
        </w:rPr>
        <w:t xml:space="preserve">2.1 SIEM Platform Integration (Wazuh / ELK Stack)</w:t>
      </w:r>
      <w:bookmarkEnd w:id="100003"/>
    </w:p>
    <w:p>
      <w:pPr>
        <w:spacing w:line="312"/>
        <w:ind w:firstLine="480"/>
        <w:jc w:val="both"/>
      </w:pPr>
      <w:r>
        <w:rPr>
          <w:rFonts w:ascii="Times New Roman" w:eastAsia="SimSun"/>
          <w:color w:val="1C2A3D"/>
          <w:sz w:val="24"/>
          <w:szCs w:val="24"/>
        </w:rPr>
        <w:t xml:space="preserve">The Security Information and Event Management (SIEM) platform serves as the central nervous system of the SOC, aggregating logs from across the entire technology ecosystem and applying analytics to identify potential security incidents. For the Djezzy National SOC Platform, we recommend a dual-layer SIEM architecture combining Wazuh for host-level security monitoring with the ELK Stack (Elasticsearch, Logstash, Kibana) for network-scale log aggregation and advanced analytics.</w:t>
      </w:r>
    </w:p>
    <w:p>
      <w:pPr>
        <w:spacing w:line="312"/>
        <w:ind w:firstLine="480"/>
        <w:jc w:val="both"/>
      </w:pPr>
      <w:r>
        <w:rPr>
          <w:rFonts w:ascii="Times New Roman" w:eastAsia="SimSun"/>
          <w:color w:val="1C2A3D"/>
          <w:sz w:val="24"/>
          <w:szCs w:val="24"/>
        </w:rPr>
        <w:t xml:space="preserve">Wazuh provides agent-based security monitoring with built-in capabilities including File Integrity Monitoring (FIM), vulnerability detection, configuration assessment, and compliance monitoring. Its lightweight agent design supports deployment across diverse endpoints including Linux servers, Windows workstations, network devices through syslog integration, and cloud infrastructure through API connectors. The Wazuh server components integrate directly with Elasticsearch for long-term storage and Kibana for visualization, creating a cohesive SIEM solution.</w:t>
      </w:r>
    </w:p>
    <w:p>
      <w:pPr>
        <w:pStyle w:val="ListParagraph"/>
        <w:numPr>
          <w:ilvl w:val="0"/>
          <w:numId w:val="2"/>
        </w:numPr>
        <w:spacing w:line="312"/>
      </w:pPr>
      <w:r>
        <w:rPr>
          <w:color w:val="1C2A3D"/>
          <w:sz w:val="24"/>
          <w:szCs w:val="24"/>
        </w:rPr>
        <w:t xml:space="preserve">Wazuh Agent Deployment: Deploy agents to all 500+ servers in Djezzy infrastructure including core network elements (HLR, MSC, SGSN/GGSN), IT infrastructure (Active Directory, email servers, DNS), and OT/SCADA systems controlling physical network equipment. Configure agent groups based on system role with tailored rule sets for each environment.</w:t>
      </w:r>
    </w:p>
    <w:p>
      <w:pPr>
        <w:pStyle w:val="ListParagraph"/>
        <w:numPr>
          <w:ilvl w:val="0"/>
          <w:numId w:val="2"/>
        </w:numPr>
        <w:spacing w:line="312"/>
      </w:pPr>
      <w:r>
        <w:rPr>
          <w:color w:val="1C2A3D"/>
          <w:sz w:val="24"/>
          <w:szCs w:val="24"/>
        </w:rPr>
        <w:t xml:space="preserve">Elasticsearch Cluster: Implement a 15-node Elasticsearch cluster with dedicated master nodes (3), data nodes (9), and coordinator nodes (3). Configure index lifecycle policies with hot-warm-cold architecture: 7 days hot storage on NVMe SSDs, 30 days warm storage on SATA SSDs, 1 year cold storage on high-capacity HDDs, with archival to object storage thereafter.</w:t>
      </w:r>
    </w:p>
    <w:p>
      <w:pPr>
        <w:pStyle w:val="ListParagraph"/>
        <w:numPr>
          <w:ilvl w:val="0"/>
          <w:numId w:val="2"/>
        </w:numPr>
        <w:spacing w:line="312"/>
      </w:pPr>
      <w:r>
        <w:rPr>
          <w:color w:val="1C2A3D"/>
          <w:sz w:val="24"/>
          <w:szCs w:val="24"/>
        </w:rPr>
        <w:t xml:space="preserve">Logstash Pipeline: Design multi-stage Logstash pipelines for CDR processing (Call Detail Records from switches), firewall logs (Palo Alto, Fortinet, Check Point), authentication logs (Kerberos, RADIUS, LDAP), and application logs (custom JSON formats from BSS/OSS systems). Implement Grok patterns for proprietary telco log formats.</w:t>
      </w:r>
    </w:p>
    <w:p>
      <w:pPr>
        <w:pStyle w:val="ListParagraph"/>
        <w:numPr>
          <w:ilvl w:val="0"/>
          <w:numId w:val="2"/>
        </w:numPr>
        <w:spacing w:line="312"/>
      </w:pPr>
      <w:r>
        <w:rPr>
          <w:color w:val="1C2A3D"/>
          <w:sz w:val="24"/>
          <w:szCs w:val="24"/>
        </w:rPr>
        <w:t xml:space="preserve">Kibana Dashboards: Develop operator-specific dashboards for NOC teams (network health, traffic anomalies), fraud teams (SIM swap detection, call pattern analysis), and SOC analysts (threat hunting, incident investigation). Embed Kibana visualizations within the Djezzy SOC Platform using iframe integration with SSO passthrough.</w:t>
      </w:r>
    </w:p>
    <w:p>
      <w:pPr>
        <w:spacing w:after="150" w:before="300"/>
      </w:pPr>
      <w:r>
        <w:rPr>
          <w:b/>
          <w:bCs/>
          <w:color w:val="0B1220"/>
          <w:sz w:val="24"/>
          <w:szCs w:val="24"/>
        </w:rPr>
        <w:t xml:space="preserve">SIEM Component Specifications:</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tblGrid>
      <w:tr>
        <w:trPr>
          <w:cantSplit/>
          <w:tblHeader/>
        </w:trPr>
        <w:tc>
          <w:tcPr>
            <w:tcW w:type="pct" w:w="3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Component</w:t>
            </w:r>
          </w:p>
        </w:tc>
        <w:tc>
          <w:tcPr>
            <w:tcW w:type="pct" w:w="4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Specification</w:t>
            </w:r>
          </w:p>
        </w:tc>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Capacity</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Wazuh Server</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4x cluster, 16 vCPU, 64GB RAM each</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50,000 EPS aggregate</w:t>
            </w:r>
          </w:p>
        </w:tc>
      </w:tr>
      <w:tr>
        <w:trPr>
          <w:cantSplit/>
        </w:trPr>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Elasticsearch Data Nodes</w:t>
            </w:r>
          </w:p>
        </w:tc>
        <w:tc>
          <w:tcPr>
            <w:tcW w:type="pct" w:w="45%"/>
            <w:shd w:fill="FFFFFF" w:val="clear"/>
            <w:tcMar>
              <w:top w:type="dxa" w:w="60"/>
              <w:left w:type="dxa" w:w="100"/>
              <w:bottom w:type="dxa" w:w="60"/>
              <w:right w:type="dxa" w:w="100"/>
            </w:tcMar>
          </w:tcPr>
          <w:p>
            <w:r>
              <w:rPr>
                <w:rFonts w:ascii="Times New Roman" w:eastAsia="SimSun"/>
                <w:color w:val="1C2A3D"/>
                <w:sz w:val="21"/>
                <w:szCs w:val="21"/>
              </w:rPr>
              <w:t xml:space="preserve">9x cluster, 32 vCPU, 128GB RAM, 2TB NVMe</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2TB/day ingestion</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Logstash Processors</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6x cluster, 16 vCPU, 32GB RAM each</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100,000 events/sec</w:t>
            </w:r>
          </w:p>
        </w:tc>
      </w:tr>
      <w:tr>
        <w:trPr>
          <w:cantSplit/>
        </w:trPr>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Kibana Instances</w:t>
            </w:r>
          </w:p>
        </w:tc>
        <w:tc>
          <w:tcPr>
            <w:tcW w:type="pct" w:w="45%"/>
            <w:shd w:fill="FFFFFF" w:val="clear"/>
            <w:tcMar>
              <w:top w:type="dxa" w:w="60"/>
              <w:left w:type="dxa" w:w="100"/>
              <w:bottom w:type="dxa" w:w="60"/>
              <w:right w:type="dxa" w:w="100"/>
            </w:tcMar>
          </w:tcPr>
          <w:p>
            <w:r>
              <w:rPr>
                <w:rFonts w:ascii="Times New Roman" w:eastAsia="SimSun"/>
                <w:color w:val="1C2A3D"/>
                <w:sz w:val="21"/>
                <w:szCs w:val="21"/>
              </w:rPr>
              <w:t xml:space="preserve">3x HA pair, 8 vCPU, 16GB RAM each</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200 concurrent users</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Total Storage (Year 1)</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Hot: 14TB + Warm: 60TB + Cold: 240TB</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365-day retention</w:t>
            </w:r>
          </w:p>
        </w:tc>
      </w:tr>
    </w:tbl>
    <w:p>
      <w:pPr>
        <w:pStyle w:val="Heading1"/>
        <w:spacing w:after="120" w:before="360" w:line="312"/>
      </w:pPr>
      <w:bookmarkStart w:id="100004" w:name="_Toc100004"/>
      <w:r>
        <w:rPr>
          <w:rFonts w:ascii="Calibri" w:eastAsia="SimHei"/>
          <w:b/>
          <w:bCs/>
          <w:color w:val="0B1220"/>
          <w:sz w:val="32"/>
          <w:szCs w:val="32"/>
        </w:rPr>
        <w:t xml:space="preserve">2.2 Endpoint Detection &amp; Response (Wazuh + GRR + Osquery)</w:t>
      </w:r>
      <w:bookmarkEnd w:id="100004"/>
    </w:p>
    <w:p>
      <w:pPr>
        <w:spacing w:line="312"/>
        <w:ind w:firstLine="480"/>
        <w:jc w:val="both"/>
      </w:pPr>
      <w:r>
        <w:rPr>
          <w:rFonts w:ascii="Times New Roman" w:eastAsia="SimSun"/>
          <w:color w:val="1C2A3D"/>
          <w:sz w:val="24"/>
          <w:szCs w:val="24"/>
        </w:rPr>
        <w:t xml:space="preserve">Endpoint Detection and Response capabilities provide visibility into endpoint behavior enabling detection of sophisticated threats that evade traditional perimeter-based defenses. The recommended EDR stack combines Wazuh's host-based monitoring with Google Rapid Response (GRR) for remote live forensics and Osquery for normalized endpoint data collection. This layered approach ensures comprehensive coverage from routine security monitoring to deep-dive incident investigation.</w:t>
      </w:r>
    </w:p>
    <w:p>
      <w:pPr>
        <w:spacing w:line="312"/>
        <w:ind w:firstLine="480"/>
        <w:jc w:val="both"/>
      </w:pPr>
      <w:r>
        <w:rPr>
          <w:rFonts w:ascii="Times New Roman" w:eastAsia="SimSun"/>
          <w:color w:val="1C2A3D"/>
          <w:sz w:val="24"/>
          <w:szCs w:val="24"/>
        </w:rPr>
        <w:t xml:space="preserve">GRR's client-server architecture enables SOC analysts to execute forensic collections on-demand without disrupting endpoint operations. Common use cases include memory acquisition from compromised systems, timeline reconstruction of attacker activity, and malware sample retrieval for sandbox analysis. Integration with the Djezzy SOC Platform allows analysts to initiate GRR flows directly from incident tickets, with results automatically attached to case files for evidentiary purposes.</w:t>
      </w:r>
    </w:p>
    <w:p>
      <w:pPr>
        <w:pStyle w:val="ListParagraph"/>
        <w:numPr>
          <w:ilvl w:val="0"/>
          <w:numId w:val="3"/>
        </w:numPr>
        <w:spacing w:line="312"/>
      </w:pPr>
      <w:r>
        <w:rPr>
          <w:color w:val="1C2A3D"/>
          <w:sz w:val="24"/>
          <w:szCs w:val="24"/>
        </w:rPr>
        <w:t xml:space="preserve">Osquery Deployment: Deploy Osquery agents alongside Wazuh on all managed endpoints with scheduled queries running every 5 minutes for security-relevant data points (listening ports, running processes, user accounts, cron jobs, browser extensions, installed software). Use Kolide Fleet or osquery-manager for centralized query distribution and result aggregation.</w:t>
      </w:r>
    </w:p>
    <w:p>
      <w:pPr>
        <w:pStyle w:val="ListParagraph"/>
        <w:numPr>
          <w:ilvl w:val="0"/>
          <w:numId w:val="3"/>
        </w:numPr>
        <w:spacing w:line="312"/>
      </w:pPr>
      <w:r>
        <w:rPr>
          <w:color w:val="1C2A3D"/>
          <w:sz w:val="24"/>
          <w:szCs w:val="24"/>
        </w:rPr>
        <w:t xml:space="preserve">GRR Server Infrastructure: Deploy a 3-node GRR server cluster with PostgreSQL backend for scalable remote forensics capability. Configure automatic approval workflows for emergency access and maintain detailed audit logs of all forensic actions for compliance reporting. Integrate with Velociraptor as alternative for resource-constrained environments.</w:t>
      </w:r>
    </w:p>
    <w:p>
      <w:pPr>
        <w:pStyle w:val="ListParagraph"/>
        <w:numPr>
          <w:ilvl w:val="0"/>
          <w:numId w:val="3"/>
        </w:numPr>
        <w:spacing w:line="312"/>
      </w:pPr>
      <w:r>
        <w:rPr>
          <w:color w:val="1C2A3D"/>
          <w:sz w:val="24"/>
          <w:szCs w:val="24"/>
        </w:rPr>
        <w:t xml:space="preserve">Behavioral Analytics Engine: Implement Sigma rule conversion pipeline to translate community-contributed detection rules into Wazuh decoders and Osquery queries. Establish baseline behavioral profiles for different endpoint classes (developer workstations vs. call center terminals vs. server infrastructure) to enable anomaly detection.</w:t>
      </w:r>
    </w:p>
    <w:p>
      <w:pPr>
        <w:pStyle w:val="ListParagraph"/>
        <w:numPr>
          <w:ilvl w:val="0"/>
          <w:numId w:val="3"/>
        </w:numPr>
        <w:spacing w:line="312"/>
      </w:pPr>
      <w:r>
        <w:rPr>
          <w:color w:val="1C2A3D"/>
          <w:sz w:val="24"/>
          <w:szCs w:val="24"/>
        </w:rPr>
        <w:t xml:space="preserve">Endpoint Isolation Capability: Configure network isolation procedures through integration with enterprise NAC (Network Access Control) and firewall management APIs. Enable one-click containment from the SOC dashboard when active threats are detected on endpoints, with automatic documentation for post-incident review.</w:t>
      </w:r>
    </w:p>
    <w:p>
      <w:pPr>
        <w:pStyle w:val="Heading1"/>
        <w:spacing w:after="120" w:before="360" w:line="312"/>
      </w:pPr>
      <w:bookmarkStart w:id="100005" w:name="_Toc100005"/>
      <w:r>
        <w:rPr>
          <w:rFonts w:ascii="Calibri" w:eastAsia="SimHei"/>
          <w:b/>
          <w:bCs/>
          <w:color w:val="0B1220"/>
          <w:sz w:val="32"/>
          <w:szCs w:val="32"/>
        </w:rPr>
        <w:t xml:space="preserve">2.3 Security Orchestration &amp; Automation (TheHive + Cortex)</w:t>
      </w:r>
      <w:bookmarkEnd w:id="100005"/>
    </w:p>
    <w:p>
      <w:pPr>
        <w:spacing w:line="312"/>
        <w:ind w:firstLine="480"/>
        <w:jc w:val="both"/>
      </w:pPr>
      <w:r>
        <w:rPr>
          <w:rFonts w:ascii="Times New Roman" w:eastAsia="SimSun"/>
          <w:color w:val="1C2A3D"/>
          <w:sz w:val="24"/>
          <w:szCs w:val="24"/>
        </w:rPr>
        <w:t xml:space="preserve">Security Orchestration, Automation and Response (SOAR) capabilities transform reactive security operations into proactive, efficient workflows by automating repetitive tasks, standardizing response procedures, and enabling collaboration across teams. TheHive serves as the case management and collaboration platform while Cortex provides the analysis engine that automates intelligence lookups against numerous external sources.</w:t>
      </w:r>
    </w:p>
    <w:p>
      <w:pPr>
        <w:spacing w:line="312"/>
        <w:ind w:firstLine="480"/>
        <w:jc w:val="both"/>
      </w:pPr>
      <w:r>
        <w:rPr>
          <w:rFonts w:ascii="Times New Roman" w:eastAsia="SimSun"/>
          <w:color w:val="1C2A3D"/>
          <w:sz w:val="24"/>
          <w:szCs w:val="24"/>
        </w:rPr>
        <w:t xml:space="preserve">The SOAR integration addresses a critical pain point in SOC operations: alert fatigue caused by the volume of security events generated at telco scale. By implementing automated triage and enrichment workflows, the platform can reduce analyst workload by 60-70% while improving response consistency and reducing mean-time-to-response (MTTR) for genuine incidents. The automation rules are designed following Djezzy-specific playbooks developed in Phase 10, ensuring alignment with organizational processes.</w:t>
      </w:r>
    </w:p>
    <w:p>
      <w:pPr>
        <w:pStyle w:val="ListParagraph"/>
        <w:numPr>
          <w:ilvl w:val="0"/>
          <w:numId w:val="4"/>
        </w:numPr>
        <w:spacing w:line="312"/>
      </w:pPr>
      <w:r>
        <w:rPr>
          <w:color w:val="1C2A3D"/>
          <w:sz w:val="24"/>
          <w:szCs w:val="24"/>
        </w:rPr>
        <w:t xml:space="preserve">TheHive Case Management: Deploy TheHive 5.x cluster with Elasticsearch backend for scalable case management. Configure custom case templates aligned with Djezzy IR playbooks (Malware Incident, Data Breach, DDoS Attack, Insider Threat, SIM Swap Fraud, APT Investigation). Implement mandatory fields for compliance reporting and SLA tracking.</w:t>
      </w:r>
    </w:p>
    <w:p>
      <w:pPr>
        <w:pStyle w:val="ListParagraph"/>
        <w:numPr>
          <w:ilvl w:val="0"/>
          <w:numId w:val="4"/>
        </w:numPr>
        <w:spacing w:line="312"/>
      </w:pPr>
      <w:r>
        <w:rPr>
          <w:color w:val="1C2A3D"/>
          <w:sz w:val="24"/>
          <w:szCs w:val="24"/>
        </w:rPr>
        <w:t xml:space="preserve">Cortex Analysis Engine: Deploy Cortex with analyzers for VirusTotal, HybridAnalysis, MISP, AbuseIPDB, AlienVault OTX, Shodan, Censys, URLhaus, PhishTank, and internal Djezzy databases (subscriber reputation, known fraud indicators). Configure responder actions for automated blocking in firewalls, SIEM escalation, and ticket creation.</w:t>
      </w:r>
    </w:p>
    <w:p>
      <w:pPr>
        <w:pStyle w:val="ListParagraph"/>
        <w:numPr>
          <w:ilvl w:val="0"/>
          <w:numId w:val="4"/>
        </w:numPr>
        <w:spacing w:line="312"/>
      </w:pPr>
      <w:r>
        <w:rPr>
          <w:color w:val="1C2A3D"/>
          <w:sz w:val="24"/>
          <w:szCs w:val="24"/>
        </w:rPr>
        <w:t xml:space="preserve">Workflow Automation: Design automated playbooks using TheHive's built-in workflow engine for common scenarios: phishing report triage (email analysis, URL extraction, attachment sandboxing, user notification), malware alert enrichment (hash lookup, sandbox execution, IOC extraction, threat intel correlation), and vulnerability alert prioritization (CVSS scoring, asset criticality, exploitability assessment).</w:t>
      </w:r>
    </w:p>
    <w:p>
      <w:pPr>
        <w:pStyle w:val="ListParagraph"/>
        <w:numPr>
          <w:ilvl w:val="0"/>
          <w:numId w:val="4"/>
        </w:numPr>
        <w:spacing w:line="312"/>
      </w:pPr>
      <w:r>
        <w:rPr>
          <w:color w:val="1C2A3D"/>
          <w:sz w:val="24"/>
          <w:szCs w:val="24"/>
        </w:rPr>
        <w:t xml:space="preserve">BI Connector Integration: Build bidirectional synchronization between TheHive and the Djezzy SOC Platform dashboard. Cases created in either system automatically mirror to the other, ensuring analysts have consistent view regardless of their primary interface. Implement webhook notifications for case updates, task assignments, and SLA breaches.</w:t>
      </w:r>
    </w:p>
    <w:p>
      <w:pPr>
        <w:spacing w:after="150" w:before="300"/>
      </w:pPr>
      <w:r>
        <w:rPr>
          <w:b/>
          <w:bCs/>
          <w:color w:val="0B1220"/>
          <w:sz w:val="24"/>
          <w:szCs w:val="24"/>
        </w:rPr>
        <w:t xml:space="preserve">Cortex Analyzer Configuration:</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Analyzer</w:t>
            </w:r>
          </w:p>
        </w:tc>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Data Type</w:t>
            </w:r>
          </w:p>
        </w:tc>
        <w:tc>
          <w:tcPr>
            <w:tcW w:type="pct" w:w="2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Response Time</w:t>
            </w:r>
          </w:p>
        </w:tc>
        <w:tc>
          <w:tcPr>
            <w:tcW w:type="pct" w:w="3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Use Case</w:t>
            </w:r>
          </w:p>
        </w:tc>
      </w:tr>
      <w:tr>
        <w:trPr>
          <w:cantSplit/>
        </w:trPr>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VirusTotal_v3</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Hash, IP, Domain, URL</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&lt; 5 sec</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Malware detection</w:t>
            </w:r>
          </w:p>
        </w:tc>
      </w:tr>
      <w:tr>
        <w:trPr>
          <w:cantSplit/>
        </w:trPr>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MISP_2_search</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IOC any type</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&lt; 3 sec</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Threat intel correlation</w:t>
            </w:r>
          </w:p>
        </w:tc>
      </w:tr>
      <w:tr>
        <w:trPr>
          <w:cantSplit/>
        </w:trPr>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AbuseIPDB_2_0</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IP address</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&lt; 2 sec</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Reputation check</w:t>
            </w:r>
          </w:p>
        </w:tc>
      </w:tr>
      <w:tr>
        <w:trPr>
          <w:cantSplit/>
        </w:trPr>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HybridAnalysis</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File hash</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&lt; 60 sec</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Sandbox analysis</w:t>
            </w:r>
          </w:p>
        </w:tc>
      </w:tr>
      <w:tr>
        <w:trPr>
          <w:cantSplit/>
        </w:trPr>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Shodan_Search</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IP address</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&lt; 5 sec</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Service enumeration</w:t>
            </w:r>
          </w:p>
        </w:tc>
      </w:tr>
      <w:tr>
        <w:trPr>
          <w:cantSplit/>
        </w:trPr>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Djezzy_Subscriber_DB</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MSISDN, IMSI</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&lt; 1 sec</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Fraud investigation</w:t>
            </w:r>
          </w:p>
        </w:tc>
      </w:tr>
    </w:tbl>
    <w:p>
      <w:pPr>
        <w:pStyle w:val="Heading1"/>
        <w:spacing w:after="120" w:before="360" w:line="312"/>
      </w:pPr>
      <w:bookmarkStart w:id="100006" w:name="_Toc100006"/>
      <w:r>
        <w:rPr>
          <w:rFonts w:ascii="Calibri" w:eastAsia="SimHei"/>
          <w:b/>
          <w:bCs/>
          <w:color w:val="0B1220"/>
          <w:sz w:val="32"/>
          <w:szCs w:val="32"/>
        </w:rPr>
        <w:t xml:space="preserve">2.4 Threat Intelligence Platform (MISP + OpenCTI)</w:t>
      </w:r>
      <w:bookmarkEnd w:id="100006"/>
    </w:p>
    <w:p>
      <w:pPr>
        <w:spacing w:line="312"/>
        <w:ind w:firstLine="480"/>
        <w:jc w:val="both"/>
      </w:pPr>
      <w:r>
        <w:rPr>
          <w:rFonts w:ascii="Times New Roman" w:eastAsia="SimSun"/>
          <w:color w:val="1C2A3D"/>
          <w:sz w:val="24"/>
          <w:szCs w:val="24"/>
        </w:rPr>
        <w:t xml:space="preserve">Threat Intelligence forms the proactive dimension of security operations, enabling the SOC to anticipate attacks based on indicators observed across the global security community and industry-specific information sharing forums. The recommended architecture deploys MISP (Malware Information Sharing Platform) as the tactical TI store for IOC management and automated sharing, complemented by OpenCTI for strategic intelligence analysis and relationship mapping.</w:t>
      </w:r>
    </w:p>
    <w:p>
      <w:pPr>
        <w:spacing w:line="312"/>
        <w:ind w:firstLine="480"/>
        <w:jc w:val="both"/>
      </w:pPr>
      <w:r>
        <w:rPr>
          <w:rFonts w:ascii="Times New Roman" w:eastAsia="SimSun"/>
          <w:color w:val="1C2A3D"/>
          <w:sz w:val="24"/>
          <w:szCs w:val="24"/>
        </w:rPr>
        <w:t xml:space="preserve">For telecommunications operators, threat intelligence takes on particular importance due to the sector's attractiveness to nation-state actors, organized crime groups engaged in SIM swapping and toll fraud, and hacktivists targeting communication infrastructure. The TI platform must therefore balance participation in broad communities (sharing general-purpose indicators) with closed-sharing groups focused on telecom-specific threats (SS7/Diameter vulnerabilities, signaling system attacks, roaming fraud patterns).</w:t>
      </w:r>
    </w:p>
    <w:p>
      <w:pPr>
        <w:pStyle w:val="ListParagraph"/>
        <w:numPr>
          <w:ilvl w:val="0"/>
          <w:numId w:val="5"/>
        </w:numPr>
        <w:spacing w:line="312"/>
      </w:pPr>
      <w:r>
        <w:rPr>
          <w:color w:val="1C2A3D"/>
          <w:sz w:val="24"/>
          <w:szCs w:val="24"/>
        </w:rPr>
        <w:t xml:space="preserve">MISP Instance Deployment: Deploy MISP in high-availability configuration with separate instances for production (operational sharing), staging (testing new feeds), and air-gapped (highly sensitive government/intel feeds). Configure synchronization with FIRST.org MISP community, Telecom ISAC, regional CERTs (CERT-DZ, OIC-CERT), and commercial feed providers (Recorded Future, Intel 471 via API).</w:t>
      </w:r>
    </w:p>
    <w:p>
      <w:pPr>
        <w:pStyle w:val="ListParagraph"/>
        <w:numPr>
          <w:ilvl w:val="0"/>
          <w:numId w:val="5"/>
        </w:numPr>
        <w:spacing w:line="312"/>
      </w:pPr>
      <w:r>
        <w:rPr>
          <w:color w:val="1C2A3D"/>
          <w:sz w:val="24"/>
          <w:szCs w:val="24"/>
        </w:rPr>
        <w:t xml:space="preserve">OpenCTI Integration: Deploy OpenCTI for advanced threat actor tracking, campaign analysis, and kill chain mapping. Import STIX/TAXII feeds from known APT groups targeting telecom infrastructure (APT28, APT29, Lazarus, Charming Kitten). Build custom telecom-specific attack patterns covering SS7 exploitation, Diameter attacks, and SIM card cloning methodologies.</w:t>
      </w:r>
    </w:p>
    <w:p>
      <w:pPr>
        <w:pStyle w:val="ListParagraph"/>
        <w:numPr>
          <w:ilvl w:val="0"/>
          <w:numId w:val="5"/>
        </w:numPr>
        <w:spacing w:line="312"/>
      </w:pPr>
      <w:r>
        <w:rPr>
          <w:color w:val="1C2A3D"/>
          <w:sz w:val="24"/>
          <w:szCs w:val="24"/>
        </w:rPr>
        <w:t xml:space="preserve">Automated IOC Extraction: Configure automated IOC extraction pipelines from multiple sources: sandbox analysis reports (Cuckoo, Joe Sandbox), dark web monitoring (open-source scrapers, commercial services), mailing list parsing (full-disclosure, bugtraq), and internal incident data (historical IOCs from past investigations). Implement fuzzy matching to handle indicator obfuscation techniques.</w:t>
      </w:r>
    </w:p>
    <w:p>
      <w:pPr>
        <w:pStyle w:val="ListParagraph"/>
        <w:numPr>
          <w:ilvl w:val="0"/>
          <w:numId w:val="5"/>
        </w:numPr>
        <w:spacing w:line="312"/>
      </w:pPr>
      <w:r>
        <w:rPr>
          <w:color w:val="1C2A3D"/>
          <w:sz w:val="24"/>
          <w:szCs w:val="24"/>
        </w:rPr>
        <w:t xml:space="preserve">Bidirectional Feed Sharing: Establish secure sharing relationships with peer telecom operators through Trusted Circles in MISP. Contribute validated IOCs from Djezzy investigations to the broader community while protecting sensitive customer data through proper sanitization workflows. Maintain audit logs of all shared indicators for regulatory compliance.</w:t>
      </w:r>
    </w:p>
    <w:p>
      <w:pPr>
        <w:pStyle w:val="Heading1"/>
        <w:spacing w:after="120" w:before="360" w:line="312"/>
      </w:pPr>
      <w:bookmarkStart w:id="100007" w:name="_Toc100007"/>
      <w:r>
        <w:rPr>
          <w:rFonts w:ascii="Calibri" w:eastAsia="SimHei"/>
          <w:b/>
          <w:bCs/>
          <w:color w:val="0B1220"/>
          <w:sz w:val="32"/>
          <w:szCs w:val="32"/>
        </w:rPr>
        <w:t xml:space="preserve">2.5 Network Security Monitoring (Suricata + Zeek + Arkime)</w:t>
      </w:r>
      <w:bookmarkEnd w:id="100007"/>
    </w:p>
    <w:p>
      <w:pPr>
        <w:spacing w:line="312"/>
        <w:ind w:firstLine="480"/>
        <w:jc w:val="both"/>
      </w:pPr>
      <w:r>
        <w:rPr>
          <w:rFonts w:ascii="Times New Roman" w:eastAsia="SimSun"/>
          <w:color w:val="1C2A3D"/>
          <w:sz w:val="24"/>
          <w:szCs w:val="24"/>
        </w:rPr>
        <w:t xml:space="preserve">Network Security Monitoring (NSM) provides visibility into network traffic patterns enabling detection of threats that never touch traditional logging systems. The NSM stack combines Suricata for signature and protocol-anomaly-based intrusion detection, Zeek (formerly Bro) for deep application-layer analysis and metadata extraction, and Arkime (formerly Moloch) for full packet capture visualization and retrospective investigation.</w:t>
      </w:r>
    </w:p>
    <w:p>
      <w:pPr>
        <w:spacing w:line="312"/>
        <w:ind w:firstLine="480"/>
        <w:jc w:val="both"/>
      </w:pPr>
      <w:r>
        <w:rPr>
          <w:rFonts w:ascii="Times New Roman" w:eastAsia="SimSun"/>
          <w:color w:val="1C2A3D"/>
          <w:sz w:val="24"/>
          <w:szCs w:val="24"/>
        </w:rPr>
        <w:t xml:space="preserve">At telco scale, network monitoring presents unique challenges due to the sheer volume of traffic traversing carrier-grade networks. Strategic placement of sensors at key aggregation points (internet borders, data center entrances, interconnect links with other carriers) combined with intelligent filtering ensures comprehensive coverage without overwhelming storage infrastructure. The recommended architecture supports retention of full PCAP data for 30 days with metadata available for 1 year.</w:t>
      </w:r>
    </w:p>
    <w:p>
      <w:pPr>
        <w:spacing w:after="150" w:before="200"/>
      </w:pPr>
      <w:r>
        <w:rPr>
          <w:b/>
          <w:bCs/>
          <w:color w:val="0B1220"/>
          <w:sz w:val="24"/>
          <w:szCs w:val="24"/>
        </w:rPr>
        <w:t xml:space="preserve">NSM Sensor Placement Strategy:</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2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Sensor Location</w:t>
            </w:r>
          </w:p>
        </w:tc>
        <w:tc>
          <w:tcPr>
            <w:tcW w:type="pct" w:w="23%"/>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Traffic Scope</w:t>
            </w:r>
          </w:p>
        </w:tc>
        <w:tc>
          <w:tcPr>
            <w:tcW w:type="pct" w:w="27%"/>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Filtering Strategy</w:t>
            </w:r>
          </w:p>
        </w:tc>
        <w:tc>
          <w:tcPr>
            <w:tcW w:type="pct" w:w="28%"/>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Retention</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Internet Borders (3x)</w:t>
            </w:r>
          </w:p>
        </w:tc>
        <w:tc>
          <w:tcPr>
            <w:tcW w:type="pct" w:w="23%"/>
            <w:shd w:fill="F1F5F9" w:val="clear"/>
            <w:tcMar>
              <w:top w:type="dxa" w:w="60"/>
              <w:left w:type="dxa" w:w="100"/>
              <w:bottom w:type="dxa" w:w="60"/>
              <w:right w:type="dxa" w:w="100"/>
            </w:tcMar>
          </w:tcPr>
          <w:p>
            <w:r>
              <w:rPr>
                <w:rFonts w:ascii="Times New Roman" w:eastAsia="SimSun"/>
                <w:color w:val="1C2A3D"/>
                <w:sz w:val="21"/>
                <w:szCs w:val="21"/>
              </w:rPr>
              <w:t xml:space="preserve">All subscriber internet egress</w:t>
            </w:r>
          </w:p>
        </w:tc>
        <w:tc>
          <w:tcPr>
            <w:tcW w:type="pct" w:w="27%"/>
            <w:shd w:fill="F1F5F9" w:val="clear"/>
            <w:tcMar>
              <w:top w:type="dxa" w:w="60"/>
              <w:left w:type="dxa" w:w="100"/>
              <w:bottom w:type="dxa" w:w="60"/>
              <w:right w:type="dxa" w:w="100"/>
            </w:tcMar>
          </w:tcPr>
          <w:p>
            <w:r>
              <w:rPr>
                <w:rFonts w:ascii="Times New Roman" w:eastAsia="SimSun"/>
                <w:color w:val="1C2A3D"/>
                <w:sz w:val="21"/>
                <w:szCs w:val="21"/>
              </w:rPr>
              <w:t xml:space="preserve">Full capture, deduplicated</w:t>
            </w:r>
          </w:p>
        </w:tc>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PCAP: 7 days, Logs: 90 days</w:t>
            </w:r>
          </w:p>
        </w:tc>
      </w:tr>
      <w:tr>
        <w:trPr>
          <w:cantSplit/>
        </w:trPr>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Data Center North/South</w:t>
            </w:r>
          </w:p>
        </w:tc>
        <w:tc>
          <w:tcPr>
            <w:tcW w:type="pct" w:w="23%"/>
            <w:shd w:fill="FFFFFF" w:val="clear"/>
            <w:tcMar>
              <w:top w:type="dxa" w:w="60"/>
              <w:left w:type="dxa" w:w="100"/>
              <w:bottom w:type="dxa" w:w="60"/>
              <w:right w:type="dxa" w:w="100"/>
            </w:tcMar>
          </w:tcPr>
          <w:p>
            <w:r>
              <w:rPr>
                <w:rFonts w:ascii="Times New Roman" w:eastAsia="SimSun"/>
                <w:color w:val="1C2A3D"/>
                <w:sz w:val="21"/>
                <w:szCs w:val="21"/>
              </w:rPr>
              <w:t xml:space="preserve">Traffic to/from DC applications</w:t>
            </w:r>
          </w:p>
        </w:tc>
        <w:tc>
          <w:tcPr>
            <w:tcW w:type="pct" w:w="27%"/>
            <w:shd w:fill="FFFFFF" w:val="clear"/>
            <w:tcMar>
              <w:top w:type="dxa" w:w="60"/>
              <w:left w:type="dxa" w:w="100"/>
              <w:bottom w:type="dxa" w:w="60"/>
              <w:right w:type="dxa" w:w="100"/>
            </w:tcMar>
          </w:tcPr>
          <w:p>
            <w:r>
              <w:rPr>
                <w:rFonts w:ascii="Times New Roman" w:eastAsia="SimSun"/>
                <w:color w:val="1C2A3D"/>
                <w:sz w:val="21"/>
                <w:szCs w:val="21"/>
              </w:rPr>
              <w:t xml:space="preserve">Server VLANs only</w:t>
            </w:r>
          </w:p>
        </w:tc>
        <w:tc>
          <w:tcPr>
            <w:tcW w:type="pct" w:w="28%"/>
            <w:shd w:fill="FFFFFF" w:val="clear"/>
            <w:tcMar>
              <w:top w:type="dxa" w:w="60"/>
              <w:left w:type="dxa" w:w="100"/>
              <w:bottom w:type="dxa" w:w="60"/>
              <w:right w:type="dxa" w:w="100"/>
            </w:tcMar>
          </w:tcPr>
          <w:p>
            <w:r>
              <w:rPr>
                <w:rFonts w:ascii="Times New Roman" w:eastAsia="SimSun"/>
                <w:color w:val="1C2A3D"/>
                <w:sz w:val="21"/>
                <w:szCs w:val="21"/>
              </w:rPr>
              <w:t xml:space="preserve">PCAP: 14 days, Logs: 180 days</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Interconnect Links (5x)</w:t>
            </w:r>
          </w:p>
        </w:tc>
        <w:tc>
          <w:tcPr>
            <w:tcW w:type="pct" w:w="23%"/>
            <w:shd w:fill="F1F5F9" w:val="clear"/>
            <w:tcMar>
              <w:top w:type="dxa" w:w="60"/>
              <w:left w:type="dxa" w:w="100"/>
              <w:bottom w:type="dxa" w:w="60"/>
              <w:right w:type="dxa" w:w="100"/>
            </w:tcMar>
          </w:tcPr>
          <w:p>
            <w:r>
              <w:rPr>
                <w:rFonts w:ascii="Times New Roman" w:eastAsia="SimSun"/>
                <w:color w:val="1C2A3D"/>
                <w:sz w:val="21"/>
                <w:szCs w:val="21"/>
              </w:rPr>
              <w:t xml:space="preserve">Roaming partner, voice peering</w:t>
            </w:r>
          </w:p>
        </w:tc>
        <w:tc>
          <w:tcPr>
            <w:tcW w:type="pct" w:w="27%"/>
            <w:shd w:fill="F1F5F9" w:val="clear"/>
            <w:tcMar>
              <w:top w:type="dxa" w:w="60"/>
              <w:left w:type="dxa" w:w="100"/>
              <w:bottom w:type="dxa" w:w="60"/>
              <w:right w:type="dxa" w:w="100"/>
            </w:tcMar>
          </w:tcPr>
          <w:p>
            <w:r>
              <w:rPr>
                <w:rFonts w:ascii="Times New Roman" w:eastAsia="SimSun"/>
                <w:color w:val="1C2A3D"/>
                <w:sz w:val="21"/>
                <w:szCs w:val="21"/>
              </w:rPr>
              <w:t xml:space="preserve">Signaling + control plane focus</w:t>
            </w:r>
          </w:p>
        </w:tc>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PCAP: 30 days, Logs: 1 year</w:t>
            </w:r>
          </w:p>
        </w:tc>
      </w:tr>
      <w:tr>
        <w:trPr>
          <w:cantSplit/>
        </w:trPr>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Core Network Elements</w:t>
            </w:r>
          </w:p>
        </w:tc>
        <w:tc>
          <w:tcPr>
            <w:tcW w:type="pct" w:w="23%"/>
            <w:shd w:fill="FFFFFF" w:val="clear"/>
            <w:tcMar>
              <w:top w:type="dxa" w:w="60"/>
              <w:left w:type="dxa" w:w="100"/>
              <w:bottom w:type="dxa" w:w="60"/>
              <w:right w:type="dxa" w:w="100"/>
            </w:tcMar>
          </w:tcPr>
          <w:p>
            <w:r>
              <w:rPr>
                <w:rFonts w:ascii="Times New Roman" w:eastAsia="SimSun"/>
                <w:color w:val="1C2A3D"/>
                <w:sz w:val="21"/>
                <w:szCs w:val="21"/>
              </w:rPr>
              <w:t xml:space="preserve">Internal management traffic</w:t>
            </w:r>
          </w:p>
        </w:tc>
        <w:tc>
          <w:tcPr>
            <w:tcW w:type="pct" w:w="27%"/>
            <w:shd w:fill="FFFFFF" w:val="clear"/>
            <w:tcMar>
              <w:top w:type="dxa" w:w="60"/>
              <w:left w:type="dxa" w:w="100"/>
              <w:bottom w:type="dxa" w:w="60"/>
              <w:right w:type="dxa" w:w="100"/>
            </w:tcMar>
          </w:tcPr>
          <w:p>
            <w:r>
              <w:rPr>
                <w:rFonts w:ascii="Times New Roman" w:eastAsia="SimSun"/>
                <w:color w:val="1C2A3D"/>
                <w:sz w:val="21"/>
                <w:szCs w:val="21"/>
              </w:rPr>
              <w:t xml:space="preserve">Management VLANs only</w:t>
            </w:r>
          </w:p>
        </w:tc>
        <w:tc>
          <w:tcPr>
            <w:tcW w:type="pct" w:w="28%"/>
            <w:shd w:fill="FFFFFF" w:val="clear"/>
            <w:tcMar>
              <w:top w:type="dxa" w:w="60"/>
              <w:left w:type="dxa" w:w="100"/>
              <w:bottom w:type="dxa" w:w="60"/>
              <w:right w:type="dxa" w:w="100"/>
            </w:tcMar>
          </w:tcPr>
          <w:p>
            <w:r>
              <w:rPr>
                <w:rFonts w:ascii="Times New Roman" w:eastAsia="SimSun"/>
                <w:color w:val="1C2A3D"/>
                <w:sz w:val="21"/>
                <w:szCs w:val="21"/>
              </w:rPr>
              <w:t xml:space="preserve">PCAP: 30 days, Logs: 1 year</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DNS/DHCP Infrastructure</w:t>
            </w:r>
          </w:p>
        </w:tc>
        <w:tc>
          <w:tcPr>
            <w:tcW w:type="pct" w:w="23%"/>
            <w:shd w:fill="F1F5F9" w:val="clear"/>
            <w:tcMar>
              <w:top w:type="dxa" w:w="60"/>
              <w:left w:type="dxa" w:w="100"/>
              <w:bottom w:type="dxa" w:w="60"/>
              <w:right w:type="dxa" w:w="100"/>
            </w:tcMar>
          </w:tcPr>
          <w:p>
            <w:r>
              <w:rPr>
                <w:rFonts w:ascii="Times New Roman" w:eastAsia="SimSun"/>
                <w:color w:val="1C2A3D"/>
                <w:sz w:val="21"/>
                <w:szCs w:val="21"/>
              </w:rPr>
              <w:t xml:space="preserve">Resolution requests globally</w:t>
            </w:r>
          </w:p>
        </w:tc>
        <w:tc>
          <w:tcPr>
            <w:tcW w:type="pct" w:w="27%"/>
            <w:shd w:fill="F1F5F9" w:val="clear"/>
            <w:tcMar>
              <w:top w:type="dxa" w:w="60"/>
              <w:left w:type="dxa" w:w="100"/>
              <w:bottom w:type="dxa" w:w="60"/>
              <w:right w:type="dxa" w:w="100"/>
            </w:tcMar>
          </w:tcPr>
          <w:p>
            <w:r>
              <w:rPr>
                <w:rFonts w:ascii="Times New Roman" w:eastAsia="SimSun"/>
                <w:color w:val="1C2A3D"/>
                <w:sz w:val="21"/>
                <w:szCs w:val="21"/>
              </w:rPr>
              <w:t xml:space="preserve">Anomaly-triggered full capture</w:t>
            </w:r>
          </w:p>
        </w:tc>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Metadata only: 1 year</w:t>
            </w:r>
          </w:p>
        </w:tc>
      </w:tr>
    </w:tbl>
    <w:p>
      <w:pPr>
        <w:pStyle w:val="Heading1"/>
        <w:spacing w:after="120" w:before="360" w:line="312"/>
      </w:pPr>
      <w:bookmarkStart w:id="100008" w:name="_Toc100008"/>
      <w:r>
        <w:rPr>
          <w:rFonts w:ascii="Calibri" w:eastAsia="SimHei"/>
          <w:b/>
          <w:bCs/>
          <w:color w:val="0B1220"/>
          <w:sz w:val="32"/>
          <w:szCs w:val="32"/>
        </w:rPr>
        <w:t xml:space="preserve">2.6 Vulnerability Management (OpenVAS + DefectDojo)</w:t>
      </w:r>
      <w:bookmarkEnd w:id="100008"/>
    </w:p>
    <w:p>
      <w:pPr>
        <w:spacing w:line="312"/>
        <w:ind w:firstLine="480"/>
        <w:jc w:val="both"/>
      </w:pPr>
      <w:r>
        <w:rPr>
          <w:rFonts w:ascii="Times New Roman" w:eastAsia="SimSun"/>
          <w:color w:val="1C2A3D"/>
          <w:sz w:val="24"/>
          <w:szCs w:val="24"/>
        </w:rPr>
        <w:t xml:space="preserve">Vulnerability Management provides systematic identification, prioritization, and remediation tracking for security weaknesses across the Djezzy technology estate. OpenVAS (Open Vulnerability Assessment Scanner) delivers automated vulnerability scanning capability while DefectDojo provides the application security orchestration and correlation layer that aggregates findings from multiple scanner types and tracks remediation progress.</w:t>
      </w:r>
    </w:p>
    <w:p>
      <w:pPr>
        <w:spacing w:line="312"/>
        <w:ind w:firstLine="480"/>
        <w:jc w:val="both"/>
      </w:pPr>
      <w:r>
        <w:rPr>
          <w:rFonts w:ascii="Times New Roman" w:eastAsia="SimSun"/>
          <w:color w:val="1C2A3D"/>
          <w:sz w:val="24"/>
          <w:szCs w:val="24"/>
        </w:rPr>
        <w:t xml:space="preserve">The vulnerability management program must balance thoroughness with operational safety, particularly when scanning production telecommunication systems where aggressive scanning could potentially disrupt service. The implementation plan includes phased scanning approaches starting with non-intrusive authenticated scans, progressing to unauthenticated external assessments, and culminating in targeted penetration testing of high-value assets by certified security professionals.</w:t>
      </w:r>
    </w:p>
    <w:p>
      <w:pPr>
        <w:pStyle w:val="Heading1"/>
        <w:spacing w:after="120" w:before="360" w:line="312"/>
      </w:pPr>
      <w:bookmarkStart w:id="100009" w:name="_Toc100009"/>
      <w:r>
        <w:rPr>
          <w:rFonts w:ascii="Calibri" w:eastAsia="SimHei"/>
          <w:b/>
          <w:bCs/>
          <w:color w:val="0B1220"/>
          <w:sz w:val="32"/>
          <w:szCs w:val="32"/>
        </w:rPr>
        <w:t xml:space="preserve">3. Enterprise Database Schema for Heavy Load</w:t>
      </w:r>
      <w:bookmarkEnd w:id="100009"/>
    </w:p>
    <w:p>
      <w:pPr>
        <w:spacing w:line="312"/>
        <w:ind w:firstLine="480"/>
        <w:jc w:val="both"/>
      </w:pPr>
      <w:r>
        <w:rPr>
          <w:rFonts w:ascii="Times New Roman" w:eastAsia="SimSun"/>
          <w:color w:val="1C2A3D"/>
          <w:sz w:val="24"/>
          <w:szCs w:val="24"/>
        </w:rPr>
        <w:t xml:space="preserve">Database architecture represents the most critical technical decision for achieving production-ready performance at telco scale. The schema design presented here addresses the unique challenges of telecommunications security operations: extremely high write volumes (millions of CDR records daily), complex analytical queries requiring real-time response, and strict data retention requirements driven by both regulatory compliance and investigative needs.</w:t>
      </w:r>
    </w:p>
    <w:p>
      <w:pPr>
        <w:spacing w:line="312"/>
        <w:ind w:firstLine="480"/>
        <w:jc w:val="both"/>
      </w:pPr>
      <w:r>
        <w:rPr>
          <w:rFonts w:ascii="Times New Roman" w:eastAsia="SimSun"/>
          <w:color w:val="1C2A3D"/>
          <w:sz w:val="24"/>
          <w:szCs w:val="24"/>
        </w:rPr>
        <w:t xml:space="preserve">The recommended architecture employs PostgreSQL 16 as the primary relational database for transactional workloads, supplemented by TimescaleDB for time-series data optimization, Redis for caching and session management, and ClickHouse for analytical queries on historical data. This polyglot persistence approach ensures optimal performance for each data access pattern while maintaining data consistency through carefully designed synchronization mechanisms.</w:t>
      </w:r>
    </w:p>
    <w:p>
      <w:pPr>
        <w:pStyle w:val="Heading1"/>
        <w:spacing w:after="120" w:before="360" w:line="312"/>
      </w:pPr>
      <w:bookmarkStart w:id="100010" w:name="_Toc100010"/>
      <w:r>
        <w:rPr>
          <w:rFonts w:ascii="Calibri" w:eastAsia="SimHei"/>
          <w:b/>
          <w:bCs/>
          <w:color w:val="0B1220"/>
          <w:sz w:val="32"/>
          <w:szCs w:val="32"/>
        </w:rPr>
        <w:t xml:space="preserve">3.1 Core Relational Schema (PostgreSQL 16)</w:t>
      </w:r>
      <w:bookmarkEnd w:id="100010"/>
    </w:p>
    <w:p>
      <w:pPr>
        <w:spacing w:line="312"/>
        <w:ind w:firstLine="480"/>
        <w:jc w:val="both"/>
      </w:pPr>
      <w:r>
        <w:rPr>
          <w:rFonts w:ascii="Times New Roman" w:eastAsia="SimSun"/>
          <w:color w:val="1C2A3D"/>
          <w:sz w:val="24"/>
          <w:szCs w:val="24"/>
        </w:rPr>
        <w:t xml:space="preserve">The PostgreSQL primary database serves as the system of record for entities requiring ACID guarantees and complex relational queries. The schema is designed around domain-driven principles with clear bounded contexts for each major business area. All tables include standard audit columns (created_at, updated_at, created_by, updated_by) and implement row-level security for multi-tenant access control where applicable.</w:t>
      </w:r>
    </w:p>
    <w:p>
      <w:pPr>
        <w:pStyle w:val="ListParagraph"/>
        <w:numPr>
          <w:ilvl w:val="0"/>
          <w:numId w:val="6"/>
        </w:numPr>
        <w:spacing w:line="312"/>
      </w:pPr>
      <w:r>
        <w:rPr>
          <w:color w:val="1C2A3D"/>
          <w:sz w:val="24"/>
          <w:szCs w:val="24"/>
        </w:rPr>
        <w:t xml:space="preserve">Security Events Partitioning: Implement native PostgreSQL partitioning on the security_events table using RANGE partitioning by created_at timestamp with daily partitions. Each partition inherits indexes from the parent table including b-tree indexes on severity, event_type, source_ip, and GIN indexes on JSONB metadata column. Configure pg_partman for automatic partition creation and retention management (drop partitions older than 13 months).</w:t>
      </w:r>
    </w:p>
    <w:p>
      <w:pPr>
        <w:pStyle w:val="ListParagraph"/>
        <w:numPr>
          <w:ilvl w:val="0"/>
          <w:numId w:val="6"/>
        </w:numPr>
        <w:spacing w:line="312"/>
      </w:pPr>
      <w:r>
        <w:rPr>
          <w:color w:val="1C2A3D"/>
          <w:sz w:val="24"/>
          <w:szCs w:val="24"/>
        </w:rPr>
        <w:t xml:space="preserve">CDR Storage Optimization: Design denormalized CDR tables optimized for common query patterns (fraud detection, subscriber activity analysis, network quality metrics). Use BRIN (Block Range Index) indexes on time-ordered columns for space efficiency. Consider columnar storage extension (cstore_fdw) for archived CDR data older than 6 months where update frequency is zero.</w:t>
      </w:r>
    </w:p>
    <w:p>
      <w:pPr>
        <w:pStyle w:val="ListParagraph"/>
        <w:numPr>
          <w:ilvl w:val="0"/>
          <w:numId w:val="6"/>
        </w:numPr>
        <w:spacing w:line="312"/>
      </w:pPr>
      <w:r>
        <w:rPr>
          <w:color w:val="1C2A3D"/>
          <w:sz w:val="24"/>
          <w:szCs w:val="24"/>
        </w:rPr>
        <w:t xml:space="preserve">Subscriber Data Handling: Implement subscriber tables with horizontal sharding by MSISDN hash across 16 shards for the 15M+ subscriber base. Use Citus extension for distributed query execution if single-instance performance proves insufficient. Maintain lookup tables (IMSI mappings, subscription plans) in replicated form on all shards to avoid cross-shard joins for common queries.</w:t>
      </w:r>
    </w:p>
    <w:p>
      <w:pPr>
        <w:pStyle w:val="ListParagraph"/>
        <w:numPr>
          <w:ilvl w:val="0"/>
          <w:numId w:val="6"/>
        </w:numPr>
        <w:spacing w:line="312"/>
      </w:pPr>
      <w:r>
        <w:rPr>
          <w:color w:val="1C2A3D"/>
          <w:sz w:val="24"/>
          <w:szCs w:val="24"/>
        </w:rPr>
        <w:t xml:space="preserve">Incident Management Schema: Design normalized schema for incidents, tasks, evidence items, timelines, and communications with foreign key integrity. Implement soft-delete pattern (deleted_at timestamp) for audit trail preservation. Add full-text search indexes on description fields using tsvector columns with English and French dictionaries for bilingual search support.</w:t>
      </w:r>
    </w:p>
    <w:p>
      <w:pPr>
        <w:spacing w:after="150" w:before="300"/>
      </w:pPr>
      <w:r>
        <w:rPr>
          <w:b/>
          <w:bCs/>
          <w:color w:val="0B1220"/>
          <w:sz w:val="24"/>
          <w:szCs w:val="24"/>
        </w:rPr>
        <w:t xml:space="preserve">Primary Database Tables Overview:</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2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Table Name</w:t>
            </w:r>
          </w:p>
        </w:tc>
        <w:tc>
          <w:tcPr>
            <w:tcW w:type="pct" w:w="1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Est. Rows</w:t>
            </w:r>
          </w:p>
        </w:tc>
        <w:tc>
          <w:tcPr>
            <w:tcW w:type="pct" w:w="2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Partitioning</w:t>
            </w:r>
          </w:p>
        </w:tc>
        <w:tc>
          <w:tcPr>
            <w:tcW w:type="pct" w:w="41%"/>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Index Strategy</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security_events</w:t>
            </w:r>
          </w:p>
        </w:tc>
        <w:tc>
          <w:tcPr>
            <w:tcW w:type="pct" w:w="15%"/>
            <w:shd w:fill="F1F5F9" w:val="clear"/>
            <w:tcMar>
              <w:top w:type="dxa" w:w="60"/>
              <w:left w:type="dxa" w:w="100"/>
              <w:bottom w:type="dxa" w:w="60"/>
              <w:right w:type="dxa" w:w="100"/>
            </w:tcMar>
          </w:tcPr>
          <w:p>
            <w:r>
              <w:rPr>
                <w:rFonts w:ascii="Times New Roman" w:eastAsia="SimSun"/>
                <w:color w:val="1C2A3D"/>
                <w:sz w:val="21"/>
                <w:szCs w:val="21"/>
              </w:rPr>
              <w:t xml:space="preserve">50B+/year</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Daily by created_at</w:t>
            </w:r>
          </w:p>
        </w:tc>
        <w:tc>
          <w:tcPr>
            <w:tcW w:type="pct" w:w="41%"/>
            <w:shd w:fill="F1F5F9" w:val="clear"/>
            <w:tcMar>
              <w:top w:type="dxa" w:w="60"/>
              <w:left w:type="dxa" w:w="100"/>
              <w:bottom w:type="dxa" w:w="60"/>
              <w:right w:type="dxa" w:w="100"/>
            </w:tcMar>
          </w:tcPr>
          <w:p>
            <w:r>
              <w:rPr>
                <w:rFonts w:ascii="Times New Roman" w:eastAsia="SimSun"/>
                <w:color w:val="1C2A3D"/>
                <w:sz w:val="21"/>
                <w:szCs w:val="21"/>
              </w:rPr>
              <w:t xml:space="preserve">b-tree + GIN on JSONB</w:t>
            </w:r>
          </w:p>
        </w:tc>
      </w:tr>
      <w:tr>
        <w:trPr>
          <w:cantSplit/>
        </w:trPr>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cdr_records</w:t>
            </w:r>
          </w:p>
        </w:tc>
        <w:tc>
          <w:tcPr>
            <w:tcW w:type="pct" w:w="15%"/>
            <w:shd w:fill="FFFFFF" w:val="clear"/>
            <w:tcMar>
              <w:top w:type="dxa" w:w="60"/>
              <w:left w:type="dxa" w:w="100"/>
              <w:bottom w:type="dxa" w:w="60"/>
              <w:right w:type="dxa" w:w="100"/>
            </w:tcMar>
          </w:tcPr>
          <w:p>
            <w:r>
              <w:rPr>
                <w:rFonts w:ascii="Times New Roman" w:eastAsia="SimSun"/>
                <w:color w:val="1C2A3D"/>
                <w:sz w:val="21"/>
                <w:szCs w:val="21"/>
              </w:rPr>
              <w:t xml:space="preserve">80B+/year</w:t>
            </w:r>
          </w:p>
        </w:tc>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Monthly by call_date</w:t>
            </w:r>
          </w:p>
        </w:tc>
        <w:tc>
          <w:tcPr>
            <w:tcW w:type="pct" w:w="41%"/>
            <w:shd w:fill="FFFFFF" w:val="clear"/>
            <w:tcMar>
              <w:top w:type="dxa" w:w="60"/>
              <w:left w:type="dxa" w:w="100"/>
              <w:bottom w:type="dxa" w:w="60"/>
              <w:right w:type="dxa" w:w="100"/>
            </w:tcMar>
          </w:tcPr>
          <w:p>
            <w:r>
              <w:rPr>
                <w:rFonts w:ascii="Times New Roman" w:eastAsia="SimSun"/>
                <w:color w:val="1C2A3D"/>
                <w:sz w:val="21"/>
                <w:szCs w:val="21"/>
              </w:rPr>
              <w:t xml:space="preserve">BRIN + partial b-tree</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subscribers</w:t>
            </w:r>
          </w:p>
        </w:tc>
        <w:tc>
          <w:tcPr>
            <w:tcW w:type="pct" w:w="15%"/>
            <w:shd w:fill="F1F5F9" w:val="clear"/>
            <w:tcMar>
              <w:top w:type="dxa" w:w="60"/>
              <w:left w:type="dxa" w:w="100"/>
              <w:bottom w:type="dxa" w:w="60"/>
              <w:right w:type="dxa" w:w="100"/>
            </w:tcMar>
          </w:tcPr>
          <w:p>
            <w:r>
              <w:rPr>
                <w:rFonts w:ascii="Times New Roman" w:eastAsia="SimSun"/>
                <w:color w:val="1C2A3D"/>
                <w:sz w:val="21"/>
                <w:szCs w:val="21"/>
              </w:rPr>
              <w:t xml:space="preserve">15M+</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Hash MSISDN (16 shards)</w:t>
            </w:r>
          </w:p>
        </w:tc>
        <w:tc>
          <w:tcPr>
            <w:tcW w:type="pct" w:w="41%"/>
            <w:shd w:fill="F1F5F9" w:val="clear"/>
            <w:tcMar>
              <w:top w:type="dxa" w:w="60"/>
              <w:left w:type="dxa" w:w="100"/>
              <w:bottom w:type="dxa" w:w="60"/>
              <w:right w:type="dxa" w:w="100"/>
            </w:tcMar>
          </w:tcPr>
          <w:p>
            <w:r>
              <w:rPr>
                <w:rFonts w:ascii="Times New Roman" w:eastAsia="SimSun"/>
                <w:color w:val="1C2A3D"/>
                <w:sz w:val="21"/>
                <w:szCs w:val="21"/>
              </w:rPr>
              <w:t xml:space="preserve">Unique + lookup indexes</w:t>
            </w:r>
          </w:p>
        </w:tc>
      </w:tr>
      <w:tr>
        <w:trPr>
          <w:cantSplit/>
        </w:trPr>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incidents</w:t>
            </w:r>
          </w:p>
        </w:tc>
        <w:tc>
          <w:tcPr>
            <w:tcW w:type="pct" w:w="15%"/>
            <w:shd w:fill="FFFFFF" w:val="clear"/>
            <w:tcMar>
              <w:top w:type="dxa" w:w="60"/>
              <w:left w:type="dxa" w:w="100"/>
              <w:bottom w:type="dxa" w:w="60"/>
              <w:right w:type="dxa" w:w="100"/>
            </w:tcMar>
          </w:tcPr>
          <w:p>
            <w:r>
              <w:rPr>
                <w:rFonts w:ascii="Times New Roman" w:eastAsia="SimSun"/>
                <w:color w:val="1C2A3D"/>
                <w:sz w:val="21"/>
                <w:szCs w:val="21"/>
              </w:rPr>
              <w:t xml:space="preserve">500K+/year</w:t>
            </w:r>
          </w:p>
        </w:tc>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None (reference data)</w:t>
            </w:r>
          </w:p>
        </w:tc>
        <w:tc>
          <w:tcPr>
            <w:tcW w:type="pct" w:w="41%"/>
            <w:shd w:fill="FFFFFF" w:val="clear"/>
            <w:tcMar>
              <w:top w:type="dxa" w:w="60"/>
              <w:left w:type="dxa" w:w="100"/>
              <w:bottom w:type="dxa" w:w="60"/>
              <w:right w:type="dxa" w:w="100"/>
            </w:tcMar>
          </w:tcPr>
          <w:p>
            <w:r>
              <w:rPr>
                <w:rFonts w:ascii="Times New Roman" w:eastAsia="SimSun"/>
                <w:color w:val="1C2A3D"/>
                <w:sz w:val="21"/>
                <w:szCs w:val="21"/>
              </w:rPr>
              <w:t xml:space="preserve">b-tree + full-text</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ioc_intelligence</w:t>
            </w:r>
          </w:p>
        </w:tc>
        <w:tc>
          <w:tcPr>
            <w:tcW w:type="pct" w:w="15%"/>
            <w:shd w:fill="F1F5F9" w:val="clear"/>
            <w:tcMar>
              <w:top w:type="dxa" w:w="60"/>
              <w:left w:type="dxa" w:w="100"/>
              <w:bottom w:type="dxa" w:w="60"/>
              <w:right w:type="dxa" w:w="100"/>
            </w:tcMar>
          </w:tcPr>
          <w:p>
            <w:r>
              <w:rPr>
                <w:rFonts w:ascii="Times New Roman" w:eastAsia="SimSun"/>
                <w:color w:val="1C2A3D"/>
                <w:sz w:val="21"/>
                <w:szCs w:val="21"/>
              </w:rPr>
              <w:t xml:space="preserve">100M+</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By IOC type</w:t>
            </w:r>
          </w:p>
        </w:tc>
        <w:tc>
          <w:tcPr>
            <w:tcW w:type="pct" w:w="41%"/>
            <w:shd w:fill="F1F5F9" w:val="clear"/>
            <w:tcMar>
              <w:top w:type="dxa" w:w="60"/>
              <w:left w:type="dxa" w:w="100"/>
              <w:bottom w:type="dxa" w:w="60"/>
              <w:right w:type="dxa" w:w="100"/>
            </w:tcMar>
          </w:tcPr>
          <w:p>
            <w:r>
              <w:rPr>
                <w:rFonts w:ascii="Times New Roman" w:eastAsia="SimSun"/>
                <w:color w:val="1C2A3D"/>
                <w:sz w:val="21"/>
                <w:szCs w:val="21"/>
              </w:rPr>
              <w:t xml:space="preserve">GIN trigram + btree</w:t>
            </w:r>
          </w:p>
        </w:tc>
      </w:tr>
      <w:tr>
        <w:trPr>
          <w:cantSplit/>
        </w:trPr>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auth_logs</w:t>
            </w:r>
          </w:p>
        </w:tc>
        <w:tc>
          <w:tcPr>
            <w:tcW w:type="pct" w:w="15%"/>
            <w:shd w:fill="FFFFFF" w:val="clear"/>
            <w:tcMar>
              <w:top w:type="dxa" w:w="60"/>
              <w:left w:type="dxa" w:w="100"/>
              <w:bottom w:type="dxa" w:w="60"/>
              <w:right w:type="dxa" w:w="100"/>
            </w:tcMar>
          </w:tcPr>
          <w:p>
            <w:r>
              <w:rPr>
                <w:rFonts w:ascii="Times New Roman" w:eastAsia="SimSun"/>
                <w:color w:val="1C2A3D"/>
                <w:sz w:val="21"/>
                <w:szCs w:val="21"/>
              </w:rPr>
              <w:t xml:space="preserve">2B+/year</w:t>
            </w:r>
          </w:p>
        </w:tc>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Weekly by timestamp</w:t>
            </w:r>
          </w:p>
        </w:tc>
        <w:tc>
          <w:tcPr>
            <w:tcW w:type="pct" w:w="41%"/>
            <w:shd w:fill="FFFFFF" w:val="clear"/>
            <w:tcMar>
              <w:top w:type="dxa" w:w="60"/>
              <w:left w:type="dxa" w:w="100"/>
              <w:bottom w:type="dxa" w:w="60"/>
              <w:right w:type="dxa" w:w="100"/>
            </w:tcMar>
          </w:tcPr>
          <w:p>
            <w:r>
              <w:rPr>
                <w:rFonts w:ascii="Times New Roman" w:eastAsia="SimSun"/>
                <w:color w:val="1C2A3D"/>
                <w:sz w:val="21"/>
                <w:szCs w:val="21"/>
              </w:rPr>
              <w:t xml:space="preserve">Composite b-tree</w:t>
            </w:r>
          </w:p>
        </w:tc>
      </w:tr>
      <w:tr>
        <w:trPr>
          <w:cantSplit/>
        </w:trPr>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network_flows</w:t>
            </w:r>
          </w:p>
        </w:tc>
        <w:tc>
          <w:tcPr>
            <w:tcW w:type="pct" w:w="15%"/>
            <w:shd w:fill="F1F5F9" w:val="clear"/>
            <w:tcMar>
              <w:top w:type="dxa" w:w="60"/>
              <w:left w:type="dxa" w:w="100"/>
              <w:bottom w:type="dxa" w:w="60"/>
              <w:right w:type="dxa" w:w="100"/>
            </w:tcMar>
          </w:tcPr>
          <w:p>
            <w:r>
              <w:rPr>
                <w:rFonts w:ascii="Times New Roman" w:eastAsia="SimSun"/>
                <w:color w:val="1C2A3D"/>
                <w:sz w:val="21"/>
                <w:szCs w:val="21"/>
              </w:rPr>
              <w:t xml:space="preserve">200B+/year</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Hourly by start_time</w:t>
            </w:r>
          </w:p>
        </w:tc>
        <w:tc>
          <w:tcPr>
            <w:tcW w:type="pct" w:w="41%"/>
            <w:shd w:fill="F1F5F9" w:val="clear"/>
            <w:tcMar>
              <w:top w:type="dxa" w:w="60"/>
              <w:left w:type="dxa" w:w="100"/>
              <w:bottom w:type="dxa" w:w="60"/>
              <w:right w:type="dxa" w:w="100"/>
            </w:tcMar>
          </w:tcPr>
          <w:p>
            <w:r>
              <w:rPr>
                <w:rFonts w:ascii="Times New Roman" w:eastAsia="SimSun"/>
                <w:color w:val="1C2A3D"/>
                <w:sz w:val="21"/>
                <w:szCs w:val="21"/>
              </w:rPr>
              <w:t xml:space="preserve">BRIN + TimescaleDB hypertable</w:t>
            </w:r>
          </w:p>
        </w:tc>
      </w:tr>
    </w:tbl>
    <w:p>
      <w:pPr>
        <w:pStyle w:val="Heading1"/>
        <w:spacing w:after="120" w:before="360" w:line="312"/>
      </w:pPr>
      <w:bookmarkStart w:id="100011" w:name="_Toc100011"/>
      <w:r>
        <w:rPr>
          <w:rFonts w:ascii="Calibri" w:eastAsia="SimHei"/>
          <w:b/>
          <w:bCs/>
          <w:color w:val="0B1220"/>
          <w:sz w:val="32"/>
          <w:szCs w:val="32"/>
        </w:rPr>
        <w:t xml:space="preserve">3.2 Time-Series Data Optimization (TimescaleDB)</w:t>
      </w:r>
      <w:bookmarkEnd w:id="100011"/>
    </w:p>
    <w:p>
      <w:pPr>
        <w:spacing w:line="312"/>
        <w:ind w:firstLine="480"/>
        <w:jc w:val="both"/>
      </w:pPr>
      <w:r>
        <w:rPr>
          <w:rFonts w:ascii="Times New Roman" w:eastAsia="SimSun"/>
          <w:color w:val="1C2A3D"/>
          <w:sz w:val="24"/>
          <w:szCs w:val="24"/>
        </w:rPr>
        <w:t xml:space="preserve">TimescaleDB extends PostgreSQL with native time-series superpowers through its hypertable abstraction, which automatically partitions data by time intervals while presenting a unified table interface to applications. For the Djezzy SOC Platform, TimescaleDB handles high-volume metric data including network performance measurements, security sensor statistics, and real-time dashboards requiring sub-second query response.</w:t>
      </w:r>
    </w:p>
    <w:p>
      <w:pPr>
        <w:spacing w:line="312"/>
        <w:ind w:firstLine="480"/>
        <w:jc w:val="both"/>
      </w:pPr>
      <w:r>
        <w:rPr>
          <w:rFonts w:ascii="Times New Roman" w:eastAsia="SimSun"/>
          <w:color w:val="1C2A3D"/>
          <w:sz w:val="24"/>
          <w:szCs w:val="24"/>
        </w:rPr>
        <w:t xml:space="preserve">Continuous aggregates represent a powerful TimescaleDB feature that materializes pre-computed rollups at specified intervals, dramatically accelerating analytical queries that would otherwise need to scan raw data. The implementation plan defines continuous aggregates for common dashboard queries (events per minute by severity, top talker IPs, geographic distribution of threats) refreshed at 1-minute, 1-hour, and 1-day intervals depending on granularity requirements.</w:t>
      </w:r>
    </w:p>
    <w:p>
      <w:pPr>
        <w:pStyle w:val="Heading1"/>
        <w:spacing w:after="120" w:before="360" w:line="312"/>
      </w:pPr>
      <w:bookmarkStart w:id="100012" w:name="_Toc100012"/>
      <w:r>
        <w:rPr>
          <w:rFonts w:ascii="Calibri" w:eastAsia="SimHei"/>
          <w:b/>
          <w:bCs/>
          <w:color w:val="0B1220"/>
          <w:sz w:val="32"/>
          <w:szCs w:val="32"/>
        </w:rPr>
        <w:t xml:space="preserve">3.3 Connection Pooling Architecture (PgBouncer)</w:t>
      </w:r>
      <w:bookmarkEnd w:id="100012"/>
    </w:p>
    <w:p>
      <w:pPr>
        <w:spacing w:line="312"/>
        <w:ind w:firstLine="480"/>
        <w:jc w:val="both"/>
      </w:pPr>
      <w:r>
        <w:rPr>
          <w:rFonts w:ascii="Times New Roman" w:eastAsia="SimSun"/>
          <w:color w:val="1C2A3D"/>
          <w:sz w:val="24"/>
          <w:szCs w:val="24"/>
        </w:rPr>
        <w:t xml:space="preserve">PostgreSQL connection overhead becomes significant at the concurrency levels expected in production (500+ concurrent connections from application servers, background workers, and ad-hoc analysis tools). PgBouncer provides transaction-level connection pooling that reduces effective PostgreSQL connections to approximately 100-200 while supporting thousands of client connections through multiplexing.</w:t>
      </w:r>
    </w:p>
    <w:p>
      <w:pPr>
        <w:spacing w:line="312"/>
        <w:ind w:firstLine="480"/>
        <w:jc w:val="both"/>
      </w:pPr>
      <w:r>
        <w:rPr>
          <w:rFonts w:ascii="Times New Roman" w:eastAsia="SimSun"/>
          <w:color w:val="1C2A3D"/>
          <w:sz w:val="24"/>
          <w:szCs w:val="24"/>
        </w:rPr>
        <w:t xml:space="preserve">The PgBouncer deployment uses a 3-node cluster behind a virtual IP for high availability, with each node maintaining independent connection pools to the PostgreSQL primary and replicas. Configuration enforces default_pool_size of 25, max_client_conn of 2000, and reserve_pool_size of 10 for burst handling. Application connection strings point to the VIP, enabling transparent failover if the active PgBouncer node fails.</w:t>
      </w:r>
    </w:p>
    <w:p>
      <w:pPr>
        <w:pStyle w:val="Heading1"/>
        <w:spacing w:after="120" w:before="360" w:line="312"/>
      </w:pPr>
      <w:bookmarkStart w:id="100013" w:name="_Toc100013"/>
      <w:r>
        <w:rPr>
          <w:rFonts w:ascii="Calibri" w:eastAsia="SimHei"/>
          <w:b/>
          <w:bCs/>
          <w:color w:val="0B1220"/>
          <w:sz w:val="32"/>
          <w:szCs w:val="32"/>
        </w:rPr>
        <w:t xml:space="preserve">3.4 Read Replica Strategy for Query Distribution</w:t>
      </w:r>
      <w:bookmarkEnd w:id="100013"/>
    </w:p>
    <w:p>
      <w:pPr>
        <w:spacing w:line="312"/>
        <w:ind w:firstLine="480"/>
        <w:jc w:val="both"/>
      </w:pPr>
      <w:r>
        <w:rPr>
          <w:rFonts w:ascii="Times New Roman" w:eastAsia="SimSun"/>
          <w:color w:val="1C2A3D"/>
          <w:sz w:val="24"/>
          <w:szCs w:val="24"/>
        </w:rPr>
        <w:t xml:space="preserve">Read-heavy workloads (dashboard queries, report generation, threat hunting searches) are directed to PostgreSQL read replicas to preserve primary database capacity for write operations and transactional queries. The architecture implements cascading replication with 1 primary, 3 synchronous replicas (for HA failover), and 6 asynchronous replicas (for read scaling) distributed across availability zones.</w:t>
      </w:r>
    </w:p>
    <w:p>
      <w:pPr>
        <w:spacing w:line="312"/>
        <w:ind w:firstLine="480"/>
        <w:jc w:val="both"/>
      </w:pPr>
      <w:r>
        <w:rPr>
          <w:rFonts w:ascii="Times New Roman" w:eastAsia="SimSun"/>
          <w:color w:val="1C2A3D"/>
          <w:sz w:val="24"/>
          <w:szCs w:val="24"/>
        </w:rPr>
        <w:t xml:space="preserve">Application logic uses PgBouncer's routing capabilities to direct read queries to replica pools while ensuring write operations reach the primary. Critical transactions requiring immediate consistency can request synchronous replication confirmation, while bulk operations tolerate eventual consistency with asynchronous propagation. The replication lag monitor triggers alerts when any replica falls behind by more than 5 seconds.</w:t>
      </w:r>
    </w:p>
    <w:p>
      <w:pPr>
        <w:pStyle w:val="Heading1"/>
        <w:spacing w:after="120" w:before="360" w:line="312"/>
      </w:pPr>
      <w:bookmarkStart w:id="100014" w:name="_Toc100014"/>
      <w:r>
        <w:rPr>
          <w:rFonts w:ascii="Calibri" w:eastAsia="SimHei"/>
          <w:b/>
          <w:bCs/>
          <w:color w:val="0B1220"/>
          <w:sz w:val="32"/>
          <w:szCs w:val="32"/>
        </w:rPr>
        <w:t xml:space="preserve">4. Backend API Implementation Plan</w:t>
      </w:r>
      <w:bookmarkEnd w:id="100014"/>
    </w:p>
    <w:p>
      <w:pPr>
        <w:spacing w:line="312"/>
        <w:ind w:firstLine="480"/>
        <w:jc w:val="both"/>
      </w:pPr>
      <w:r>
        <w:rPr>
          <w:rFonts w:ascii="Times New Roman" w:eastAsia="SimSun"/>
          <w:color w:val="1C2A3D"/>
          <w:sz w:val="24"/>
          <w:szCs w:val="24"/>
        </w:rPr>
        <w:t xml:space="preserve">The current development prototype relies heavily on mock data and placeholder API responses. Transitioning to production requires implementing a complete RESTful API layer backed by the enterprise database and integrated with all security tools. This section defines the API architecture, endpoint specifications, and implementation priorities for building production-ready backend services.</w:t>
      </w:r>
    </w:p>
    <w:p>
      <w:pPr>
        <w:spacing w:line="312"/>
        <w:ind w:firstLine="480"/>
        <w:jc w:val="both"/>
      </w:pPr>
      <w:r>
        <w:rPr>
          <w:rFonts w:ascii="Times New Roman" w:eastAsia="SimSun"/>
          <w:color w:val="1C2A3D"/>
          <w:sz w:val="24"/>
          <w:szCs w:val="24"/>
        </w:rPr>
        <w:t xml:space="preserve">The API implementation follows a microservices architecture with clearly defined service boundaries: Core API Service (authentication, authorization, user management), Security Events Service (event ingestion, querying, correlation), Incident Management Service (case lifecycle, task assignment, evidence handling), Threat Intelligence Service (IOC management, feed processing, search), and Integration Service (external tool connectors, webhook handlers).</w:t>
      </w:r>
    </w:p>
    <w:p>
      <w:pPr>
        <w:pStyle w:val="Heading1"/>
        <w:spacing w:after="120" w:before="360" w:line="312"/>
      </w:pPr>
      <w:bookmarkStart w:id="100015" w:name="_Toc100015"/>
      <w:r>
        <w:rPr>
          <w:rFonts w:ascii="Calibri" w:eastAsia="SimHei"/>
          <w:b/>
          <w:bCs/>
          <w:color w:val="0B1220"/>
          <w:sz w:val="32"/>
          <w:szCs w:val="32"/>
        </w:rPr>
        <w:t xml:space="preserve">4.1 API Gateway &amp; Service Mesh</w:t>
      </w:r>
      <w:bookmarkEnd w:id="100015"/>
    </w:p>
    <w:p>
      <w:pPr>
        <w:spacing w:line="312"/>
        <w:ind w:firstLine="480"/>
        <w:jc w:val="both"/>
      </w:pPr>
      <w:r>
        <w:rPr>
          <w:rFonts w:ascii="Times New Roman" w:eastAsia="SimSun"/>
          <w:color w:val="1C2A3D"/>
          <w:sz w:val="24"/>
          <w:szCs w:val="24"/>
        </w:rPr>
        <w:t xml:space="preserve">All external API traffic passes through Kong API Gateway which handles rate limiting (10,000 requests/minute per API key), authentication (JWT validation, OAuth 2.0 introspection), request routing to backend services, and request/response transformation. Kong plugins enforce security policies including IP whitelisting for internal services, request size limits (max 10MB payload), and SQL injection protection through pattern matching.</w:t>
      </w:r>
    </w:p>
    <w:p>
      <w:pPr>
        <w:spacing w:line="312"/>
        <w:ind w:firstLine="480"/>
        <w:jc w:val="both"/>
      </w:pPr>
      <w:r>
        <w:rPr>
          <w:rFonts w:ascii="Times New Roman" w:eastAsia="SimSun"/>
          <w:color w:val="1C2A3D"/>
          <w:sz w:val="24"/>
          <w:szCs w:val="24"/>
        </w:rPr>
        <w:t xml:space="preserve">Internal service-to-service communication uses Istio service mesh for mTLS encryption, service discovery, load balancing, and observability. Istio's sidecar proxy pattern ensures all inter-service traffic is encrypted and auditable without requiring application code changes. The mesh configuration defines authorization policies restricting service access based on service identity (e.g., only Incident Management Service may write to Evidence Storage Service).</w:t>
      </w:r>
    </w:p>
    <w:p>
      <w:pPr>
        <w:pStyle w:val="Heading1"/>
        <w:spacing w:after="120" w:before="360" w:line="312"/>
      </w:pPr>
      <w:bookmarkStart w:id="100016" w:name="_Toc100016"/>
      <w:r>
        <w:rPr>
          <w:rFonts w:ascii="Calibri" w:eastAsia="SimHei"/>
          <w:b/>
          <w:bCs/>
          <w:color w:val="0B1220"/>
          <w:sz w:val="32"/>
          <w:szCs w:val="32"/>
        </w:rPr>
        <w:t xml:space="preserve">4.2 Core API Endpoint Specifications</w:t>
      </w:r>
      <w:bookmarkEnd w:id="100016"/>
    </w:p>
    <w:p>
      <w:pPr>
        <w:spacing w:after="150" w:before="200"/>
      </w:pPr>
      <w:r>
        <w:rPr>
          <w:b/>
          <w:bCs/>
          <w:color w:val="0B1220"/>
          <w:sz w:val="24"/>
          <w:szCs w:val="24"/>
        </w:rPr>
        <w:t xml:space="preserve">Security Events API:</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1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Method</w:t>
            </w:r>
          </w:p>
        </w:tc>
        <w:tc>
          <w:tcPr>
            <w:tcW w:type="pct" w:w="3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Endpoint</w:t>
            </w:r>
          </w:p>
        </w:tc>
        <w:tc>
          <w:tcPr>
            <w:tcW w:type="pct" w:w="38%"/>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Description</w:t>
            </w:r>
          </w:p>
        </w:tc>
        <w:tc>
          <w:tcPr>
            <w:tcW w:type="pct" w:w="2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Auth Level</w:t>
            </w:r>
          </w:p>
        </w:tc>
      </w:tr>
      <w:tr>
        <w:trPr>
          <w:cantSplit/>
        </w:trPr>
        <w:tc>
          <w:tcPr>
            <w:tcW w:type="pct" w:w="12%"/>
            <w:shd w:fill="F1F5F9" w:val="clear"/>
            <w:tcMar>
              <w:top w:type="dxa" w:w="60"/>
              <w:left w:type="dxa" w:w="100"/>
              <w:bottom w:type="dxa" w:w="60"/>
              <w:right w:type="dxa" w:w="100"/>
            </w:tcMar>
          </w:tcPr>
          <w:p>
            <w:r>
              <w:rPr>
                <w:rFonts w:ascii="Times New Roman" w:eastAsia="SimSun"/>
                <w:color w:val="1C2A3D"/>
                <w:sz w:val="21"/>
                <w:szCs w:val="21"/>
              </w:rPr>
              <w:t xml:space="preserve">POST</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/api/v1/events/ingest</w:t>
            </w:r>
          </w:p>
        </w:tc>
        <w:tc>
          <w:tcPr>
            <w:tcW w:type="pct" w:w="38%"/>
            <w:shd w:fill="F1F5F9" w:val="clear"/>
            <w:tcMar>
              <w:top w:type="dxa" w:w="60"/>
              <w:left w:type="dxa" w:w="100"/>
              <w:bottom w:type="dxa" w:w="60"/>
              <w:right w:type="dxa" w:w="100"/>
            </w:tcMar>
          </w:tcPr>
          <w:p>
            <w:r>
              <w:rPr>
                <w:rFonts w:ascii="Times New Roman" w:eastAsia="SimSun"/>
                <w:color w:val="1C2A3D"/>
                <w:sz w:val="21"/>
                <w:szCs w:val="21"/>
              </w:rPr>
              <w:t xml:space="preserve">Batch event ingestion (up to 1000)</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Service Account</w:t>
            </w:r>
          </w:p>
        </w:tc>
      </w:tr>
      <w:tr>
        <w:trPr>
          <w:cantSplit/>
        </w:trPr>
        <w:tc>
          <w:tcPr>
            <w:tcW w:type="pct" w:w="12%"/>
            <w:shd w:fill="FFFFFF" w:val="clear"/>
            <w:tcMar>
              <w:top w:type="dxa" w:w="60"/>
              <w:left w:type="dxa" w:w="100"/>
              <w:bottom w:type="dxa" w:w="60"/>
              <w:right w:type="dxa" w:w="100"/>
            </w:tcMar>
          </w:tcPr>
          <w:p>
            <w:r>
              <w:rPr>
                <w:rFonts w:ascii="Times New Roman" w:eastAsia="SimSun"/>
                <w:color w:val="1C2A3D"/>
                <w:sz w:val="21"/>
                <w:szCs w:val="21"/>
              </w:rPr>
              <w:t xml:space="preserve">GET</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/api/v1/events/search</w:t>
            </w:r>
          </w:p>
        </w:tc>
        <w:tc>
          <w:tcPr>
            <w:tcW w:type="pct" w:w="38%"/>
            <w:shd w:fill="FFFFFF" w:val="clear"/>
            <w:tcMar>
              <w:top w:type="dxa" w:w="60"/>
              <w:left w:type="dxa" w:w="100"/>
              <w:bottom w:type="dxa" w:w="60"/>
              <w:right w:type="dxa" w:w="100"/>
            </w:tcMar>
          </w:tcPr>
          <w:p>
            <w:r>
              <w:rPr>
                <w:rFonts w:ascii="Times New Roman" w:eastAsia="SimSun"/>
                <w:color w:val="1C2A3D"/>
                <w:sz w:val="21"/>
                <w:szCs w:val="21"/>
              </w:rPr>
              <w:t xml:space="preserve">Full-text search with filters</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Analyst+</w:t>
            </w:r>
          </w:p>
        </w:tc>
      </w:tr>
      <w:tr>
        <w:trPr>
          <w:cantSplit/>
        </w:trPr>
        <w:tc>
          <w:tcPr>
            <w:tcW w:type="pct" w:w="12%"/>
            <w:shd w:fill="F1F5F9" w:val="clear"/>
            <w:tcMar>
              <w:top w:type="dxa" w:w="60"/>
              <w:left w:type="dxa" w:w="100"/>
              <w:bottom w:type="dxa" w:w="60"/>
              <w:right w:type="dxa" w:w="100"/>
            </w:tcMar>
          </w:tcPr>
          <w:p>
            <w:r>
              <w:rPr>
                <w:rFonts w:ascii="Times New Roman" w:eastAsia="SimSun"/>
                <w:color w:val="1C2A3D"/>
                <w:sz w:val="21"/>
                <w:szCs w:val="21"/>
              </w:rPr>
              <w:t xml:space="preserve">GET</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/api/v1/events/{id}</w:t>
            </w:r>
          </w:p>
        </w:tc>
        <w:tc>
          <w:tcPr>
            <w:tcW w:type="pct" w:w="38%"/>
            <w:shd w:fill="F1F5F9" w:val="clear"/>
            <w:tcMar>
              <w:top w:type="dxa" w:w="60"/>
              <w:left w:type="dxa" w:w="100"/>
              <w:bottom w:type="dxa" w:w="60"/>
              <w:right w:type="dxa" w:w="100"/>
            </w:tcMar>
          </w:tcPr>
          <w:p>
            <w:r>
              <w:rPr>
                <w:rFonts w:ascii="Times New Roman" w:eastAsia="SimSun"/>
                <w:color w:val="1C2A3D"/>
                <w:sz w:val="21"/>
                <w:szCs w:val="21"/>
              </w:rPr>
              <w:t xml:space="preserve">Retrieve single event detail</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Analyst+</w:t>
            </w:r>
          </w:p>
        </w:tc>
      </w:tr>
      <w:tr>
        <w:trPr>
          <w:cantSplit/>
        </w:trPr>
        <w:tc>
          <w:tcPr>
            <w:tcW w:type="pct" w:w="12%"/>
            <w:shd w:fill="FFFFFF" w:val="clear"/>
            <w:tcMar>
              <w:top w:type="dxa" w:w="60"/>
              <w:left w:type="dxa" w:w="100"/>
              <w:bottom w:type="dxa" w:w="60"/>
              <w:right w:type="dxa" w:w="100"/>
            </w:tcMar>
          </w:tcPr>
          <w:p>
            <w:r>
              <w:rPr>
                <w:rFonts w:ascii="Times New Roman" w:eastAsia="SimSun"/>
                <w:color w:val="1C2A3D"/>
                <w:sz w:val="21"/>
                <w:szCs w:val="21"/>
              </w:rPr>
              <w:t xml:space="preserve">PUT</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/api/v1/events/{id}/status</w:t>
            </w:r>
          </w:p>
        </w:tc>
        <w:tc>
          <w:tcPr>
            <w:tcW w:type="pct" w:w="38%"/>
            <w:shd w:fill="FFFFFF" w:val="clear"/>
            <w:tcMar>
              <w:top w:type="dxa" w:w="60"/>
              <w:left w:type="dxa" w:w="100"/>
              <w:bottom w:type="dxa" w:w="60"/>
              <w:right w:type="dxa" w:w="100"/>
            </w:tcMar>
          </w:tcPr>
          <w:p>
            <w:r>
              <w:rPr>
                <w:rFonts w:ascii="Times New Roman" w:eastAsia="SimSun"/>
                <w:color w:val="1C2A3D"/>
                <w:sz w:val="21"/>
                <w:szCs w:val="21"/>
              </w:rPr>
              <w:t xml:space="preserve">Update event status/triage</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SOC Analyst</w:t>
            </w:r>
          </w:p>
        </w:tc>
      </w:tr>
      <w:tr>
        <w:trPr>
          <w:cantSplit/>
        </w:trPr>
        <w:tc>
          <w:tcPr>
            <w:tcW w:type="pct" w:w="12%"/>
            <w:shd w:fill="F1F5F9" w:val="clear"/>
            <w:tcMar>
              <w:top w:type="dxa" w:w="60"/>
              <w:left w:type="dxa" w:w="100"/>
              <w:bottom w:type="dxa" w:w="60"/>
              <w:right w:type="dxa" w:w="100"/>
            </w:tcMar>
          </w:tcPr>
          <w:p>
            <w:r>
              <w:rPr>
                <w:rFonts w:ascii="Times New Roman" w:eastAsia="SimSun"/>
                <w:color w:val="1C2A3D"/>
                <w:sz w:val="21"/>
                <w:szCs w:val="21"/>
              </w:rPr>
              <w:t xml:space="preserve">POST</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/api/v1/events/correlate</w:t>
            </w:r>
          </w:p>
        </w:tc>
        <w:tc>
          <w:tcPr>
            <w:tcW w:type="pct" w:w="38%"/>
            <w:shd w:fill="F1F5F9" w:val="clear"/>
            <w:tcMar>
              <w:top w:type="dxa" w:w="60"/>
              <w:left w:type="dxa" w:w="100"/>
              <w:bottom w:type="dxa" w:w="60"/>
              <w:right w:type="dxa" w:w="100"/>
            </w:tcMar>
          </w:tcPr>
          <w:p>
            <w:r>
              <w:rPr>
                <w:rFonts w:ascii="Times New Roman" w:eastAsia="SimSun"/>
                <w:color w:val="1C2A3D"/>
                <w:sz w:val="21"/>
                <w:szCs w:val="21"/>
              </w:rPr>
              <w:t xml:space="preserve">Request correlation analysis</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SOC Analyst</w:t>
            </w:r>
          </w:p>
        </w:tc>
      </w:tr>
      <w:tr>
        <w:trPr>
          <w:cantSplit/>
        </w:trPr>
        <w:tc>
          <w:tcPr>
            <w:tcW w:type="pct" w:w="12%"/>
            <w:shd w:fill="FFFFFF" w:val="clear"/>
            <w:tcMar>
              <w:top w:type="dxa" w:w="60"/>
              <w:left w:type="dxa" w:w="100"/>
              <w:bottom w:type="dxa" w:w="60"/>
              <w:right w:type="dxa" w:w="100"/>
            </w:tcMar>
          </w:tcPr>
          <w:p>
            <w:r>
              <w:rPr>
                <w:rFonts w:ascii="Times New Roman" w:eastAsia="SimSun"/>
                <w:color w:val="1C2A3D"/>
                <w:sz w:val="21"/>
                <w:szCs w:val="21"/>
              </w:rPr>
              <w:t xml:space="preserve">GET</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/api/v1/events/stats/aggregated</w:t>
            </w:r>
          </w:p>
        </w:tc>
        <w:tc>
          <w:tcPr>
            <w:tcW w:type="pct" w:w="38%"/>
            <w:shd w:fill="FFFFFF" w:val="clear"/>
            <w:tcMar>
              <w:top w:type="dxa" w:w="60"/>
              <w:left w:type="dxa" w:w="100"/>
              <w:bottom w:type="dxa" w:w="60"/>
              <w:right w:type="dxa" w:w="100"/>
            </w:tcMar>
          </w:tcPr>
          <w:p>
            <w:r>
              <w:rPr>
                <w:rFonts w:ascii="Times New Roman" w:eastAsia="SimSun"/>
                <w:color w:val="1C2A3D"/>
                <w:sz w:val="21"/>
                <w:szCs w:val="21"/>
              </w:rPr>
              <w:t xml:space="preserve">Time-series aggregated stats</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Viewer+</w:t>
            </w:r>
          </w:p>
        </w:tc>
      </w:tr>
    </w:tbl>
    <w:p>
      <w:pPr>
        <w:spacing w:after="150" w:before="250"/>
      </w:pPr>
      <w:r>
        <w:rPr>
          <w:b/>
          <w:bCs/>
          <w:color w:val="0B1220"/>
          <w:sz w:val="24"/>
          <w:szCs w:val="24"/>
        </w:rPr>
        <w:t xml:space="preserve">Incident Management API:</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1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Method</w:t>
            </w:r>
          </w:p>
        </w:tc>
        <w:tc>
          <w:tcPr>
            <w:tcW w:type="pct" w:w="3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Endpoint</w:t>
            </w:r>
          </w:p>
        </w:tc>
        <w:tc>
          <w:tcPr>
            <w:tcW w:type="pct" w:w="38%"/>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Description</w:t>
            </w:r>
          </w:p>
        </w:tc>
        <w:tc>
          <w:tcPr>
            <w:tcW w:type="pct" w:w="2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Auth Level</w:t>
            </w:r>
          </w:p>
        </w:tc>
      </w:tr>
      <w:tr>
        <w:trPr>
          <w:cantSplit/>
        </w:trPr>
        <w:tc>
          <w:tcPr>
            <w:tcW w:type="pct" w:w="12%"/>
            <w:shd w:fill="F1F5F9" w:val="clear"/>
            <w:tcMar>
              <w:top w:type="dxa" w:w="60"/>
              <w:left w:type="dxa" w:w="100"/>
              <w:bottom w:type="dxa" w:w="60"/>
              <w:right w:type="dxa" w:w="100"/>
            </w:tcMar>
          </w:tcPr>
          <w:p>
            <w:r>
              <w:rPr>
                <w:rFonts w:ascii="Times New Roman" w:eastAsia="SimSun"/>
                <w:color w:val="1C2A3D"/>
                <w:sz w:val="21"/>
                <w:szCs w:val="21"/>
              </w:rPr>
              <w:t xml:space="preserve">POST</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/api/v1/incidents</w:t>
            </w:r>
          </w:p>
        </w:tc>
        <w:tc>
          <w:tcPr>
            <w:tcW w:type="pct" w:w="38%"/>
            <w:shd w:fill="F1F5F9" w:val="clear"/>
            <w:tcMar>
              <w:top w:type="dxa" w:w="60"/>
              <w:left w:type="dxa" w:w="100"/>
              <w:bottom w:type="dxa" w:w="60"/>
              <w:right w:type="dxa" w:w="100"/>
            </w:tcMar>
          </w:tcPr>
          <w:p>
            <w:r>
              <w:rPr>
                <w:rFonts w:ascii="Times New Roman" w:eastAsia="SimSun"/>
                <w:color w:val="1C2A3D"/>
                <w:sz w:val="21"/>
                <w:szCs w:val="21"/>
              </w:rPr>
              <w:t xml:space="preserve">Create new incident case</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SOC Analyst</w:t>
            </w:r>
          </w:p>
        </w:tc>
      </w:tr>
      <w:tr>
        <w:trPr>
          <w:cantSplit/>
        </w:trPr>
        <w:tc>
          <w:tcPr>
            <w:tcW w:type="pct" w:w="12%"/>
            <w:shd w:fill="FFFFFF" w:val="clear"/>
            <w:tcMar>
              <w:top w:type="dxa" w:w="60"/>
              <w:left w:type="dxa" w:w="100"/>
              <w:bottom w:type="dxa" w:w="60"/>
              <w:right w:type="dxa" w:w="100"/>
            </w:tcMar>
          </w:tcPr>
          <w:p>
            <w:r>
              <w:rPr>
                <w:rFonts w:ascii="Times New Roman" w:eastAsia="SimSun"/>
                <w:color w:val="1C2A3D"/>
                <w:sz w:val="21"/>
                <w:szCs w:val="21"/>
              </w:rPr>
              <w:t xml:space="preserve">GET</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/api/v1/incidents</w:t>
            </w:r>
          </w:p>
        </w:tc>
        <w:tc>
          <w:tcPr>
            <w:tcW w:type="pct" w:w="38%"/>
            <w:shd w:fill="FFFFFF" w:val="clear"/>
            <w:tcMar>
              <w:top w:type="dxa" w:w="60"/>
              <w:left w:type="dxa" w:w="100"/>
              <w:bottom w:type="dxa" w:w="60"/>
              <w:right w:type="dxa" w:w="100"/>
            </w:tcMar>
          </w:tcPr>
          <w:p>
            <w:r>
              <w:rPr>
                <w:rFonts w:ascii="Times New Roman" w:eastAsia="SimSun"/>
                <w:color w:val="1C2A3D"/>
                <w:sz w:val="21"/>
                <w:szCs w:val="21"/>
              </w:rPr>
              <w:t xml:space="preserve">List/filter incidents</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Viewer+</w:t>
            </w:r>
          </w:p>
        </w:tc>
      </w:tr>
      <w:tr>
        <w:trPr>
          <w:cantSplit/>
        </w:trPr>
        <w:tc>
          <w:tcPr>
            <w:tcW w:type="pct" w:w="12%"/>
            <w:shd w:fill="F1F5F9" w:val="clear"/>
            <w:tcMar>
              <w:top w:type="dxa" w:w="60"/>
              <w:left w:type="dxa" w:w="100"/>
              <w:bottom w:type="dxa" w:w="60"/>
              <w:right w:type="dxa" w:w="100"/>
            </w:tcMar>
          </w:tcPr>
          <w:p>
            <w:r>
              <w:rPr>
                <w:rFonts w:ascii="Times New Roman" w:eastAsia="SimSun"/>
                <w:color w:val="1C2A3D"/>
                <w:sz w:val="21"/>
                <w:szCs w:val="21"/>
              </w:rPr>
              <w:t xml:space="preserve">GET</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/api/v1/incidents/{id}</w:t>
            </w:r>
          </w:p>
        </w:tc>
        <w:tc>
          <w:tcPr>
            <w:tcW w:type="pct" w:w="38%"/>
            <w:shd w:fill="F1F5F9" w:val="clear"/>
            <w:tcMar>
              <w:top w:type="dxa" w:w="60"/>
              <w:left w:type="dxa" w:w="100"/>
              <w:bottom w:type="dxa" w:w="60"/>
              <w:right w:type="dxa" w:w="100"/>
            </w:tcMar>
          </w:tcPr>
          <w:p>
            <w:r>
              <w:rPr>
                <w:rFonts w:ascii="Times New Roman" w:eastAsia="SimSun"/>
                <w:color w:val="1C2A3D"/>
                <w:sz w:val="21"/>
                <w:szCs w:val="21"/>
              </w:rPr>
              <w:t xml:space="preserve">Full incident with timeline</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Assigned User</w:t>
            </w:r>
          </w:p>
        </w:tc>
      </w:tr>
      <w:tr>
        <w:trPr>
          <w:cantSplit/>
        </w:trPr>
        <w:tc>
          <w:tcPr>
            <w:tcW w:type="pct" w:w="12%"/>
            <w:shd w:fill="FFFFFF" w:val="clear"/>
            <w:tcMar>
              <w:top w:type="dxa" w:w="60"/>
              <w:left w:type="dxa" w:w="100"/>
              <w:bottom w:type="dxa" w:w="60"/>
              <w:right w:type="dxa" w:w="100"/>
            </w:tcMar>
          </w:tcPr>
          <w:p>
            <w:r>
              <w:rPr>
                <w:rFonts w:ascii="Times New Roman" w:eastAsia="SimSun"/>
                <w:color w:val="1C2A3D"/>
                <w:sz w:val="21"/>
                <w:szCs w:val="21"/>
              </w:rPr>
              <w:t xml:space="preserve">PUT</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/api/v1/incidents/{id}</w:t>
            </w:r>
          </w:p>
        </w:tc>
        <w:tc>
          <w:tcPr>
            <w:tcW w:type="pct" w:w="38%"/>
            <w:shd w:fill="FFFFFF" w:val="clear"/>
            <w:tcMar>
              <w:top w:type="dxa" w:w="60"/>
              <w:left w:type="dxa" w:w="100"/>
              <w:bottom w:type="dxa" w:w="60"/>
              <w:right w:type="dxa" w:w="100"/>
            </w:tcMar>
          </w:tcPr>
          <w:p>
            <w:r>
              <w:rPr>
                <w:rFonts w:ascii="Times New Roman" w:eastAsia="SimSun"/>
                <w:color w:val="1C2A3D"/>
                <w:sz w:val="21"/>
                <w:szCs w:val="21"/>
              </w:rPr>
              <w:t xml:space="preserve">Update incident attributes</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Incident Commander</w:t>
            </w:r>
          </w:p>
        </w:tc>
      </w:tr>
      <w:tr>
        <w:trPr>
          <w:cantSplit/>
        </w:trPr>
        <w:tc>
          <w:tcPr>
            <w:tcW w:type="pct" w:w="12%"/>
            <w:shd w:fill="F1F5F9" w:val="clear"/>
            <w:tcMar>
              <w:top w:type="dxa" w:w="60"/>
              <w:left w:type="dxa" w:w="100"/>
              <w:bottom w:type="dxa" w:w="60"/>
              <w:right w:type="dxa" w:w="100"/>
            </w:tcMar>
          </w:tcPr>
          <w:p>
            <w:r>
              <w:rPr>
                <w:rFonts w:ascii="Times New Roman" w:eastAsia="SimSun"/>
                <w:color w:val="1C2A3D"/>
                <w:sz w:val="21"/>
                <w:szCs w:val="21"/>
              </w:rPr>
              <w:t xml:space="preserve">POST</w:t>
            </w:r>
          </w:p>
        </w:tc>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/api/v1/incidents/{id}/tasks</w:t>
            </w:r>
          </w:p>
        </w:tc>
        <w:tc>
          <w:tcPr>
            <w:tcW w:type="pct" w:w="38%"/>
            <w:shd w:fill="F1F5F9" w:val="clear"/>
            <w:tcMar>
              <w:top w:type="dxa" w:w="60"/>
              <w:left w:type="dxa" w:w="100"/>
              <w:bottom w:type="dxa" w:w="60"/>
              <w:right w:type="dxa" w:w="100"/>
            </w:tcMar>
          </w:tcPr>
          <w:p>
            <w:r>
              <w:rPr>
                <w:rFonts w:ascii="Times New Roman" w:eastAsia="SimSun"/>
                <w:color w:val="1C2A3D"/>
                <w:sz w:val="21"/>
                <w:szCs w:val="21"/>
              </w:rPr>
              <w:t xml:space="preserve">Add task to incident</w:t>
            </w:r>
          </w:p>
        </w:tc>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Team Lead</w:t>
            </w:r>
          </w:p>
        </w:tc>
      </w:tr>
      <w:tr>
        <w:trPr>
          <w:cantSplit/>
        </w:trPr>
        <w:tc>
          <w:tcPr>
            <w:tcW w:type="pct" w:w="12%"/>
            <w:shd w:fill="FFFFFF" w:val="clear"/>
            <w:tcMar>
              <w:top w:type="dxa" w:w="60"/>
              <w:left w:type="dxa" w:w="100"/>
              <w:bottom w:type="dxa" w:w="60"/>
              <w:right w:type="dxa" w:w="100"/>
            </w:tcMar>
          </w:tcPr>
          <w:p>
            <w:r>
              <w:rPr>
                <w:rFonts w:ascii="Times New Roman" w:eastAsia="SimSun"/>
                <w:color w:val="1C2A3D"/>
                <w:sz w:val="21"/>
                <w:szCs w:val="21"/>
              </w:rPr>
              <w:t xml:space="preserve">POST</w:t>
            </w:r>
          </w:p>
        </w:tc>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/api/v1/incidents/{id}/evidence</w:t>
            </w:r>
          </w:p>
        </w:tc>
        <w:tc>
          <w:tcPr>
            <w:tcW w:type="pct" w:w="38%"/>
            <w:shd w:fill="FFFFFF" w:val="clear"/>
            <w:tcMar>
              <w:top w:type="dxa" w:w="60"/>
              <w:left w:type="dxa" w:w="100"/>
              <w:bottom w:type="dxa" w:w="60"/>
              <w:right w:type="dxa" w:w="100"/>
            </w:tcMar>
          </w:tcPr>
          <w:p>
            <w:r>
              <w:rPr>
                <w:rFonts w:ascii="Times New Roman" w:eastAsia="SimSun"/>
                <w:color w:val="1C2A3D"/>
                <w:sz w:val="21"/>
                <w:szCs w:val="21"/>
              </w:rPr>
              <w:t xml:space="preserve">Upload evidence file</w:t>
            </w:r>
          </w:p>
        </w:tc>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SOC Analyst</w:t>
            </w:r>
          </w:p>
        </w:tc>
      </w:tr>
    </w:tbl>
    <w:p>
      <w:pPr>
        <w:pStyle w:val="Heading1"/>
        <w:spacing w:after="120" w:before="360" w:line="312"/>
      </w:pPr>
      <w:bookmarkStart w:id="100017" w:name="_Toc100017"/>
      <w:r>
        <w:rPr>
          <w:rFonts w:ascii="Calibri" w:eastAsia="SimHei"/>
          <w:b/>
          <w:bCs/>
          <w:color w:val="0B1220"/>
          <w:sz w:val="32"/>
          <w:szCs w:val="32"/>
        </w:rPr>
        <w:t xml:space="preserve">4.3 Authentication &amp; Authorization Framework</w:t>
      </w:r>
      <w:bookmarkEnd w:id="100017"/>
    </w:p>
    <w:p>
      <w:pPr>
        <w:spacing w:line="312"/>
        <w:ind w:firstLine="480"/>
        <w:jc w:val="both"/>
      </w:pPr>
      <w:r>
        <w:rPr>
          <w:rFonts w:ascii="Times New Roman" w:eastAsia="SimSun"/>
          <w:color w:val="1C2A3D"/>
          <w:sz w:val="24"/>
          <w:szCs w:val="24"/>
        </w:rPr>
        <w:t xml:space="preserve">Authentication integrates with Djezzy corporate identity provider (Microsoft Active Directory Federation Services or equivalent) using OpenID Connect protocol. Users authenticate via SSO flow receiving JWT access tokens (15-minute lifetime) and refresh tokens (7-day lifetime) stored in HTTP-only secure cookies. Multi-factor authentication is mandatory for privileged operations (incident closure, evidence deletion, configuration changes).</w:t>
      </w:r>
    </w:p>
    <w:p>
      <w:pPr>
        <w:spacing w:line="312"/>
        <w:ind w:firstLine="480"/>
        <w:jc w:val="both"/>
      </w:pPr>
      <w:r>
        <w:rPr>
          <w:rFonts w:ascii="Times New Roman" w:eastAsia="SimSun"/>
          <w:color w:val="1C2A3D"/>
          <w:sz w:val="24"/>
          <w:szCs w:val="24"/>
        </w:rPr>
        <w:t xml:space="preserve">Authorization implements Role-Based Access Control (RBAC) with hierarchical roles: Viewer (read-only dashboard access), Analyst (create/update assigned incidents), Senior Analyst (all incidents, threat hunting workspace), Team Lead (task assignment, team management), Incident Commander (incident declaration/closure, external coordination), and Administrator (system configuration, user management). Attribute-Based Access Control (ABAC) supplements RBAC for data-sensitive operations (e.g., subscriber PII access requires justification field completion).</w:t>
      </w:r>
    </w:p>
    <w:p>
      <w:pPr>
        <w:pStyle w:val="Heading1"/>
        <w:spacing w:after="120" w:before="360" w:line="312"/>
      </w:pPr>
      <w:bookmarkStart w:id="100018" w:name="_Toc100018"/>
      <w:r>
        <w:rPr>
          <w:rFonts w:ascii="Calibri" w:eastAsia="SimHei"/>
          <w:b/>
          <w:bCs/>
          <w:color w:val="0B1220"/>
          <w:sz w:val="32"/>
          <w:szCs w:val="32"/>
        </w:rPr>
        <w:t xml:space="preserve">5. Real Integration Architecture</w:t>
      </w:r>
      <w:bookmarkEnd w:id="100018"/>
    </w:p>
    <w:p>
      <w:pPr>
        <w:spacing w:line="312"/>
        <w:ind w:firstLine="480"/>
        <w:jc w:val="both"/>
      </w:pPr>
      <w:r>
        <w:rPr>
          <w:rFonts w:ascii="Times New Roman" w:eastAsia="SimSun"/>
          <w:color w:val="1C2A3D"/>
          <w:sz w:val="24"/>
          <w:szCs w:val="24"/>
        </w:rPr>
        <w:t xml:space="preserve">Integration architecture defines how the Djezzy SOC Platform connects with external security tools, internal BSS/OSS systems, and third-party data sources. The goal is creating a unified operational picture where data flows seamlessly between systems, analysts work from a single pane of glass, and automated workflows span multiple tools without manual intervention.</w:t>
      </w:r>
    </w:p>
    <w:p>
      <w:pPr>
        <w:pStyle w:val="Heading1"/>
        <w:spacing w:after="120" w:before="360" w:line="312"/>
      </w:pPr>
      <w:bookmarkStart w:id="100019" w:name="_Toc100019"/>
      <w:r>
        <w:rPr>
          <w:rFonts w:ascii="Calibri" w:eastAsia="SimHei"/>
          <w:b/>
          <w:bCs/>
          <w:color w:val="0B1220"/>
          <w:sz w:val="32"/>
          <w:szCs w:val="32"/>
        </w:rPr>
        <w:t xml:space="preserve">5.1 Apache Kafka Event Streaming Backbone</w:t>
      </w:r>
      <w:bookmarkEnd w:id="100019"/>
    </w:p>
    <w:p>
      <w:pPr>
        <w:spacing w:line="312"/>
        <w:ind w:firstLine="480"/>
        <w:jc w:val="both"/>
      </w:pPr>
      <w:r>
        <w:rPr>
          <w:rFonts w:ascii="Times New Roman" w:eastAsia="SimSun"/>
          <w:color w:val="1C2A3D"/>
          <w:sz w:val="24"/>
          <w:szCs w:val="24"/>
        </w:rPr>
        <w:t xml:space="preserve">Apache Kafka serves as the central nervous system for event streaming between all integrated components. Kafka's durable, partitioned log architecture provides fault tolerance, exactly-once semantics, and the ability to replay historical events for debugging or backfilling scenarios. The Kafka cluster consists of 9 brokers (3 per availability zone) with replication factor of 3 and min.insync.replicas of 2 for durability guarantees.</w:t>
      </w:r>
    </w:p>
    <w:p>
      <w:pPr>
        <w:spacing w:line="312"/>
        <w:ind w:firstLine="480"/>
        <w:jc w:val="both"/>
      </w:pPr>
      <w:r>
        <w:rPr>
          <w:rFonts w:ascii="Times New Roman" w:eastAsia="SimSun"/>
          <w:color w:val="1C2A3D"/>
          <w:sz w:val="24"/>
          <w:szCs w:val="24"/>
        </w:rPr>
        <w:t xml:space="preserve">Topic design follows domain-event pattern with separate topics for each event source (security-events, cdr-records, auth-logs, network-flows, threat-intel-feeds, incident-updates). Consumers use consumer groups for parallel processing with exactly-once semantics enabled through Kafka transactions. Schema Registry enforces Avro schema compatibility (backward transitive) preventing breaking changes from propagating silently.</w:t>
      </w:r>
    </w:p>
    <w:p>
      <w:pPr>
        <w:pStyle w:val="Heading1"/>
        <w:spacing w:after="120" w:before="360" w:line="312"/>
      </w:pPr>
      <w:bookmarkStart w:id="100020" w:name="_Toc100020"/>
      <w:r>
        <w:rPr>
          <w:rFonts w:ascii="Calibri" w:eastAsia="SimHei"/>
          <w:b/>
          <w:bCs/>
          <w:color w:val="0B1220"/>
          <w:sz w:val="32"/>
          <w:szCs w:val="32"/>
        </w:rPr>
        <w:t xml:space="preserve">5.2 BSS/OSS System Integration Connectors</w:t>
      </w:r>
      <w:bookmarkEnd w:id="100020"/>
    </w:p>
    <w:p>
      <w:pPr>
        <w:spacing w:line="312"/>
        <w:ind w:firstLine="480"/>
        <w:jc w:val="both"/>
      </w:pPr>
      <w:r>
        <w:rPr>
          <w:rFonts w:ascii="Times New Roman" w:eastAsia="SimSun"/>
          <w:color w:val="1C2A3D"/>
          <w:sz w:val="24"/>
          <w:szCs w:val="24"/>
        </w:rPr>
        <w:t xml:space="preserve">Telecommunications operations depend on Business Support Systems (billing, CRM, subscriber management) and Operational Support Systems (network management, provisioning, fault management). Integration with these systems provides context essential for security investigations: subscriber identity verification, service history examination, and fraud pattern detection.</w:t>
      </w:r>
    </w:p>
    <w:p>
      <w:pPr>
        <w:spacing w:after="150" w:before="200"/>
      </w:pPr>
      <w:r>
        <w:rPr>
          <w:b/>
          <w:bCs/>
          <w:color w:val="0B1220"/>
          <w:sz w:val="24"/>
          <w:szCs w:val="24"/>
        </w:rPr>
        <w:t xml:space="preserve">BSS/OSS Integration Points:</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2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System</w:t>
            </w:r>
          </w:p>
        </w:tc>
        <w:tc>
          <w:tcPr>
            <w:tcW w:type="pct" w:w="2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Integration Method</w:t>
            </w:r>
          </w:p>
        </w:tc>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Data Provided</w:t>
            </w:r>
          </w:p>
        </w:tc>
        <w:tc>
          <w:tcPr>
            <w:tcW w:type="pct" w:w="33%"/>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Use Case</w:t>
            </w:r>
          </w:p>
        </w:tc>
      </w:tr>
      <w:tr>
        <w:trPr>
          <w:cantSplit/>
        </w:trPr>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Subscriber DB (HLR/HSS)</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LDAP + SOAP API</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MSISDN, IMSI, status</w:t>
            </w:r>
          </w:p>
        </w:tc>
        <w:tc>
          <w:tcPr>
            <w:tcW w:type="pct" w:w="33%"/>
            <w:shd w:fill="F1F5F9" w:val="clear"/>
            <w:tcMar>
              <w:top w:type="dxa" w:w="60"/>
              <w:left w:type="dxa" w:w="100"/>
              <w:bottom w:type="dxa" w:w="60"/>
              <w:right w:type="dxa" w:w="100"/>
            </w:tcMar>
          </w:tcPr>
          <w:p>
            <w:r>
              <w:rPr>
                <w:rFonts w:ascii="Times New Roman" w:eastAsia="SimSun"/>
                <w:color w:val="1C2A3D"/>
                <w:sz w:val="21"/>
                <w:szCs w:val="21"/>
              </w:rPr>
              <w:t xml:space="preserve">Identity verification</w:t>
            </w:r>
          </w:p>
        </w:tc>
      </w:tr>
      <w:tr>
        <w:trPr>
          <w:cantSplit/>
        </w:trPr>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Billing System</w:t>
            </w:r>
          </w:p>
        </w:tc>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REST API (custom)</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CDR, payment history</w:t>
            </w:r>
          </w:p>
        </w:tc>
        <w:tc>
          <w:tcPr>
            <w:tcW w:type="pct" w:w="33%"/>
            <w:shd w:fill="FFFFFF" w:val="clear"/>
            <w:tcMar>
              <w:top w:type="dxa" w:w="60"/>
              <w:left w:type="dxa" w:w="100"/>
              <w:bottom w:type="dxa" w:w="60"/>
              <w:right w:type="dxa" w:w="100"/>
            </w:tcMar>
          </w:tcPr>
          <w:p>
            <w:r>
              <w:rPr>
                <w:rFonts w:ascii="Times New Roman" w:eastAsia="SimSun"/>
                <w:color w:val="1C2A3D"/>
                <w:sz w:val="21"/>
                <w:szCs w:val="21"/>
              </w:rPr>
              <w:t xml:space="preserve">Fraud investigation</w:t>
            </w:r>
          </w:p>
        </w:tc>
      </w:tr>
      <w:tr>
        <w:trPr>
          <w:cantSplit/>
        </w:trPr>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CRM System</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SOAP Web Service</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Customer profile, tickets</w:t>
            </w:r>
          </w:p>
        </w:tc>
        <w:tc>
          <w:tcPr>
            <w:tcW w:type="pct" w:w="33%"/>
            <w:shd w:fill="F1F5F9" w:val="clear"/>
            <w:tcMar>
              <w:top w:type="dxa" w:w="60"/>
              <w:left w:type="dxa" w:w="100"/>
              <w:bottom w:type="dxa" w:w="60"/>
              <w:right w:type="dxa" w:w="100"/>
            </w:tcMar>
          </w:tcPr>
          <w:p>
            <w:r>
              <w:rPr>
                <w:rFonts w:ascii="Times New Roman" w:eastAsia="SimSun"/>
                <w:color w:val="1C2A3D"/>
                <w:sz w:val="21"/>
                <w:szCs w:val="21"/>
              </w:rPr>
              <w:t xml:space="preserve">Context enrichment</w:t>
            </w:r>
          </w:p>
        </w:tc>
      </w:tr>
      <w:tr>
        <w:trPr>
          <w:cantSplit/>
        </w:trPr>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Network EMS/NMS</w:t>
            </w:r>
          </w:p>
        </w:tc>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SNMP traps + REST</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Alarm status, topology</w:t>
            </w:r>
          </w:p>
        </w:tc>
        <w:tc>
          <w:tcPr>
            <w:tcW w:type="pct" w:w="33%"/>
            <w:shd w:fill="FFFFFF" w:val="clear"/>
            <w:tcMar>
              <w:top w:type="dxa" w:w="60"/>
              <w:left w:type="dxa" w:w="100"/>
              <w:bottom w:type="dxa" w:w="60"/>
              <w:right w:type="dxa" w:w="100"/>
            </w:tcMar>
          </w:tcPr>
          <w:p>
            <w:r>
              <w:rPr>
                <w:rFonts w:ascii="Times New Roman" w:eastAsia="SimSun"/>
                <w:color w:val="1C2A3D"/>
                <w:sz w:val="21"/>
                <w:szCs w:val="21"/>
              </w:rPr>
              <w:t xml:space="preserve">Infrastructure health</w:t>
            </w:r>
          </w:p>
        </w:tc>
      </w:tr>
      <w:tr>
        <w:trPr>
          <w:cantSplit/>
        </w:trPr>
        <w:tc>
          <w:tcPr>
            <w:tcW w:type="pct" w:w="20%"/>
            <w:shd w:fill="F1F5F9" w:val="clear"/>
            <w:tcMar>
              <w:top w:type="dxa" w:w="60"/>
              <w:left w:type="dxa" w:w="100"/>
              <w:bottom w:type="dxa" w:w="60"/>
              <w:right w:type="dxa" w:w="100"/>
            </w:tcMar>
          </w:tcPr>
          <w:p>
            <w:r>
              <w:rPr>
                <w:rFonts w:ascii="Times New Roman" w:eastAsia="SimSun"/>
                <w:color w:val="1C2A3D"/>
                <w:sz w:val="21"/>
                <w:szCs w:val="21"/>
              </w:rPr>
              <w:t xml:space="preserve">Provisioning System</w:t>
            </w:r>
          </w:p>
        </w:tc>
        <w:tc>
          <w:tcPr>
            <w:tcW w:type="pct" w:w="22%"/>
            <w:shd w:fill="F1F5F9" w:val="clear"/>
            <w:tcMar>
              <w:top w:type="dxa" w:w="60"/>
              <w:left w:type="dxa" w:w="100"/>
              <w:bottom w:type="dxa" w:w="60"/>
              <w:right w:type="dxa" w:w="100"/>
            </w:tcMar>
          </w:tcPr>
          <w:p>
            <w:r>
              <w:rPr>
                <w:rFonts w:ascii="Times New Roman" w:eastAsia="SimSun"/>
                <w:color w:val="1C2A3D"/>
                <w:sz w:val="21"/>
                <w:szCs w:val="21"/>
              </w:rPr>
              <w:t xml:space="preserve">JMS Queue</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SIM change logs</w:t>
            </w:r>
          </w:p>
        </w:tc>
        <w:tc>
          <w:tcPr>
            <w:tcW w:type="pct" w:w="33%"/>
            <w:shd w:fill="F1F5F9" w:val="clear"/>
            <w:tcMar>
              <w:top w:type="dxa" w:w="60"/>
              <w:left w:type="dxa" w:w="100"/>
              <w:bottom w:type="dxa" w:w="60"/>
              <w:right w:type="dxa" w:w="100"/>
            </w:tcMar>
          </w:tcPr>
          <w:p>
            <w:r>
              <w:rPr>
                <w:rFonts w:ascii="Times New Roman" w:eastAsia="SimSun"/>
                <w:color w:val="1C2A3D"/>
                <w:sz w:val="21"/>
                <w:szCs w:val="21"/>
              </w:rPr>
              <w:t xml:space="preserve">SIM swap detection</w:t>
            </w:r>
          </w:p>
        </w:tc>
      </w:tr>
      <w:tr>
        <w:trPr>
          <w:cantSplit/>
        </w:trPr>
        <w:tc>
          <w:tcPr>
            <w:tcW w:type="pct" w:w="20%"/>
            <w:shd w:fill="FFFFFF" w:val="clear"/>
            <w:tcMar>
              <w:top w:type="dxa" w:w="60"/>
              <w:left w:type="dxa" w:w="100"/>
              <w:bottom w:type="dxa" w:w="60"/>
              <w:right w:type="dxa" w:w="100"/>
            </w:tcMar>
          </w:tcPr>
          <w:p>
            <w:r>
              <w:rPr>
                <w:rFonts w:ascii="Times New Roman" w:eastAsia="SimSun"/>
                <w:color w:val="1C2A3D"/>
                <w:sz w:val="21"/>
                <w:szCs w:val="21"/>
              </w:rPr>
              <w:t xml:space="preserve">Fraud Management</w:t>
            </w:r>
          </w:p>
        </w:tc>
        <w:tc>
          <w:tcPr>
            <w:tcW w:type="pct" w:w="22%"/>
            <w:shd w:fill="FFFFFF" w:val="clear"/>
            <w:tcMar>
              <w:top w:type="dxa" w:w="60"/>
              <w:left w:type="dxa" w:w="100"/>
              <w:bottom w:type="dxa" w:w="60"/>
              <w:right w:type="dxa" w:w="100"/>
            </w:tcMar>
          </w:tcPr>
          <w:p>
            <w:r>
              <w:rPr>
                <w:rFonts w:ascii="Times New Roman" w:eastAsia="SimSun"/>
                <w:color w:val="1C2A3D"/>
                <w:sz w:val="21"/>
                <w:szCs w:val="21"/>
              </w:rPr>
              <w:t xml:space="preserve">Kafka topics</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Alerts, rules fired</w:t>
            </w:r>
          </w:p>
        </w:tc>
        <w:tc>
          <w:tcPr>
            <w:tcW w:type="pct" w:w="33%"/>
            <w:shd w:fill="FFFFFF" w:val="clear"/>
            <w:tcMar>
              <w:top w:type="dxa" w:w="60"/>
              <w:left w:type="dxa" w:w="100"/>
              <w:bottom w:type="dxa" w:w="60"/>
              <w:right w:type="dxa" w:w="100"/>
            </w:tcMar>
          </w:tcPr>
          <w:p>
            <w:r>
              <w:rPr>
                <w:rFonts w:ascii="Times New Roman" w:eastAsia="SimSun"/>
                <w:color w:val="1C2A3D"/>
                <w:sz w:val="21"/>
                <w:szCs w:val="21"/>
              </w:rPr>
              <w:t xml:space="preserve">Correlation input</w:t>
            </w:r>
          </w:p>
        </w:tc>
      </w:tr>
    </w:tbl>
    <w:p>
      <w:pPr>
        <w:pStyle w:val="Heading1"/>
        <w:spacing w:after="120" w:before="360" w:line="312"/>
      </w:pPr>
      <w:bookmarkStart w:id="100021" w:name="_Toc100021"/>
      <w:r>
        <w:rPr>
          <w:rFonts w:ascii="Calibri" w:eastAsia="SimHei"/>
          <w:b/>
          <w:bCs/>
          <w:color w:val="0B1220"/>
          <w:sz w:val="32"/>
          <w:szCs w:val="32"/>
        </w:rPr>
        <w:t xml:space="preserve">5.3 External Threat Feed Integration</w:t>
      </w:r>
      <w:bookmarkEnd w:id="100021"/>
    </w:p>
    <w:p>
      <w:pPr>
        <w:spacing w:line="312"/>
        <w:ind w:firstLine="480"/>
        <w:jc w:val="both"/>
      </w:pPr>
      <w:r>
        <w:rPr>
          <w:rFonts w:ascii="Times New Roman" w:eastAsia="SimSun"/>
          <w:color w:val="1C2A3D"/>
          <w:sz w:val="24"/>
          <w:szCs w:val="24"/>
        </w:rPr>
        <w:t xml:space="preserve">External threat intelligence feeds provide indicators and context from sources beyond Djezzy's direct visibility. The integration architecture normalizes diverse feed formats (STIX/TAXII, CSV, JSON, plain text) into a unified IOC schema stored in the threat intelligence database. Feed quality scoring automatically weights indicator reliability based on source accuracy history.</w:t>
      </w:r>
    </w:p>
    <w:p>
      <w:pPr>
        <w:spacing w:line="312"/>
        <w:ind w:firstLine="480"/>
        <w:jc w:val="both"/>
      </w:pPr>
      <w:r>
        <w:rPr>
          <w:rFonts w:ascii="Times New Roman" w:eastAsia="SimSun"/>
          <w:color w:val="1C2A3D"/>
          <w:sz w:val="24"/>
          <w:szCs w:val="24"/>
        </w:rPr>
        <w:t xml:space="preserve">Commercial feed providers (Recorded Future, Intel 471, CrowdStrike Falcon X) integrate via their respective APIs with polling intervals ranging from 5 minutes (critical feeds) to hourly (strategic intelligence). Open-source feeds (AlienVault OTX, abuse.ch SSL Blacklist, PhishTank) pull via TAXII servers or direct HTTPS downloads. Community feeds (Telecom ISAC, FIRST) synchronize through MISP's sync mechanism with appropriate filtering for telecom-relevant indicators.</w:t>
      </w:r>
    </w:p>
    <w:p>
      <w:pPr>
        <w:pStyle w:val="Heading1"/>
        <w:spacing w:after="120" w:before="360" w:line="312"/>
      </w:pPr>
      <w:bookmarkStart w:id="100022" w:name="_Toc100022"/>
      <w:r>
        <w:rPr>
          <w:rFonts w:ascii="Calibri" w:eastAsia="SimHei"/>
          <w:b/>
          <w:bCs/>
          <w:color w:val="0B1220"/>
          <w:sz w:val="32"/>
          <w:szCs w:val="32"/>
        </w:rPr>
        <w:t xml:space="preserve">6. Performance Optimization Strategy</w:t>
      </w:r>
      <w:bookmarkEnd w:id="100022"/>
    </w:p>
    <w:p>
      <w:pPr>
        <w:spacing w:line="312"/>
        <w:ind w:firstLine="480"/>
        <w:jc w:val="both"/>
      </w:pPr>
      <w:r>
        <w:rPr>
          <w:rFonts w:ascii="Times New Roman" w:eastAsia="SimSun"/>
          <w:color w:val="1C2A3D"/>
          <w:sz w:val="24"/>
          <w:szCs w:val="24"/>
        </w:rPr>
        <w:t xml:space="preserve">Achieving production-ready performance requires systematic optimization across all layers of the technology stack: database query performance, API response times, frontend rendering speed, and inter-system communication latency. This section presents the optimization strategies and target metrics for each layer.</w:t>
      </w:r>
    </w:p>
    <w:p>
      <w:pPr>
        <w:pStyle w:val="Heading1"/>
        <w:spacing w:after="120" w:before="360" w:line="312"/>
      </w:pPr>
      <w:bookmarkStart w:id="100023" w:name="_Toc100023"/>
      <w:r>
        <w:rPr>
          <w:rFonts w:ascii="Calibri" w:eastAsia="SimHei"/>
          <w:b/>
          <w:bCs/>
          <w:color w:val="0B1220"/>
          <w:sz w:val="32"/>
          <w:szCs w:val="32"/>
        </w:rPr>
        <w:t xml:space="preserve">6.1 Multi-Layer Caching Architecture</w:t>
      </w:r>
      <w:bookmarkEnd w:id="100023"/>
    </w:p>
    <w:p>
      <w:pPr>
        <w:spacing w:line="312"/>
        <w:ind w:firstLine="480"/>
        <w:jc w:val="both"/>
      </w:pPr>
      <w:r>
        <w:rPr>
          <w:rFonts w:ascii="Times New Roman" w:eastAsia="SimSun"/>
          <w:color w:val="1C2A3D"/>
          <w:sz w:val="24"/>
          <w:szCs w:val="24"/>
        </w:rPr>
        <w:t xml:space="preserve">Caching reduces database load and improves response times for frequently accessed data. The implementation uses a three-tier caching strategy: browser cache for static assets (CSS, JS, images) with Cache-Control headers specifying 1-year max-age with content-hash filenames, CDN edge cache for API responses at Points of Presence near users (Algiers, Oran, Constantine) with 60-second TTL for dynamic content, and Redis cluster cache for application-level data (user sessions, permission caches, frequently referenced lookup tables) with configurable TTLs per data type.</w:t>
      </w:r>
    </w:p>
    <w:p>
      <w:pPr>
        <w:spacing w:line="312"/>
        <w:ind w:firstLine="480"/>
        <w:jc w:val="both"/>
      </w:pPr>
      <w:r>
        <w:rPr>
          <w:rFonts w:ascii="Times New Roman" w:eastAsia="SimSun"/>
          <w:color w:val="1C2A3D"/>
          <w:sz w:val="24"/>
          <w:szCs w:val="24"/>
        </w:rPr>
        <w:t xml:space="preserve">Redis Cluster deployment uses 6 nodes (3 masters, 3 replicas) with shard count of 16 for horizontal scaling. Memory allocation prioritizes high-access patterns: active incident data (5-minute TTL), user permission sets (1-hour TTL), threat intel summary (15-minute TTL), and dashboard aggregation results (1-minute TTL). Cache invalidation follows write-through pattern for critical data (incidents, events) with pub/sub notifications across Redis instances.</w:t>
      </w:r>
    </w:p>
    <w:p>
      <w:pPr>
        <w:pStyle w:val="Heading1"/>
        <w:spacing w:after="120" w:before="360" w:line="312"/>
      </w:pPr>
      <w:bookmarkStart w:id="100024" w:name="_Toc100024"/>
      <w:r>
        <w:rPr>
          <w:rFonts w:ascii="Calibri" w:eastAsia="SimHei"/>
          <w:b/>
          <w:bCs/>
          <w:color w:val="0B1220"/>
          <w:sz w:val="32"/>
          <w:szCs w:val="32"/>
        </w:rPr>
        <w:t xml:space="preserve">6.2 Database Query Optimization</w:t>
      </w:r>
      <w:bookmarkEnd w:id="100024"/>
    </w:p>
    <w:p>
      <w:pPr>
        <w:spacing w:line="312"/>
        <w:ind w:firstLine="480"/>
        <w:jc w:val="both"/>
      </w:pPr>
      <w:r>
        <w:rPr>
          <w:rFonts w:ascii="Times New Roman" w:eastAsia="SimSun"/>
          <w:color w:val="1C2A3D"/>
          <w:sz w:val="24"/>
          <w:szCs w:val="24"/>
        </w:rPr>
        <w:t xml:space="preserve">Query optimization focuses on the most impactful slow queries identified during load testing. Primary optimization techniques include: materialized views for dashboard aggregation queries refreshed every 5 minutes, partial indexes for common filter combinations (WHERE severity = 'critical' AND status = 'open'), covering indexes for frequent lookup queries eliminating heap fetches, and prepared statements with parameter binding reducing parse overhead.</w:t>
      </w:r>
    </w:p>
    <w:p>
      <w:pPr>
        <w:spacing w:line="312"/>
        <w:ind w:firstLine="480"/>
        <w:jc w:val="both"/>
      </w:pPr>
      <w:r>
        <w:rPr>
          <w:rFonts w:ascii="Times New Roman" w:eastAsia="SimSun"/>
          <w:color w:val="1C2A3D"/>
          <w:sz w:val="24"/>
          <w:szCs w:val="24"/>
        </w:rPr>
        <w:t xml:space="preserve">The query performance monitoring system captures every query exceeding 100 milliseconds execution time, storing the query text, execution plan, and bind parameters for analysis. Weekly reviews identify optimization opportunities, with target metrics: p50 query latency under 20ms, p99 under 500ms, and no production queries exceeding 5 seconds for interactive operations. Batch reporting queries may exceed these thresholds but must run against read replicas.</w:t>
      </w:r>
    </w:p>
    <w:p>
      <w:pPr>
        <w:pStyle w:val="Heading1"/>
        <w:spacing w:after="120" w:before="360" w:line="312"/>
      </w:pPr>
      <w:bookmarkStart w:id="100025" w:name="_Toc100025"/>
      <w:r>
        <w:rPr>
          <w:rFonts w:ascii="Calibri" w:eastAsia="SimHei"/>
          <w:b/>
          <w:bCs/>
          <w:color w:val="0B1220"/>
          <w:sz w:val="32"/>
          <w:szCs w:val="32"/>
        </w:rPr>
        <w:t xml:space="preserve">6.3 Frontend Rendering Optimization</w:t>
      </w:r>
      <w:bookmarkEnd w:id="100025"/>
    </w:p>
    <w:p>
      <w:pPr>
        <w:spacing w:line="312"/>
        <w:ind w:firstLine="480"/>
        <w:jc w:val="both"/>
      </w:pPr>
      <w:r>
        <w:rPr>
          <w:rFonts w:ascii="Times New Roman" w:eastAsia="SimSun"/>
          <w:color w:val="1C2A3D"/>
          <w:sz w:val="24"/>
          <w:szCs w:val="24"/>
        </w:rPr>
        <w:t xml:space="preserve">Frontend performance targets First Contentful Paint under 1.5 seconds and Time to Interactive under 3 seconds on standard corporate workstation hardware. Optimization techniques include code splitting by route (lazy-loading dashboard pages), React.memo for expensive component trees, virtual scrolling for large lists (event tables showing 10,000+ rows), and WebSocket push updates instead of polling for real-time data.</w:t>
      </w:r>
    </w:p>
    <w:p>
      <w:pPr>
        <w:spacing w:line="312"/>
        <w:ind w:firstLine="480"/>
        <w:jc w:val="both"/>
      </w:pPr>
      <w:r>
        <w:rPr>
          <w:rFonts w:ascii="Times New Roman" w:eastAsia="SimSun"/>
          <w:color w:val="1C2A3D"/>
          <w:sz w:val="24"/>
          <w:szCs w:val="24"/>
        </w:rPr>
        <w:t xml:space="preserve">Bundle size optimization targets under 200KB initial JavaScript payload (gzipped) through tree shaking unused code, dynamic imports for heavy dependencies (chart libraries, code editors), and SVG icon system replacing icon fonts. Image optimization uses WebP format with JPEG fallback, responsive srcset for device-appropriate sizing, and lazy loading for below-fold images. Performance regression tests run on every commit preventing degradation.</w:t>
      </w:r>
    </w:p>
    <w:p>
      <w:pPr>
        <w:spacing w:after="150" w:before="300"/>
      </w:pPr>
      <w:r>
        <w:rPr>
          <w:b/>
          <w:bCs/>
          <w:color w:val="0B1220"/>
          <w:sz w:val="24"/>
          <w:szCs w:val="24"/>
        </w:rPr>
        <w:t xml:space="preserve">Performance Target Metrics:</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tblGrid>
      <w:tr>
        <w:trPr>
          <w:cantSplit/>
          <w:tblHeader/>
        </w:trPr>
        <w:tc>
          <w:tcPr>
            <w:tcW w:type="pct" w:w="3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Metric</w:t>
            </w:r>
          </w:p>
        </w:tc>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Target</w:t>
            </w:r>
          </w:p>
        </w:tc>
        <w:tc>
          <w:tcPr>
            <w:tcW w:type="pct" w:w="4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Measurement Method</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API Response Time (p50)</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&lt; 50ms</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APM tracing (Jaeger)</w:t>
            </w:r>
          </w:p>
        </w:tc>
      </w:tr>
      <w:tr>
        <w:trPr>
          <w:cantSplit/>
        </w:trPr>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API Response Time (p99)</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&lt; 500ms</w:t>
            </w:r>
          </w:p>
        </w:tc>
        <w:tc>
          <w:tcPr>
            <w:tcW w:type="pct" w:w="45%"/>
            <w:shd w:fill="FFFFFF" w:val="clear"/>
            <w:tcMar>
              <w:top w:type="dxa" w:w="60"/>
              <w:left w:type="dxa" w:w="100"/>
              <w:bottom w:type="dxa" w:w="60"/>
              <w:right w:type="dxa" w:w="100"/>
            </w:tcMar>
          </w:tcPr>
          <w:p>
            <w:r>
              <w:rPr>
                <w:rFonts w:ascii="Times New Roman" w:eastAsia="SimSun"/>
                <w:color w:val="1C2A3D"/>
                <w:sz w:val="21"/>
                <w:szCs w:val="21"/>
              </w:rPr>
              <w:t xml:space="preserve">APM tracing (Jaeger)</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Dashboard Load Time</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&lt; 3 seconds</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Synthetic monitoring</w:t>
            </w:r>
          </w:p>
        </w:tc>
      </w:tr>
      <w:tr>
        <w:trPr>
          <w:cantSplit/>
        </w:trPr>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Event Ingestion Rate</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&gt; 50,000 EPS</w:t>
            </w:r>
          </w:p>
        </w:tc>
        <w:tc>
          <w:tcPr>
            <w:tcW w:type="pct" w:w="45%"/>
            <w:shd w:fill="FFFFFF" w:val="clear"/>
            <w:tcMar>
              <w:top w:type="dxa" w:w="60"/>
              <w:left w:type="dxa" w:w="100"/>
              <w:bottom w:type="dxa" w:w="60"/>
              <w:right w:type="dxa" w:w="100"/>
            </w:tcMar>
          </w:tcPr>
          <w:p>
            <w:r>
              <w:rPr>
                <w:rFonts w:ascii="Times New Roman" w:eastAsia="SimSun"/>
                <w:color w:val="1C2A3D"/>
                <w:sz w:val="21"/>
                <w:szCs w:val="21"/>
              </w:rPr>
              <w:t xml:space="preserve">Kafka consumer lag</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Search Query Response</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&lt; 2 seconds</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Elasticsearch slowlog</w:t>
            </w:r>
          </w:p>
        </w:tc>
      </w:tr>
      <w:tr>
        <w:trPr>
          <w:cantSplit/>
        </w:trPr>
        <w:tc>
          <w:tcPr>
            <w:tcW w:type="pct" w:w="30%"/>
            <w:shd w:fill="FFFFFF" w:val="clear"/>
            <w:tcMar>
              <w:top w:type="dxa" w:w="60"/>
              <w:left w:type="dxa" w:w="100"/>
              <w:bottom w:type="dxa" w:w="60"/>
              <w:right w:type="dxa" w:w="100"/>
            </w:tcMar>
          </w:tcPr>
          <w:p>
            <w:r>
              <w:rPr>
                <w:rFonts w:ascii="Times New Roman" w:eastAsia="SimSun"/>
                <w:color w:val="1C2A3D"/>
                <w:sz w:val="21"/>
                <w:szCs w:val="21"/>
              </w:rPr>
              <w:t xml:space="preserve">Concurrent User Support</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&gt; 500 users</w:t>
            </w:r>
          </w:p>
        </w:tc>
        <w:tc>
          <w:tcPr>
            <w:tcW w:type="pct" w:w="45%"/>
            <w:shd w:fill="FFFFFF" w:val="clear"/>
            <w:tcMar>
              <w:top w:type="dxa" w:w="60"/>
              <w:left w:type="dxa" w:w="100"/>
              <w:bottom w:type="dxa" w:w="60"/>
              <w:right w:type="dxa" w:w="100"/>
            </w:tcMar>
          </w:tcPr>
          <w:p>
            <w:r>
              <w:rPr>
                <w:rFonts w:ascii="Times New Roman" w:eastAsia="SimSun"/>
                <w:color w:val="1C2A3D"/>
                <w:sz w:val="21"/>
                <w:szCs w:val="21"/>
              </w:rPr>
              <w:t xml:space="preserve">Load testing (k6)</w:t>
            </w:r>
          </w:p>
        </w:tc>
      </w:tr>
      <w:tr>
        <w:trPr>
          <w:cantSplit/>
        </w:trPr>
        <w:tc>
          <w:tcPr>
            <w:tcW w:type="pct" w:w="30%"/>
            <w:shd w:fill="F1F5F9" w:val="clear"/>
            <w:tcMar>
              <w:top w:type="dxa" w:w="60"/>
              <w:left w:type="dxa" w:w="100"/>
              <w:bottom w:type="dxa" w:w="60"/>
              <w:right w:type="dxa" w:w="100"/>
            </w:tcMar>
          </w:tcPr>
          <w:p>
            <w:r>
              <w:rPr>
                <w:rFonts w:ascii="Times New Roman" w:eastAsia="SimSun"/>
                <w:color w:val="1C2A3D"/>
                <w:sz w:val="21"/>
                <w:szCs w:val="21"/>
              </w:rPr>
              <w:t xml:space="preserve">System Uptime SLA</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99.95%</w:t>
            </w:r>
          </w:p>
        </w:tc>
        <w:tc>
          <w:tcPr>
            <w:tcW w:type="pct" w:w="45%"/>
            <w:shd w:fill="F1F5F9" w:val="clear"/>
            <w:tcMar>
              <w:top w:type="dxa" w:w="60"/>
              <w:left w:type="dxa" w:w="100"/>
              <w:bottom w:type="dxa" w:w="60"/>
              <w:right w:type="dxa" w:w="100"/>
            </w:tcMar>
          </w:tcPr>
          <w:p>
            <w:r>
              <w:rPr>
                <w:rFonts w:ascii="Times New Roman" w:eastAsia="SimSun"/>
                <w:color w:val="1C2A3D"/>
                <w:sz w:val="21"/>
                <w:szCs w:val="21"/>
              </w:rPr>
              <w:t xml:space="preserve">Prometheus availability</w:t>
            </w:r>
          </w:p>
        </w:tc>
      </w:tr>
    </w:tbl>
    <w:p>
      <w:pPr>
        <w:pStyle w:val="Heading1"/>
        <w:spacing w:after="120" w:before="360" w:line="312"/>
      </w:pPr>
      <w:bookmarkStart w:id="100026" w:name="_Toc100026"/>
      <w:r>
        <w:rPr>
          <w:rFonts w:ascii="Calibri" w:eastAsia="SimHei"/>
          <w:b/>
          <w:bCs/>
          <w:color w:val="0B1220"/>
          <w:sz w:val="32"/>
          <w:szCs w:val="32"/>
        </w:rPr>
        <w:t xml:space="preserve">7. Security Hardening &amp; Compliance</w:t>
      </w:r>
      <w:bookmarkEnd w:id="100026"/>
    </w:p>
    <w:p>
      <w:pPr>
        <w:spacing w:line="312"/>
        <w:ind w:firstLine="480"/>
        <w:jc w:val="both"/>
      </w:pPr>
      <w:r>
        <w:rPr>
          <w:rFonts w:ascii="Times New Roman" w:eastAsia="SimSun"/>
          <w:color w:val="1C2A3D"/>
          <w:sz w:val="24"/>
          <w:szCs w:val="24"/>
        </w:rPr>
        <w:t xml:space="preserve">As a security operations platform handling sensitive telecommunications data and security intelligence, the Djezzy SOC Platform must exemplify security best practices. This section addresses platform security measures, data protection controls, and compliance considerations relevant to Algerian telecommunications regulations and international security standards.</w:t>
      </w:r>
    </w:p>
    <w:p>
      <w:pPr>
        <w:pStyle w:val="Heading1"/>
        <w:spacing w:after="120" w:before="360" w:line="312"/>
      </w:pPr>
      <w:bookmarkStart w:id="100027" w:name="_Toc100027"/>
      <w:r>
        <w:rPr>
          <w:rFonts w:ascii="Calibri" w:eastAsia="SimHei"/>
          <w:b/>
          <w:bCs/>
          <w:color w:val="0B1220"/>
          <w:sz w:val="32"/>
          <w:szCs w:val="32"/>
        </w:rPr>
        <w:t xml:space="preserve">7.1 Network Segmentation &amp; Zero Trust</w:t>
      </w:r>
      <w:bookmarkEnd w:id="100027"/>
    </w:p>
    <w:p>
      <w:pPr>
        <w:spacing w:line="312"/>
        <w:ind w:firstLine="480"/>
        <w:jc w:val="both"/>
      </w:pPr>
      <w:r>
        <w:rPr>
          <w:rFonts w:ascii="Times New Roman" w:eastAsia="SimSun"/>
          <w:color w:val="1C2A3D"/>
          <w:sz w:val="24"/>
          <w:szCs w:val="24"/>
        </w:rPr>
        <w:t xml:space="preserve">Network architecture implements Zero Trust principles with micro-segmentation between all system components. Kubernetes Network Policies (defined in Phase 10) restrict pod-to-pod communication to explicitly allowed flows. East-west traffic between services requires mTLS authentication via Istio service mesh. North-south traffic from user browsers passes through WAF (Web Application Firewall) rules filtering OWASP Top 10 attack patterns.</w:t>
      </w:r>
    </w:p>
    <w:p>
      <w:pPr>
        <w:spacing w:line="312"/>
        <w:ind w:firstLine="480"/>
        <w:jc w:val="both"/>
      </w:pPr>
      <w:r>
        <w:rPr>
          <w:rFonts w:ascii="Times New Roman" w:eastAsia="SimSun"/>
          <w:color w:val="1C2A3D"/>
          <w:sz w:val="24"/>
          <w:szCs w:val="24"/>
        </w:rPr>
        <w:t xml:space="preserve">Administrative access follows bastion host pattern with jump servers in dedicated management VLAN. All administrative sessions record for audit replay. SSH access requires key-based authentication with authorized keys rotated quarterly. Privileged access management (PAM) system grants just-in-time elevated permissions with automatic expiration and approval workflow.</w:t>
      </w:r>
    </w:p>
    <w:p>
      <w:pPr>
        <w:pStyle w:val="Heading1"/>
        <w:spacing w:after="120" w:before="360" w:line="312"/>
      </w:pPr>
      <w:bookmarkStart w:id="100028" w:name="_Toc100028"/>
      <w:r>
        <w:rPr>
          <w:rFonts w:ascii="Calibri" w:eastAsia="SimHei"/>
          <w:b/>
          <w:bCs/>
          <w:color w:val="0B1220"/>
          <w:sz w:val="32"/>
          <w:szCs w:val="32"/>
        </w:rPr>
        <w:t xml:space="preserve">7.2 Data Protection &amp; Encryption</w:t>
      </w:r>
      <w:bookmarkEnd w:id="100028"/>
    </w:p>
    <w:p>
      <w:pPr>
        <w:spacing w:line="312"/>
        <w:ind w:firstLine="480"/>
        <w:jc w:val="both"/>
      </w:pPr>
      <w:r>
        <w:rPr>
          <w:rFonts w:ascii="Times New Roman" w:eastAsia="SimSun"/>
          <w:color w:val="1C2A3D"/>
          <w:sz w:val="24"/>
          <w:szCs w:val="24"/>
        </w:rPr>
        <w:t xml:space="preserve">Encryption protects data at rest and in transit using industry-standard algorithms. Database Transparent Data Encryption (TDE) protects storage volumes using AES-256. Application-level encryption applies to highly sensitive fields (subscriber MSISDNs, IMSIs, call detail contents) using envelope encryption with AWS KMS or HashiCorp Vault for key management. TLS 1.3 terminates at Kong API Gateway with certificates from Let's Encrypt or internal CA.</w:t>
      </w:r>
    </w:p>
    <w:p>
      <w:pPr>
        <w:spacing w:line="312"/>
        <w:ind w:firstLine="480"/>
        <w:jc w:val="both"/>
      </w:pPr>
      <w:r>
        <w:rPr>
          <w:rFonts w:ascii="Times New Roman" w:eastAsia="SimSun"/>
          <w:color w:val="1C2A3D"/>
          <w:sz w:val="24"/>
          <w:szCs w:val="24"/>
        </w:rPr>
        <w:t xml:space="preserve">Data masking applies dynamically based on user role and purpose. Viewer-role users see masked identifiers (213********* instead of full MSISDN). Analysts requesting unmasked access must provide justification recorded in audit log. Data retention policies automate deletion of raw events after 13 months, with aggregated/anonymized data retained longer for trend analysis. Right-to-deletion requests from subscribers trigger purging within 72 hours per privacy regulations.</w:t>
      </w:r>
    </w:p>
    <w:p>
      <w:pPr>
        <w:pStyle w:val="Heading1"/>
        <w:spacing w:after="120" w:before="360" w:line="312"/>
      </w:pPr>
      <w:bookmarkStart w:id="100029" w:name="_Toc100029"/>
      <w:r>
        <w:rPr>
          <w:rFonts w:ascii="Calibri" w:eastAsia="SimHei"/>
          <w:b/>
          <w:bCs/>
          <w:color w:val="0B1220"/>
          <w:sz w:val="32"/>
          <w:szCs w:val="32"/>
        </w:rPr>
        <w:t xml:space="preserve">7.3 Audit Logging &amp; Compliance</w:t>
      </w:r>
      <w:bookmarkEnd w:id="100029"/>
    </w:p>
    <w:p>
      <w:pPr>
        <w:spacing w:line="312"/>
        <w:ind w:firstLine="480"/>
        <w:jc w:val="both"/>
      </w:pPr>
      <w:r>
        <w:rPr>
          <w:rFonts w:ascii="Times New Roman" w:eastAsia="SimSun"/>
          <w:color w:val="1C2A3D"/>
          <w:sz w:val="24"/>
          <w:szCs w:val="24"/>
        </w:rPr>
        <w:t xml:space="preserve">Comprehensive audit logging captures all security-relevant events: user authentication (success/failure), authorization decisions (especially denied requests), data access (especially PII reads), configuration changes, and data export/deletion operations. Audit logs write to immutable storage (WORM-compliant object storage) with 7-year retention meeting regulatory requirements. Tamper-evident logging detects unauthorized modification attempts.</w:t>
      </w:r>
    </w:p>
    <w:p>
      <w:pPr>
        <w:spacing w:line="312"/>
        <w:ind w:firstLine="480"/>
        <w:jc w:val="both"/>
      </w:pPr>
      <w:r>
        <w:rPr>
          <w:rFonts w:ascii="Times New Roman" w:eastAsia="SimSun"/>
          <w:color w:val="1C2A3D"/>
          <w:sz w:val="24"/>
          <w:szCs w:val="24"/>
        </w:rPr>
        <w:t xml:space="preserve">Compliance frameworks addressed include ISO 27001 (information security management), NIST Cybersecurity Framework (risk-based security program), and telecom-specific regulations from ARPT (Autorite de Regulation de la Poste et des Telecommunications). Quarterly internal audits verify control effectiveness with findings tracked to remediation. Annual third-party assessment validates compliance posture for stakeholder assurance.</w:t>
      </w:r>
    </w:p>
    <w:p>
      <w:pPr>
        <w:pStyle w:val="Heading1"/>
        <w:spacing w:after="120" w:before="360" w:line="312"/>
      </w:pPr>
      <w:bookmarkStart w:id="100030" w:name="_Toc100030"/>
      <w:r>
        <w:rPr>
          <w:rFonts w:ascii="Calibri" w:eastAsia="SimHei"/>
          <w:b/>
          <w:bCs/>
          <w:color w:val="0B1220"/>
          <w:sz w:val="32"/>
          <w:szCs w:val="32"/>
        </w:rPr>
        <w:t xml:space="preserve">8. Implementation Timeline &amp; Milestones</w:t>
      </w:r>
      <w:bookmarkEnd w:id="100030"/>
    </w:p>
    <w:p>
      <w:pPr>
        <w:spacing w:line="312"/>
        <w:ind w:firstLine="480"/>
        <w:jc w:val="both"/>
      </w:pPr>
      <w:r>
        <w:rPr>
          <w:rFonts w:ascii="Times New Roman" w:eastAsia="SimSun"/>
          <w:color w:val="1C2A3D"/>
          <w:sz w:val="24"/>
          <w:szCs w:val="24"/>
        </w:rPr>
        <w:t xml:space="preserve">The 12-month implementation timeline organizes work into four major phases, each delivering incremental capability improvements. This phased approach manages risk by validating integrations progressively while providing early value through quick wins in each phase.</w:t>
      </w:r>
    </w:p>
    <w:p>
      <w:pPr>
        <w:spacing w:after="150" w:before="200"/>
      </w:pPr>
      <w:r>
        <w:rPr>
          <w:b/>
          <w:bCs/>
          <w:color w:val="0B1220"/>
          <w:sz w:val="24"/>
          <w:szCs w:val="24"/>
        </w:rPr>
        <w:t xml:space="preserve">Phase Timeline Overview:</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gridCol w:w="100"/>
      </w:tblGrid>
      <w:tr>
        <w:trPr>
          <w:cantSplit/>
          <w:tblHeader/>
        </w:trPr>
        <w:tc>
          <w:tcPr>
            <w:tcW w:type="pct" w:w="1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Phase</w:t>
            </w:r>
          </w:p>
        </w:tc>
        <w:tc>
          <w:tcPr>
            <w:tcW w:type="pct" w:w="18%"/>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Duration</w:t>
            </w:r>
          </w:p>
        </w:tc>
        <w:tc>
          <w:tcPr>
            <w:tcW w:type="pct" w:w="25%"/>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Focus Area</w:t>
            </w:r>
          </w:p>
        </w:tc>
        <w:tc>
          <w:tcPr>
            <w:tcW w:type="pct" w:w="4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Key Deliverables</w:t>
            </w:r>
          </w:p>
        </w:tc>
      </w:tr>
      <w:tr>
        <w:trPr>
          <w:cantSplit/>
        </w:trPr>
        <w:tc>
          <w:tcPr>
            <w:tcW w:type="pct" w:w="15%"/>
            <w:shd w:fill="F1F5F9" w:val="clear"/>
            <w:tcMar>
              <w:top w:type="dxa" w:w="60"/>
              <w:left w:type="dxa" w:w="100"/>
              <w:bottom w:type="dxa" w:w="60"/>
              <w:right w:type="dxa" w:w="100"/>
            </w:tcMar>
          </w:tcPr>
          <w:p>
            <w:r>
              <w:rPr>
                <w:rFonts w:ascii="Times New Roman" w:eastAsia="SimSun"/>
                <w:color w:val="1C2A3D"/>
                <w:sz w:val="21"/>
                <w:szCs w:val="21"/>
              </w:rPr>
              <w:t xml:space="preserve">Phase 11.1</w:t>
            </w:r>
          </w:p>
        </w:tc>
        <w:tc>
          <w:tcPr>
            <w:tcW w:type="pct" w:w="18%"/>
            <w:shd w:fill="F1F5F9" w:val="clear"/>
            <w:tcMar>
              <w:top w:type="dxa" w:w="60"/>
              <w:left w:type="dxa" w:w="100"/>
              <w:bottom w:type="dxa" w:w="60"/>
              <w:right w:type="dxa" w:w="100"/>
            </w:tcMar>
          </w:tcPr>
          <w:p>
            <w:r>
              <w:rPr>
                <w:rFonts w:ascii="Times New Roman" w:eastAsia="SimSun"/>
                <w:color w:val="1C2A3D"/>
                <w:sz w:val="21"/>
                <w:szCs w:val="21"/>
              </w:rPr>
              <w:t xml:space="preserve">Months 1-3</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Core Infrastructure</w:t>
            </w:r>
          </w:p>
        </w:tc>
        <w:tc>
          <w:tcPr>
            <w:tcW w:type="pct" w:w="42%"/>
            <w:shd w:fill="F1F5F9" w:val="clear"/>
            <w:tcMar>
              <w:top w:type="dxa" w:w="60"/>
              <w:left w:type="dxa" w:w="100"/>
              <w:bottom w:type="dxa" w:w="60"/>
              <w:right w:type="dxa" w:w="100"/>
            </w:tcMar>
          </w:tcPr>
          <w:p>
            <w:r>
              <w:rPr>
                <w:rFonts w:ascii="Times New Roman" w:eastAsia="SimSun"/>
                <w:color w:val="1C2A3D"/>
                <w:sz w:val="21"/>
                <w:szCs w:val="21"/>
              </w:rPr>
              <w:t xml:space="preserve">PostgreSQL cluster, Kafka, Redis, API Gateway</w:t>
            </w:r>
          </w:p>
        </w:tc>
      </w:tr>
      <w:tr>
        <w:trPr>
          <w:cantSplit/>
        </w:trPr>
        <w:tc>
          <w:tcPr>
            <w:tcW w:type="pct" w:w="15%"/>
            <w:shd w:fill="FFFFFF" w:val="clear"/>
            <w:tcMar>
              <w:top w:type="dxa" w:w="60"/>
              <w:left w:type="dxa" w:w="100"/>
              <w:bottom w:type="dxa" w:w="60"/>
              <w:right w:type="dxa" w:w="100"/>
            </w:tcMar>
          </w:tcPr>
          <w:p>
            <w:r>
              <w:rPr>
                <w:rFonts w:ascii="Times New Roman" w:eastAsia="SimSun"/>
                <w:color w:val="1C2A3D"/>
                <w:sz w:val="21"/>
                <w:szCs w:val="21"/>
              </w:rPr>
              <w:t xml:space="preserve">Phase 11.2</w:t>
            </w:r>
          </w:p>
        </w:tc>
        <w:tc>
          <w:tcPr>
            <w:tcW w:type="pct" w:w="18%"/>
            <w:shd w:fill="FFFFFF" w:val="clear"/>
            <w:tcMar>
              <w:top w:type="dxa" w:w="60"/>
              <w:left w:type="dxa" w:w="100"/>
              <w:bottom w:type="dxa" w:w="60"/>
              <w:right w:type="dxa" w:w="100"/>
            </w:tcMar>
          </w:tcPr>
          <w:p>
            <w:r>
              <w:rPr>
                <w:rFonts w:ascii="Times New Roman" w:eastAsia="SimSun"/>
                <w:color w:val="1C2A3D"/>
                <w:sz w:val="21"/>
                <w:szCs w:val="21"/>
              </w:rPr>
              <w:t xml:space="preserve">Months 4-6</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Tool Integration</w:t>
            </w:r>
          </w:p>
        </w:tc>
        <w:tc>
          <w:tcPr>
            <w:tcW w:type="pct" w:w="42%"/>
            <w:shd w:fill="FFFFFF" w:val="clear"/>
            <w:tcMar>
              <w:top w:type="dxa" w:w="60"/>
              <w:left w:type="dxa" w:w="100"/>
              <w:bottom w:type="dxa" w:w="60"/>
              <w:right w:type="dxa" w:w="100"/>
            </w:tcMar>
          </w:tcPr>
          <w:p>
            <w:r>
              <w:rPr>
                <w:rFonts w:ascii="Times New Roman" w:eastAsia="SimSun"/>
                <w:color w:val="1C2A3D"/>
                <w:sz w:val="21"/>
                <w:szCs w:val="21"/>
              </w:rPr>
              <w:t xml:space="preserve">SIEM, EDR, SOAR deployment and connectivity</w:t>
            </w:r>
          </w:p>
        </w:tc>
      </w:tr>
      <w:tr>
        <w:trPr>
          <w:cantSplit/>
        </w:trPr>
        <w:tc>
          <w:tcPr>
            <w:tcW w:type="pct" w:w="15%"/>
            <w:shd w:fill="F1F5F9" w:val="clear"/>
            <w:tcMar>
              <w:top w:type="dxa" w:w="60"/>
              <w:left w:type="dxa" w:w="100"/>
              <w:bottom w:type="dxa" w:w="60"/>
              <w:right w:type="dxa" w:w="100"/>
            </w:tcMar>
          </w:tcPr>
          <w:p>
            <w:r>
              <w:rPr>
                <w:rFonts w:ascii="Times New Roman" w:eastAsia="SimSun"/>
                <w:color w:val="1C2A3D"/>
                <w:sz w:val="21"/>
                <w:szCs w:val="21"/>
              </w:rPr>
              <w:t xml:space="preserve">Phase 11.3</w:t>
            </w:r>
          </w:p>
        </w:tc>
        <w:tc>
          <w:tcPr>
            <w:tcW w:type="pct" w:w="18%"/>
            <w:shd w:fill="F1F5F9" w:val="clear"/>
            <w:tcMar>
              <w:top w:type="dxa" w:w="60"/>
              <w:left w:type="dxa" w:w="100"/>
              <w:bottom w:type="dxa" w:w="60"/>
              <w:right w:type="dxa" w:w="100"/>
            </w:tcMar>
          </w:tcPr>
          <w:p>
            <w:r>
              <w:rPr>
                <w:rFonts w:ascii="Times New Roman" w:eastAsia="SimSun"/>
                <w:color w:val="1C2A3D"/>
                <w:sz w:val="21"/>
                <w:szCs w:val="21"/>
              </w:rPr>
              <w:t xml:space="preserve">Months 7-9</w:t>
            </w:r>
          </w:p>
        </w:tc>
        <w:tc>
          <w:tcPr>
            <w:tcW w:type="pct" w:w="25%"/>
            <w:shd w:fill="F1F5F9" w:val="clear"/>
            <w:tcMar>
              <w:top w:type="dxa" w:w="60"/>
              <w:left w:type="dxa" w:w="100"/>
              <w:bottom w:type="dxa" w:w="60"/>
              <w:right w:type="dxa" w:w="100"/>
            </w:tcMar>
          </w:tcPr>
          <w:p>
            <w:r>
              <w:rPr>
                <w:rFonts w:ascii="Times New Roman" w:eastAsia="SimSun"/>
                <w:color w:val="1C2A3D"/>
                <w:sz w:val="21"/>
                <w:szCs w:val="21"/>
              </w:rPr>
              <w:t xml:space="preserve">Advanced Features</w:t>
            </w:r>
          </w:p>
        </w:tc>
        <w:tc>
          <w:tcPr>
            <w:tcW w:type="pct" w:w="42%"/>
            <w:shd w:fill="F1F5F9" w:val="clear"/>
            <w:tcMar>
              <w:top w:type="dxa" w:w="60"/>
              <w:left w:type="dxa" w:w="100"/>
              <w:bottom w:type="dxa" w:w="60"/>
              <w:right w:type="dxa" w:w="100"/>
            </w:tcMar>
          </w:tcPr>
          <w:p>
            <w:r>
              <w:rPr>
                <w:rFonts w:ascii="Times New Roman" w:eastAsia="SimSun"/>
                <w:color w:val="1C2A3D"/>
                <w:sz w:val="21"/>
                <w:szCs w:val="21"/>
              </w:rPr>
              <w:t xml:space="preserve">TI platform, NSM, Vulnerability Management</w:t>
            </w:r>
          </w:p>
        </w:tc>
      </w:tr>
      <w:tr>
        <w:trPr>
          <w:cantSplit/>
        </w:trPr>
        <w:tc>
          <w:tcPr>
            <w:tcW w:type="pct" w:w="15%"/>
            <w:shd w:fill="FFFFFF" w:val="clear"/>
            <w:tcMar>
              <w:top w:type="dxa" w:w="60"/>
              <w:left w:type="dxa" w:w="100"/>
              <w:bottom w:type="dxa" w:w="60"/>
              <w:right w:type="dxa" w:w="100"/>
            </w:tcMar>
          </w:tcPr>
          <w:p>
            <w:r>
              <w:rPr>
                <w:rFonts w:ascii="Times New Roman" w:eastAsia="SimSun"/>
                <w:color w:val="1C2A3D"/>
                <w:sz w:val="21"/>
                <w:szCs w:val="21"/>
              </w:rPr>
              <w:t xml:space="preserve">Phase 11.4</w:t>
            </w:r>
          </w:p>
        </w:tc>
        <w:tc>
          <w:tcPr>
            <w:tcW w:type="pct" w:w="18%"/>
            <w:shd w:fill="FFFFFF" w:val="clear"/>
            <w:tcMar>
              <w:top w:type="dxa" w:w="60"/>
              <w:left w:type="dxa" w:w="100"/>
              <w:bottom w:type="dxa" w:w="60"/>
              <w:right w:type="dxa" w:w="100"/>
            </w:tcMar>
          </w:tcPr>
          <w:p>
            <w:r>
              <w:rPr>
                <w:rFonts w:ascii="Times New Roman" w:eastAsia="SimSun"/>
                <w:color w:val="1C2A3D"/>
                <w:sz w:val="21"/>
                <w:szCs w:val="21"/>
              </w:rPr>
              <w:t xml:space="preserve">Months 10-12</w:t>
            </w:r>
          </w:p>
        </w:tc>
        <w:tc>
          <w:tcPr>
            <w:tcW w:type="pct" w:w="25%"/>
            <w:shd w:fill="FFFFFF" w:val="clear"/>
            <w:tcMar>
              <w:top w:type="dxa" w:w="60"/>
              <w:left w:type="dxa" w:w="100"/>
              <w:bottom w:type="dxa" w:w="60"/>
              <w:right w:type="dxa" w:w="100"/>
            </w:tcMar>
          </w:tcPr>
          <w:p>
            <w:r>
              <w:rPr>
                <w:rFonts w:ascii="Times New Roman" w:eastAsia="SimSun"/>
                <w:color w:val="1C2A3D"/>
                <w:sz w:val="21"/>
                <w:szCs w:val="21"/>
              </w:rPr>
              <w:t xml:space="preserve">Optimization &amp; Go-Live</w:t>
            </w:r>
          </w:p>
        </w:tc>
        <w:tc>
          <w:tcPr>
            <w:tcW w:type="pct" w:w="42%"/>
            <w:shd w:fill="FFFFFF" w:val="clear"/>
            <w:tcMar>
              <w:top w:type="dxa" w:w="60"/>
              <w:left w:type="dxa" w:w="100"/>
              <w:bottom w:type="dxa" w:w="60"/>
              <w:right w:type="dxa" w:w="100"/>
            </w:tcMar>
          </w:tcPr>
          <w:p>
            <w:r>
              <w:rPr>
                <w:rFonts w:ascii="Times New Roman" w:eastAsia="SimSun"/>
                <w:color w:val="1C2A3D"/>
                <w:sz w:val="21"/>
                <w:szCs w:val="21"/>
              </w:rPr>
              <w:t xml:space="preserve">Performance tuning, security hardening, cutover</w:t>
            </w:r>
          </w:p>
        </w:tc>
      </w:tr>
    </w:tbl>
    <w:p>
      <w:pPr>
        <w:pStyle w:val="Heading1"/>
        <w:spacing w:after="120" w:before="360" w:line="312"/>
      </w:pPr>
      <w:bookmarkStart w:id="100031" w:name="_Toc100031"/>
      <w:r>
        <w:rPr>
          <w:rFonts w:ascii="Calibri" w:eastAsia="SimHei"/>
          <w:b/>
          <w:bCs/>
          <w:color w:val="0B1220"/>
          <w:sz w:val="32"/>
          <w:szCs w:val="32"/>
        </w:rPr>
        <w:t xml:space="preserve">8.1 Phase 11.1: Core Infrastructure Foundation (Months 1-3)</w:t>
      </w:r>
      <w:bookmarkEnd w:id="100031"/>
    </w:p>
    <w:p>
      <w:pPr>
        <w:spacing w:line="312"/>
        <w:ind w:firstLine="480"/>
        <w:jc w:val="both"/>
      </w:pPr>
      <w:r>
        <w:rPr>
          <w:rFonts w:ascii="Times New Roman" w:eastAsia="SimSun"/>
          <w:color w:val="1C2A3D"/>
          <w:sz w:val="24"/>
          <w:szCs w:val="24"/>
        </w:rPr>
        <w:t xml:space="preserve">The initial phase establishes the foundational infrastructure upon which all subsequent integrations build. Primary focus areas include deploying the production database cluster with replication and backup systems, establishing the Kafka event streaming platform, configuring Redis caching clusters, and implementing the API gateway with authentication and rate limiting.</w:t>
      </w:r>
    </w:p>
    <w:p>
      <w:pPr>
        <w:spacing w:line="312"/>
        <w:ind w:firstLine="480"/>
        <w:jc w:val="both"/>
      </w:pPr>
      <w:r>
        <w:rPr>
          <w:rFonts w:ascii="Times New Roman" w:eastAsia="SimSun"/>
          <w:color w:val="1C2A3D"/>
          <w:sz w:val="24"/>
          <w:szCs w:val="24"/>
        </w:rPr>
        <w:t xml:space="preserve">Month 1 delivers the PostgreSQL primary cluster with PgBouncer connection pooling, basic schema migrations for core tables, and backup configuration with cross-region replication. Month 2 completes the Kafka cluster deployment with initial topic configuration and Schema Registry setup, plus Redis cluster for caching. Month 3 finishes API gateway configuration, implements core authentication flows with corporate IdP integration, and delivers the first set of production API endpoints replacing mock data for user management and basic event queries.</w:t>
      </w:r>
    </w:p>
    <w:p>
      <w:pPr>
        <w:pStyle w:val="Heading1"/>
        <w:spacing w:after="120" w:before="360" w:line="312"/>
      </w:pPr>
      <w:bookmarkStart w:id="100032" w:name="_Toc100032"/>
      <w:r>
        <w:rPr>
          <w:rFonts w:ascii="Calibri" w:eastAsia="SimHei"/>
          <w:b/>
          <w:bCs/>
          <w:color w:val="0B1220"/>
          <w:sz w:val="32"/>
          <w:szCs w:val="32"/>
        </w:rPr>
        <w:t xml:space="preserve">8.2 Phase 11.2: Security Tool Integration (Months 4-6)</w:t>
      </w:r>
      <w:bookmarkEnd w:id="100032"/>
    </w:p>
    <w:p>
      <w:pPr>
        <w:spacing w:line="312"/>
        <w:ind w:firstLine="480"/>
        <w:jc w:val="both"/>
      </w:pPr>
      <w:r>
        <w:rPr>
          <w:rFonts w:ascii="Times New Roman" w:eastAsia="SimSun"/>
          <w:color w:val="1C2A3D"/>
          <w:sz w:val="24"/>
          <w:szCs w:val="24"/>
        </w:rPr>
        <w:t xml:space="preserve">Phase 11.2 focuses on integrating the primary security tools: Wazuh/ELK SIEM stack, Wazuh/GRR EDR platform, and TheHive/Cortex SOAR platform. Each tool integration includes deployment, configuration, connectivity testing, and initial data flow validation.</w:t>
      </w:r>
    </w:p>
    <w:p>
      <w:pPr>
        <w:spacing w:line="312"/>
        <w:ind w:firstLine="480"/>
        <w:jc w:val="both"/>
      </w:pPr>
      <w:r>
        <w:rPr>
          <w:rFonts w:ascii="Times New Roman" w:eastAsia="SimSun"/>
          <w:color w:val="1C2A3D"/>
          <w:sz w:val="24"/>
          <w:szCs w:val="24"/>
        </w:rPr>
        <w:t xml:space="preserve">Month 4 deploys Wazuh server cluster and begins agent rollout to priority systems (domain controllers, security servers, DMZ infrastructure). Elasticsearch cluster deploys with initial nodes and index templates. Month 5 expands Wazuh coverage to remaining infrastructure, configures Logstash pipelines for major log sources, and deploys TheHive/Cortex with initial analyzer configuration. Month 6 completes EDR integration with GRR server deployment and Osquery fleet management, establishes bi-directional sync between TheHive and SOC Platform, and validates end-to-end alert-to-case workflows.</w:t>
      </w:r>
    </w:p>
    <w:p>
      <w:pPr>
        <w:pStyle w:val="Heading1"/>
        <w:spacing w:after="120" w:before="360" w:line="312"/>
      </w:pPr>
      <w:bookmarkStart w:id="100033" w:name="_Toc100033"/>
      <w:r>
        <w:rPr>
          <w:rFonts w:ascii="Calibri" w:eastAsia="SimHei"/>
          <w:b/>
          <w:bCs/>
          <w:color w:val="0B1220"/>
          <w:sz w:val="32"/>
          <w:szCs w:val="32"/>
        </w:rPr>
        <w:t xml:space="preserve">8.3 Phase 11.3: Advanced Capabilities (Months 7-9)</w:t>
      </w:r>
      <w:bookmarkEnd w:id="100033"/>
    </w:p>
    <w:p>
      <w:pPr>
        <w:spacing w:line="312"/>
        <w:ind w:firstLine="480"/>
        <w:jc w:val="both"/>
      </w:pPr>
      <w:r>
        <w:rPr>
          <w:rFonts w:ascii="Times New Roman" w:eastAsia="SimSun"/>
          <w:color w:val="1C2A3D"/>
          <w:sz w:val="24"/>
          <w:szCs w:val="24"/>
        </w:rPr>
        <w:t xml:space="preserve">Phase 11.3 adds advanced security capabilities including the Threat Intelligence platform (MISP/OpenCTI), Network Security Monitoring suite (Suricata/Zeek/Arkime), and Vulnerability Management (OpenVAS/DefectDojo). These tools require more complex configurations and benefit from the foundational integrations completed in prior phases.</w:t>
      </w:r>
    </w:p>
    <w:p>
      <w:pPr>
        <w:spacing w:line="312"/>
        <w:ind w:firstLine="480"/>
        <w:jc w:val="both"/>
      </w:pPr>
      <w:r>
        <w:rPr>
          <w:rFonts w:ascii="Times New Roman" w:eastAsia="SimSun"/>
          <w:color w:val="1C2A3D"/>
          <w:sz w:val="24"/>
          <w:szCs w:val="24"/>
        </w:rPr>
        <w:t xml:space="preserve">Month 7 deploys MISP instances (production, staging, air-gapped) with initial feed configuration and Telecom ISAC onboarding. OpenCTI deployment begins with APT group databases and telecom-specific attack pattern definitions. Month 8 deploys NSM sensors at priority locations (internet borders first, then data centers) with Suricata rules tuned for telecom environments. Arkime cluster enables PCAP retention and visualization. Month 9 completes vulnerability management deployment with OpenVAS scanners scheduled for regular assessment cycles and DefectDojo correlating findings from multiple scanner types.</w:t>
      </w:r>
    </w:p>
    <w:p>
      <w:pPr>
        <w:pStyle w:val="Heading1"/>
        <w:spacing w:after="120" w:before="360" w:line="312"/>
      </w:pPr>
      <w:bookmarkStart w:id="100034" w:name="_Toc100034"/>
      <w:r>
        <w:rPr>
          <w:rFonts w:ascii="Calibri" w:eastAsia="SimHei"/>
          <w:b/>
          <w:bCs/>
          <w:color w:val="0B1220"/>
          <w:sz w:val="32"/>
          <w:szCs w:val="32"/>
        </w:rPr>
        <w:t xml:space="preserve">8.4 Phase 11.4: Optimization &amp; Production Cutover (Months 10-12)</w:t>
      </w:r>
      <w:bookmarkEnd w:id="100034"/>
    </w:p>
    <w:p>
      <w:pPr>
        <w:spacing w:line="312"/>
        <w:ind w:firstLine="480"/>
        <w:jc w:val="both"/>
      </w:pPr>
      <w:r>
        <w:rPr>
          <w:rFonts w:ascii="Times New Roman" w:eastAsia="SimSun"/>
          <w:color w:val="1C2A3D"/>
          <w:sz w:val="24"/>
          <w:szCs w:val="24"/>
        </w:rPr>
        <w:t xml:space="preserve">The final phase focuses on performance optimization based on real-world usage data, comprehensive security hardening, and the controlled cutover from legacy systems to the new platform. This phase includes extensive testing, training, and documentation activities essential for successful production operation.</w:t>
      </w:r>
    </w:p>
    <w:p>
      <w:pPr>
        <w:spacing w:line="312"/>
        <w:ind w:firstLine="480"/>
        <w:jc w:val="both"/>
      </w:pPr>
      <w:r>
        <w:rPr>
          <w:rFonts w:ascii="Times New Roman" w:eastAsia="SimSun"/>
          <w:color w:val="1C2A3D"/>
          <w:sz w:val="24"/>
          <w:szCs w:val="24"/>
        </w:rPr>
        <w:t xml:space="preserve">Month 10 conducts comprehensive load testing identifying bottlenecks, implements caching optimizations, tunes database queries based on actual query patterns, and optimizes frontend bundle sizes. Month 11 completes security hardening (penetration testing, red team exercise, vulnerability remediation), finalizes compliance documentation, conducts tabletop exercises for major incident scenarios, and delivers operator training curriculum. Month 12 executes the production cutover with parallel running period, monitors stability metrics, transitions 24/7 operations to new platform, and decommissions legacy systems.</w:t>
      </w:r>
    </w:p>
    <w:p>
      <w:pPr>
        <w:pStyle w:val="Heading1"/>
        <w:spacing w:after="120" w:before="360" w:line="312"/>
      </w:pPr>
      <w:bookmarkStart w:id="100035" w:name="_Toc100035"/>
      <w:r>
        <w:rPr>
          <w:rFonts w:ascii="Calibri" w:eastAsia="SimHei"/>
          <w:b/>
          <w:bCs/>
          <w:color w:val="0B1220"/>
          <w:sz w:val="32"/>
          <w:szCs w:val="32"/>
        </w:rPr>
        <w:t xml:space="preserve">9. Success Criteria &amp; Acceptance Criteria</w:t>
      </w:r>
      <w:bookmarkEnd w:id="100035"/>
    </w:p>
    <w:p>
      <w:pPr>
        <w:spacing w:line="312"/>
        <w:ind w:firstLine="480"/>
        <w:jc w:val="both"/>
      </w:pPr>
      <w:r>
        <w:rPr>
          <w:rFonts w:ascii="Times New Roman" w:eastAsia="SimSun"/>
          <w:color w:val="1C2A3D"/>
          <w:sz w:val="24"/>
          <w:szCs w:val="24"/>
        </w:rPr>
        <w:t xml:space="preserve">Each phase concludes with formal acceptance review against predefined criteria. The acceptance process involves stakeholders from Security Operations, IT Infrastructure, Network Operations, and executive leadership. Phase sign-off requires demonstration of all acceptance criteria with documented evidence and sign-off from designated approvers.</w:t>
      </w:r>
    </w:p>
    <w:p>
      <w:pPr>
        <w:spacing w:after="150" w:before="200"/>
      </w:pPr>
      <w:r>
        <w:rPr>
          <w:b/>
          <w:bCs/>
          <w:color w:val="0B1220"/>
          <w:sz w:val="24"/>
          <w:szCs w:val="24"/>
        </w:rPr>
        <w:t xml:space="preserve">Go-Live Acceptance Criteria:</w:t>
      </w:r>
    </w:p>
    <w:tbl>
      <w:tblPr>
        <w:tblW w:type="pct" w:w="100%"/>
        <w:tblBorders>
          <w:top w:val="single" w:color="3B82F6" w:sz="2"/>
          <w:left w:val="none"/>
          <w:bottom w:val="single" w:color="3B82F6" w:sz="2"/>
          <w:right w:val="none"/>
          <w:insideH w:val="single" w:color="D0D5DD" w:sz="1"/>
          <w:insideV w:val="single" w:color="E5E7EB" w:sz="1"/>
        </w:tblBorders>
      </w:tblPr>
      <w:tblGrid>
        <w:gridCol w:w="100"/>
        <w:gridCol w:w="100"/>
        <w:gridCol w:w="100"/>
      </w:tblGrid>
      <w:tr>
        <w:trPr>
          <w:cantSplit/>
          <w:tblHeader/>
        </w:trPr>
        <w:tc>
          <w:tcPr>
            <w:tcW w:type="pct" w:w="28%"/>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Criterion</w:t>
            </w:r>
          </w:p>
        </w:tc>
        <w:tc>
          <w:tcPr>
            <w:tcW w:type="pct" w:w="32%"/>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Metric</w:t>
            </w:r>
          </w:p>
        </w:tc>
        <w:tc>
          <w:tcPr>
            <w:tcW w:type="pct" w:w="40%"/>
            <w:shd w:fill="3B82F6" w:val="clear"/>
            <w:tcMar>
              <w:top w:type="dxa" w:w="80"/>
              <w:left w:type="dxa" w:w="120"/>
              <w:bottom w:type="dxa" w:w="80"/>
              <w:right w:type="dxa" w:w="120"/>
            </w:tcMar>
          </w:tcPr>
          <w:p>
            <w:pPr>
              <w:jc w:val="center"/>
            </w:pPr>
            <w:r>
              <w:rPr>
                <w:rFonts w:ascii="Calibri" w:eastAsia="SimHei"/>
                <w:b/>
                <w:bCs/>
                <w:color w:val="FFFFFF"/>
                <w:sz w:val="21"/>
                <w:szCs w:val="21"/>
              </w:rPr>
              <w:t xml:space="preserve">Validation Method</w:t>
            </w:r>
          </w:p>
        </w:tc>
      </w:tr>
      <w:tr>
        <w:trPr>
          <w:cantSplit/>
        </w:trPr>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Event Ingestion Capacity</w:t>
            </w:r>
          </w:p>
        </w:tc>
        <w:tc>
          <w:tcPr>
            <w:tcW w:type="pct" w:w="32%"/>
            <w:shd w:fill="F1F5F9" w:val="clear"/>
            <w:tcMar>
              <w:top w:type="dxa" w:w="60"/>
              <w:left w:type="dxa" w:w="100"/>
              <w:bottom w:type="dxa" w:w="60"/>
              <w:right w:type="dxa" w:w="100"/>
            </w:tcMar>
          </w:tcPr>
          <w:p>
            <w:r>
              <w:rPr>
                <w:rFonts w:ascii="Times New Roman" w:eastAsia="SimSun"/>
                <w:color w:val="1C2A3D"/>
                <w:sz w:val="21"/>
                <w:szCs w:val="21"/>
              </w:rPr>
              <w:t xml:space="preserve">&gt;= 50,000 EPS sustained</w:t>
            </w:r>
          </w:p>
        </w:tc>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Load test (48 hours)</w:t>
            </w:r>
          </w:p>
        </w:tc>
      </w:tr>
      <w:tr>
        <w:trPr>
          <w:cantSplit/>
        </w:trPr>
        <w:tc>
          <w:tcPr>
            <w:tcW w:type="pct" w:w="28%"/>
            <w:shd w:fill="FFFFFF" w:val="clear"/>
            <w:tcMar>
              <w:top w:type="dxa" w:w="60"/>
              <w:left w:type="dxa" w:w="100"/>
              <w:bottom w:type="dxa" w:w="60"/>
              <w:right w:type="dxa" w:w="100"/>
            </w:tcMar>
          </w:tcPr>
          <w:p>
            <w:r>
              <w:rPr>
                <w:rFonts w:ascii="Times New Roman" w:eastAsia="SimSun"/>
                <w:color w:val="1C2A3D"/>
                <w:sz w:val="21"/>
                <w:szCs w:val="21"/>
              </w:rPr>
              <w:t xml:space="preserve">API Availability</w:t>
            </w:r>
          </w:p>
        </w:tc>
        <w:tc>
          <w:tcPr>
            <w:tcW w:type="pct" w:w="32%"/>
            <w:shd w:fill="FFFFFF" w:val="clear"/>
            <w:tcMar>
              <w:top w:type="dxa" w:w="60"/>
              <w:left w:type="dxa" w:w="100"/>
              <w:bottom w:type="dxa" w:w="60"/>
              <w:right w:type="dxa" w:w="100"/>
            </w:tcMar>
          </w:tcPr>
          <w:p>
            <w:r>
              <w:rPr>
                <w:rFonts w:ascii="Times New Roman" w:eastAsia="SimSun"/>
                <w:color w:val="1C2A3D"/>
                <w:sz w:val="21"/>
                <w:szCs w:val="21"/>
              </w:rPr>
              <w:t xml:space="preserve">&gt;= 99.95% over 30 days</w:t>
            </w:r>
          </w:p>
        </w:tc>
        <w:tc>
          <w:tcPr>
            <w:tcW w:type="pct" w:w="40%"/>
            <w:shd w:fill="FFFFFF" w:val="clear"/>
            <w:tcMar>
              <w:top w:type="dxa" w:w="60"/>
              <w:left w:type="dxa" w:w="100"/>
              <w:bottom w:type="dxa" w:w="60"/>
              <w:right w:type="dxa" w:w="100"/>
            </w:tcMar>
          </w:tcPr>
          <w:p>
            <w:r>
              <w:rPr>
                <w:rFonts w:ascii="Times New Roman" w:eastAsia="SimSun"/>
                <w:color w:val="1C2A3D"/>
                <w:sz w:val="21"/>
                <w:szCs w:val="21"/>
              </w:rPr>
              <w:t xml:space="preserve">Uptime monitoring</w:t>
            </w:r>
          </w:p>
        </w:tc>
      </w:tr>
      <w:tr>
        <w:trPr>
          <w:cantSplit/>
        </w:trPr>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Mean Time to Detect</w:t>
            </w:r>
          </w:p>
        </w:tc>
        <w:tc>
          <w:tcPr>
            <w:tcW w:type="pct" w:w="32%"/>
            <w:shd w:fill="F1F5F9" w:val="clear"/>
            <w:tcMar>
              <w:top w:type="dxa" w:w="60"/>
              <w:left w:type="dxa" w:w="100"/>
              <w:bottom w:type="dxa" w:w="60"/>
              <w:right w:type="dxa" w:w="100"/>
            </w:tcMar>
          </w:tcPr>
          <w:p>
            <w:r>
              <w:rPr>
                <w:rFonts w:ascii="Times New Roman" w:eastAsia="SimSun"/>
                <w:color w:val="1C2A3D"/>
                <w:sz w:val="21"/>
                <w:szCs w:val="21"/>
              </w:rPr>
              <w:t xml:space="preserve">&lt; 15 minutes for critical alerts</w:t>
            </w:r>
          </w:p>
        </w:tc>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Simulated attack scenarios</w:t>
            </w:r>
          </w:p>
        </w:tc>
      </w:tr>
      <w:tr>
        <w:trPr>
          <w:cantSplit/>
        </w:trPr>
        <w:tc>
          <w:tcPr>
            <w:tcW w:type="pct" w:w="28%"/>
            <w:shd w:fill="FFFFFF" w:val="clear"/>
            <w:tcMar>
              <w:top w:type="dxa" w:w="60"/>
              <w:left w:type="dxa" w:w="100"/>
              <w:bottom w:type="dxa" w:w="60"/>
              <w:right w:type="dxa" w:w="100"/>
            </w:tcMar>
          </w:tcPr>
          <w:p>
            <w:r>
              <w:rPr>
                <w:rFonts w:ascii="Times New Roman" w:eastAsia="SimSun"/>
                <w:color w:val="1C2A3D"/>
                <w:sz w:val="21"/>
                <w:szCs w:val="21"/>
              </w:rPr>
              <w:t xml:space="preserve">Mean Time to Respond</w:t>
            </w:r>
          </w:p>
        </w:tc>
        <w:tc>
          <w:tcPr>
            <w:tcW w:type="pct" w:w="32%"/>
            <w:shd w:fill="FFFFFF" w:val="clear"/>
            <w:tcMar>
              <w:top w:type="dxa" w:w="60"/>
              <w:left w:type="dxa" w:w="100"/>
              <w:bottom w:type="dxa" w:w="60"/>
              <w:right w:type="dxa" w:w="100"/>
            </w:tcMar>
          </w:tcPr>
          <w:p>
            <w:r>
              <w:rPr>
                <w:rFonts w:ascii="Times New Roman" w:eastAsia="SimSun"/>
                <w:color w:val="1C2A3D"/>
                <w:sz w:val="21"/>
                <w:szCs w:val="21"/>
              </w:rPr>
              <w:t xml:space="preserve">&lt; 1 hour for critical incidents</w:t>
            </w:r>
          </w:p>
        </w:tc>
        <w:tc>
          <w:tcPr>
            <w:tcW w:type="pct" w:w="40%"/>
            <w:shd w:fill="FFFFFF" w:val="clear"/>
            <w:tcMar>
              <w:top w:type="dxa" w:w="60"/>
              <w:left w:type="dxa" w:w="100"/>
              <w:bottom w:type="dxa" w:w="60"/>
              <w:right w:type="dxa" w:w="100"/>
            </w:tcMar>
          </w:tcPr>
          <w:p>
            <w:r>
              <w:rPr>
                <w:rFonts w:ascii="Times New Roman" w:eastAsia="SimSun"/>
                <w:color w:val="1C2A3D"/>
                <w:sz w:val="21"/>
                <w:szCs w:val="21"/>
              </w:rPr>
              <w:t xml:space="preserve">Playbook execution drills</w:t>
            </w:r>
          </w:p>
        </w:tc>
      </w:tr>
      <w:tr>
        <w:trPr>
          <w:cantSplit/>
        </w:trPr>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Tool Integration Coverage</w:t>
            </w:r>
          </w:p>
        </w:tc>
        <w:tc>
          <w:tcPr>
            <w:tcW w:type="pct" w:w="32%"/>
            <w:shd w:fill="F1F5F9" w:val="clear"/>
            <w:tcMar>
              <w:top w:type="dxa" w:w="60"/>
              <w:left w:type="dxa" w:w="100"/>
              <w:bottom w:type="dxa" w:w="60"/>
              <w:right w:type="dxa" w:w="100"/>
            </w:tcMar>
          </w:tcPr>
          <w:p>
            <w:r>
              <w:rPr>
                <w:rFonts w:ascii="Times New Roman" w:eastAsia="SimSun"/>
                <w:color w:val="1C2A3D"/>
                <w:sz w:val="21"/>
                <w:szCs w:val="21"/>
              </w:rPr>
              <w:t xml:space="preserve">100% of planned integrations operational</w:t>
            </w:r>
          </w:p>
        </w:tc>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Connectivity health checks</w:t>
            </w:r>
          </w:p>
        </w:tc>
      </w:tr>
      <w:tr>
        <w:trPr>
          <w:cantSplit/>
        </w:trPr>
        <w:tc>
          <w:tcPr>
            <w:tcW w:type="pct" w:w="28%"/>
            <w:shd w:fill="FFFFFF" w:val="clear"/>
            <w:tcMar>
              <w:top w:type="dxa" w:w="60"/>
              <w:left w:type="dxa" w:w="100"/>
              <w:bottom w:type="dxa" w:w="60"/>
              <w:right w:type="dxa" w:w="100"/>
            </w:tcMar>
          </w:tcPr>
          <w:p>
            <w:r>
              <w:rPr>
                <w:rFonts w:ascii="Times New Roman" w:eastAsia="SimSun"/>
                <w:color w:val="1C2A3D"/>
                <w:sz w:val="21"/>
                <w:szCs w:val="21"/>
              </w:rPr>
              <w:t xml:space="preserve">User Adoption</w:t>
            </w:r>
          </w:p>
        </w:tc>
        <w:tc>
          <w:tcPr>
            <w:tcW w:type="pct" w:w="32%"/>
            <w:shd w:fill="FFFFFF" w:val="clear"/>
            <w:tcMar>
              <w:top w:type="dxa" w:w="60"/>
              <w:left w:type="dxa" w:w="100"/>
              <w:bottom w:type="dxa" w:w="60"/>
              <w:right w:type="dxa" w:w="100"/>
            </w:tcMar>
          </w:tcPr>
          <w:p>
            <w:r>
              <w:rPr>
                <w:rFonts w:ascii="Times New Roman" w:eastAsia="SimSun"/>
                <w:color w:val="1C2A3D"/>
                <w:sz w:val="21"/>
                <w:szCs w:val="21"/>
              </w:rPr>
              <w:t xml:space="preserve">&gt;= 80% of SOC staff trained and active</w:t>
            </w:r>
          </w:p>
        </w:tc>
        <w:tc>
          <w:tcPr>
            <w:tcW w:type="pct" w:w="40%"/>
            <w:shd w:fill="FFFFFF" w:val="clear"/>
            <w:tcMar>
              <w:top w:type="dxa" w:w="60"/>
              <w:left w:type="dxa" w:w="100"/>
              <w:bottom w:type="dxa" w:w="60"/>
              <w:right w:type="dxa" w:w="100"/>
            </w:tcMar>
          </w:tcPr>
          <w:p>
            <w:r>
              <w:rPr>
                <w:rFonts w:ascii="Times New Roman" w:eastAsia="SimSun"/>
                <w:color w:val="1C2A3D"/>
                <w:sz w:val="21"/>
                <w:szCs w:val="21"/>
              </w:rPr>
              <w:t xml:space="preserve">Training records + login stats</w:t>
            </w:r>
          </w:p>
        </w:tc>
      </w:tr>
      <w:tr>
        <w:trPr>
          <w:cantSplit/>
        </w:trPr>
        <w:tc>
          <w:tcPr>
            <w:tcW w:type="pct" w:w="28%"/>
            <w:shd w:fill="F1F5F9" w:val="clear"/>
            <w:tcMar>
              <w:top w:type="dxa" w:w="60"/>
              <w:left w:type="dxa" w:w="100"/>
              <w:bottom w:type="dxa" w:w="60"/>
              <w:right w:type="dxa" w:w="100"/>
            </w:tcMar>
          </w:tcPr>
          <w:p>
            <w:r>
              <w:rPr>
                <w:rFonts w:ascii="Times New Roman" w:eastAsia="SimSun"/>
                <w:color w:val="1C2A3D"/>
                <w:sz w:val="21"/>
                <w:szCs w:val="21"/>
              </w:rPr>
              <w:t xml:space="preserve">Documentation Completeness</w:t>
            </w:r>
          </w:p>
        </w:tc>
        <w:tc>
          <w:tcPr>
            <w:tcW w:type="pct" w:w="32%"/>
            <w:shd w:fill="F1F5F9" w:val="clear"/>
            <w:tcMar>
              <w:top w:type="dxa" w:w="60"/>
              <w:left w:type="dxa" w:w="100"/>
              <w:bottom w:type="dxa" w:w="60"/>
              <w:right w:type="dxa" w:w="100"/>
            </w:tcMar>
          </w:tcPr>
          <w:p>
            <w:r>
              <w:rPr>
                <w:rFonts w:ascii="Times New Roman" w:eastAsia="SimSun"/>
                <w:color w:val="1C2A3D"/>
                <w:sz w:val="21"/>
                <w:szCs w:val="21"/>
              </w:rPr>
              <w:t xml:space="preserve">100% of runbooks updated</w:t>
            </w:r>
          </w:p>
        </w:tc>
        <w:tc>
          <w:tcPr>
            <w:tcW w:type="pct" w:w="40%"/>
            <w:shd w:fill="F1F5F9" w:val="clear"/>
            <w:tcMar>
              <w:top w:type="dxa" w:w="60"/>
              <w:left w:type="dxa" w:w="100"/>
              <w:bottom w:type="dxa" w:w="60"/>
              <w:right w:type="dxa" w:w="100"/>
            </w:tcMar>
          </w:tcPr>
          <w:p>
            <w:r>
              <w:rPr>
                <w:rFonts w:ascii="Times New Roman" w:eastAsia="SimSun"/>
                <w:color w:val="1C2A3D"/>
                <w:sz w:val="21"/>
                <w:szCs w:val="21"/>
              </w:rPr>
              <w:t xml:space="preserve">Documentation audit</w:t>
            </w:r>
          </w:p>
        </w:tc>
      </w:tr>
      <w:tr>
        <w:trPr>
          <w:cantSplit/>
        </w:trPr>
        <w:tc>
          <w:tcPr>
            <w:tcW w:type="pct" w:w="28%"/>
            <w:shd w:fill="FFFFFF" w:val="clear"/>
            <w:tcMar>
              <w:top w:type="dxa" w:w="60"/>
              <w:left w:type="dxa" w:w="100"/>
              <w:bottom w:type="dxa" w:w="60"/>
              <w:right w:type="dxa" w:w="100"/>
            </w:tcMar>
          </w:tcPr>
          <w:p>
            <w:r>
              <w:rPr>
                <w:rFonts w:ascii="Times New Roman" w:eastAsia="SimSun"/>
                <w:color w:val="1C2A3D"/>
                <w:sz w:val="21"/>
                <w:szCs w:val="21"/>
              </w:rPr>
              <w:t xml:space="preserve">Security Assessment</w:t>
            </w:r>
          </w:p>
        </w:tc>
        <w:tc>
          <w:tcPr>
            <w:tcW w:type="pct" w:w="32%"/>
            <w:shd w:fill="FFFFFF" w:val="clear"/>
            <w:tcMar>
              <w:top w:type="dxa" w:w="60"/>
              <w:left w:type="dxa" w:w="100"/>
              <w:bottom w:type="dxa" w:w="60"/>
              <w:right w:type="dxa" w:w="100"/>
            </w:tcMar>
          </w:tcPr>
          <w:p>
            <w:r>
              <w:rPr>
                <w:rFonts w:ascii="Times New Roman" w:eastAsia="SimSun"/>
                <w:color w:val="1C2A3D"/>
                <w:sz w:val="21"/>
                <w:szCs w:val="21"/>
              </w:rPr>
              <w:t xml:space="preserve">No critical/high findings open</w:t>
            </w:r>
          </w:p>
        </w:tc>
        <w:tc>
          <w:tcPr>
            <w:tcW w:type="pct" w:w="40%"/>
            <w:shd w:fill="FFFFFF" w:val="clear"/>
            <w:tcMar>
              <w:top w:type="dxa" w:w="60"/>
              <w:left w:type="dxa" w:w="100"/>
              <w:bottom w:type="dxa" w:w="60"/>
              <w:right w:type="dxa" w:w="100"/>
            </w:tcMar>
          </w:tcPr>
          <w:p>
            <w:r>
              <w:rPr>
                <w:rFonts w:ascii="Times New Roman" w:eastAsia="SimSun"/>
                <w:color w:val="1C2A3D"/>
                <w:sz w:val="21"/>
                <w:szCs w:val="21"/>
              </w:rPr>
              <w:t xml:space="preserve">Penetration test report</w:t>
            </w:r>
          </w:p>
        </w:tc>
      </w:tr>
    </w:tbl>
    <w:p>
      <w:pPr>
        <w:pStyle w:val="Heading1"/>
        <w:spacing w:after="120" w:before="360" w:line="312"/>
      </w:pPr>
      <w:bookmarkStart w:id="100036" w:name="_Toc100036"/>
      <w:r>
        <w:rPr>
          <w:rFonts w:ascii="Calibri" w:eastAsia="SimHei"/>
          <w:b/>
          <w:bCs/>
          <w:color w:val="0B1220"/>
          <w:sz w:val="32"/>
          <w:szCs w:val="32"/>
        </w:rPr>
        <w:t xml:space="preserve">10. Conclusion &amp; Next Steps</w:t>
      </w:r>
      <w:bookmarkEnd w:id="100036"/>
    </w:p>
    <w:p>
      <w:pPr>
        <w:spacing w:line="312"/>
        <w:ind w:firstLine="480"/>
        <w:jc w:val="both"/>
      </w:pPr>
      <w:r>
        <w:rPr>
          <w:rFonts w:ascii="Times New Roman" w:eastAsia="SimSun"/>
          <w:color w:val="1C2A3D"/>
          <w:sz w:val="24"/>
          <w:szCs w:val="24"/>
        </w:rPr>
        <w:t xml:space="preserve">This Phase 11 Enterprise Production Roadmap provides the comprehensive technical blueprint for transforming the Djezzy National SOC Platform into a fully operational, production-ready Security Operations Center. The integration of industry-leading open-source security tools, combined with enterprise-grade database architecture and robust API infrastructure, positions the platform to meet the demanding requirements of telecommunications security operations at national scale.</w:t>
      </w:r>
    </w:p>
    <w:p>
      <w:pPr>
        <w:spacing w:line="312"/>
        <w:ind w:firstLine="480"/>
        <w:jc w:val="both"/>
      </w:pPr>
      <w:r>
        <w:rPr>
          <w:rFonts w:ascii="Times New Roman" w:eastAsia="SimSun"/>
          <w:color w:val="1C2A3D"/>
          <w:sz w:val="24"/>
          <w:szCs w:val="24"/>
        </w:rPr>
        <w:t xml:space="preserve">Successful execution of this roadmap requires sustained commitment across multiple dimensions: technical expertise for complex integrations, project management discipline for coordinated delivery, organizational change management for user adoption, and executive sponsorship for resource allocation and cross-functional alignment. The phased approach balances urgency for improved security capabilities with prudent risk management through incremental validation.</w:t>
      </w:r>
    </w:p>
    <w:p>
      <w:pPr>
        <w:spacing w:line="312"/>
        <w:ind w:firstLine="480"/>
        <w:jc w:val="both"/>
      </w:pPr>
      <w:r>
        <w:rPr>
          <w:rFonts w:ascii="Times New Roman" w:eastAsia="SimSun"/>
          <w:color w:val="1C2A3D"/>
          <w:sz w:val="24"/>
          <w:szCs w:val="24"/>
        </w:rPr>
        <w:t xml:space="preserve">Immediate next steps include securing budget approval for infrastructure procurement, establishing the core implementation team with dedicated resources from security operations and IT infrastructure, initiating vendor engagement for any commercial components (support subscriptions, hardware procurement), and scheduling the Phase 11.1 kickoff meeting to align all stakeholders on objectives, timelines, and success criteria. Regular progress reviews at bi-weekly cadence will ensure early identification of blockers and enable course corrections before delays compound.</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SimHei"/>
        <w:color w:val="5B6B7D"/>
        <w:sz w:val="18"/>
        <w:szCs w:val="18"/>
      </w:rPr>
      <w:t xml:space="preserve">Djezzy National SOC Platform - Phase 11 Enterprise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SimHei" w:eastAsia="SimHei"/>
      <w:b/>
      <w:bCs/>
      <w:color w:val="0B1220"/>
      <w:sz w:val="32"/>
      <w:szCs w:val="32"/>
    </w:rPr>
  </w:style>
  <w:style w:type="paragraph" w:styleId="Heading2">
    <w:name w:val="Heading 2"/>
    <w:basedOn w:val="Normal"/>
    <w:next w:val="Normal"/>
    <w:qFormat/>
    <w:pPr>
      <w:spacing w:after="140" w:before="280" w:line="312"/>
      <w:outlineLvl w:val="1"/>
    </w:pPr>
    <w:rPr>
      <w:rFonts w:ascii="SimHei" w:eastAsia="SimHei"/>
      <w:b/>
      <w:bCs/>
      <w:color w:val="0B1220"/>
      <w:sz w:val="28"/>
      <w:szCs w:val="28"/>
    </w:rPr>
  </w:style>
  <w:style w:type="paragraph" w:styleId="Heading3">
    <w:name w:val="Heading 3"/>
    <w:basedOn w:val="Normal"/>
    <w:next w:val="Normal"/>
    <w:qFormat/>
    <w:pPr>
      <w:spacing w:after="120" w:before="240" w:line="312"/>
      <w:outlineLvl w:val="2"/>
    </w:pPr>
    <w:rPr>
      <w:rFonts w:ascii="SimHe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2026-07-28T12:10:01.786Z</dcterms:created>
  <dcterms:modified xsi:type="dcterms:W3CDTF">2026-07-28T12:10:01.787Z</dcterms:modified>
</cp:coreProperties>
</file>

<file path=docProps/custom.xml><?xml version="1.0" encoding="utf-8"?>
<Properties xmlns="http://schemas.openxmlformats.org/officeDocument/2006/custom-properties" xmlns:vt="http://schemas.openxmlformats.org/officeDocument/2006/docPropsVTypes"/>
</file>