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left w:val="none"/>
          <w:bottom w:val="none"/>
          <w:right w:val="none"/>
          <w:insideH w:val="none"/>
          <w:insideV w:val="none"/>
        </w:tblBorders>
      </w:tblPr>
      <w:tblGrid>
        <w:gridCol w:w="100"/>
      </w:tblGrid>
      <w:tr>
        <w:trPr>
          <w:trHeight w:val="16838" w:hRule="exact"/>
        </w:trPr>
        <w:tc>
          <w:tcPr>
            <w:tcW w:type="pct" w:w="100%"/>
            <w:shd w:fill="1a365d" w:val="clear"/>
            <w:vAlign w:val="top"/>
          </w:tcPr>
          <w:p>
            <w:pPr>
              <w:spacing w:after="0" w:before="0"/>
            </w:pPr>
          </w:p>
          <w:p>
            <w:pPr>
              <w:spacing w:after="400" w:before="2000"/>
              <w:jc w:val="center"/>
            </w:pPr>
            <w:r>
              <w:rPr>
                <w:rFonts w:ascii="Calibri" w:cs="Calibri" w:eastAsia="Calibri" w:hAnsi="Calibri"/>
                <w:b/>
                <w:bCs/>
                <w:color w:val="63b3ed"/>
                <w:spacing w:val="100"/>
                <w:sz w:val="28"/>
                <w:szCs w:val="28"/>
              </w:rPr>
              <w:t xml:space="preserve">BEST-IN-CLASS</w:t>
            </w:r>
          </w:p>
          <w:p>
            <w:pPr>
              <w:spacing w:after="100" w:before="200"/>
              <w:jc w:val="center"/>
            </w:pPr>
            <w:r>
              <w:rPr>
                <w:rFonts w:ascii="Calibri" w:cs="Calibri" w:eastAsia="Calibri" w:hAnsi="Calibri"/>
                <w:b/>
                <w:bCs/>
                <w:color w:val="ffffff"/>
                <w:sz w:val="52"/>
                <w:szCs w:val="52"/>
              </w:rPr>
              <w:t xml:space="preserve">National Security Operations Center</w:t>
            </w:r>
          </w:p>
          <w:p>
            <w:pPr>
              <w:spacing w:after="100" w:before="100"/>
              <w:jc w:val="center"/>
            </w:pPr>
            <w:r>
              <w:rPr>
                <w:rFonts w:ascii="Calibri" w:cs="Calibri" w:eastAsia="Calibri" w:hAnsi="Calibri"/>
                <w:b/>
                <w:bCs/>
                <w:color w:val="63b3ed"/>
                <w:sz w:val="44"/>
                <w:szCs w:val="44"/>
              </w:rPr>
              <w:t xml:space="preserve">(SOC)</w:t>
            </w:r>
          </w:p>
          <w:p>
            <w:pPr>
              <w:spacing w:after="200" w:before="400"/>
              <w:jc w:val="center"/>
            </w:pPr>
            <w:r>
              <w:rPr>
                <w:rFonts w:ascii="Calibri" w:cs="Calibri" w:eastAsia="Calibri" w:hAnsi="Calibri"/>
                <w:color w:val="e2e8f0"/>
                <w:sz w:val="28"/>
                <w:szCs w:val="28"/>
              </w:rPr>
              <w:t xml:space="preserve">Strategic Implementation Plan 2026-2030</w:t>
            </w:r>
          </w:p>
          <w:p>
            <w:pPr>
              <w:pBdr>
                <w:bottom w:val="single" w:color="63b3ed" w:sz="20" w:space="10"/>
              </w:pBdr>
              <w:spacing w:after="600" w:before="600"/>
              <w:jc w:val="center"/>
            </w:pPr>
          </w:p>
          <w:p>
            <w:pPr>
              <w:spacing w:after="100" w:before="800"/>
              <w:jc w:val="center"/>
            </w:pPr>
            <w:r>
              <w:rPr>
                <w:rFonts w:ascii="Calibri" w:cs="Calibri" w:eastAsia="Calibri" w:hAnsi="Calibri"/>
                <w:color w:val="a0aec0"/>
                <w:sz w:val="22"/>
                <w:szCs w:val="22"/>
              </w:rPr>
              <w:t xml:space="preserve">Version 1.0 | Strategic Planning Document</w:t>
            </w:r>
          </w:p>
          <w:p>
            <w:pPr>
              <w:spacing w:after="100" w:before="100"/>
              <w:jc w:val="center"/>
            </w:pPr>
            <w:r>
              <w:rPr>
                <w:rFonts w:ascii="Calibri" w:cs="Calibri" w:eastAsia="Calibri" w:hAnsi="Calibri"/>
                <w:b/>
                <w:bCs/>
                <w:color w:val="a0aec0"/>
                <w:sz w:val="20"/>
                <w:szCs w:val="20"/>
              </w:rPr>
              <w:t xml:space="preserve">Classification: CONFIDENTIAL</w:t>
            </w:r>
          </w:p>
          <w:p>
            <w:pPr>
              <w:spacing w:after="0" w:before="200"/>
              <w:jc w:val="center"/>
            </w:pPr>
            <w:r>
              <w:rPr>
                <w:rFonts w:ascii="Calibri" w:cs="Calibri" w:eastAsia="Calibri" w:hAnsi="Calibri"/>
                <w:color w:val="a0aec0"/>
                <w:sz w:val="22"/>
                <w:szCs w:val="22"/>
              </w:rPr>
              <w:t xml:space="preserve">January 2026</w:t>
            </w:r>
          </w:p>
        </w:tc>
      </w:tr>
    </w:tbl>
    <w:p>
      <w:pPr>
        <w:sectPr>
          <w:pgSz w:w="11906" w:h="16838" w:orient="portrait"/>
          <w:pgMar w:top="0" w:right="0" w:bottom="0" w:left="0" w:header="708" w:footer="708" w:gutter="0"/>
          <w:pgNumType/>
          <w:docGrid w:linePitch="360"/>
        </w:sectPr>
      </w:pPr>
    </w:p>
    <w:p>
      <w:pPr>
        <w:pStyle w:val="Heading1"/>
        <w:jc w:val="center"/>
      </w:pPr>
      <w:bookmarkStart w:id="100000" w:name="_Toc100000"/>
      <w:r>
        <w:rPr>
          <w:rFonts w:ascii="SimHei" w:eastAsia="SimHei"/>
        </w:rPr>
        <w:t xml:space="preserve">Table of Contents</w:t>
      </w:r>
      <w:bookmarkEnd w:id="100000"/>
    </w:p>
    <w:sdt>
      <w:sdtPr>
        <w:alias w:val="Table of Contents"/>
      </w:sdtPr>
      <w:sdtContent>
        <w:p>
          <w:r>
            <w:fldChar w:fldCharType="begin" w:dirty="true"/>
          </w:r>
          <w:r>
            <w:instrText xml:space="preserve">TOC</w:instrText>
          </w:r>
          <w:r>
            <w:fldChar w:fldCharType="separate"/>
          </w:r>
        </w:p>
        <w:p>
          <w:pPr>
            <w:pStyle w:val="9"/>
            <w:tabs>
              <w:tab w:val="right" w:leader="dot" w:pos="9026"/>
            </w:tabs>
            <w:spacing w:before="120" w:after="60"/>
          </w:pPr>
          <w:hyperlink w:anchor="_Toc100000" w:history="1">
            <w:r>
              <w:rPr>
                <w:rStyle w:val="Hyperlink"/>
              </w:rPr>
              <w:t>Table of Contents</w:t>
            </w:r>
            <w:r>
              <w:tab/>
            </w:r>
            <w:r>
              <w:fldChar w:fldCharType="begin"/>
            </w:r>
            <w:r>
              <w:instrText xml:space="preserve"> PAGEREF _Toc100000 \h </w:instrText>
            </w:r>
            <w:r>
              <w:fldChar w:fldCharType="separate"/>
            </w:r>
            <w:r>
              <w:t>1</w:t>
            </w:r>
            <w:r>
              <w:fldChar w:fldCharType="end"/>
            </w:r>
          </w:hyperlink>
        </w:p>
        <w:p>
          <w:pPr>
            <w:pStyle w:val="9"/>
            <w:tabs>
              <w:tab w:val="right" w:leader="dot" w:pos="9026"/>
            </w:tabs>
            <w:spacing w:before="120" w:after="60"/>
          </w:pPr>
          <w:hyperlink w:anchor="_Toc100001" w:history="1">
            <w:r>
              <w:rPr>
                <w:rStyle w:val="Hyperlink"/>
              </w:rPr>
              <w:t>Executive Summary</w:t>
            </w:r>
            <w:r>
              <w:tab/>
            </w:r>
            <w:r>
              <w:fldChar w:fldCharType="begin"/>
            </w:r>
            <w:r>
              <w:instrText xml:space="preserve"> PAGEREF _Toc100001 \h </w:instrText>
            </w:r>
            <w:r>
              <w:fldChar w:fldCharType="separate"/>
            </w:r>
            <w:r>
              <w:t>1</w:t>
            </w:r>
            <w:r>
              <w:fldChar w:fldCharType="end"/>
            </w:r>
          </w:hyperlink>
        </w:p>
        <w:p>
          <w:pPr>
            <w:pStyle w:val="11"/>
            <w:ind w:left="360"/>
            <w:tabs>
              <w:tab w:val="right" w:leader="dot" w:pos="9026"/>
            </w:tabs>
            <w:spacing w:before="120" w:after="60"/>
          </w:pPr>
          <w:hyperlink w:anchor="_Toc100002" w:history="1">
            <w:r>
              <w:rPr>
                <w:rStyle w:val="Hyperlink"/>
              </w:rPr>
              <w:t>Strategic Imperative</w:t>
            </w:r>
            <w:r>
              <w:tab/>
            </w:r>
            <w:r>
              <w:fldChar w:fldCharType="begin"/>
            </w:r>
            <w:r>
              <w:instrText xml:space="preserve"> PAGEREF _Toc100002 \h </w:instrText>
            </w:r>
            <w:r>
              <w:fldChar w:fldCharType="separate"/>
            </w:r>
            <w:r>
              <w:t>2</w:t>
            </w:r>
            <w:r>
              <w:fldChar w:fldCharType="end"/>
            </w:r>
          </w:hyperlink>
        </w:p>
        <w:p>
          <w:pPr>
            <w:pStyle w:val="11"/>
            <w:ind w:left="360"/>
            <w:tabs>
              <w:tab w:val="right" w:leader="dot" w:pos="9026"/>
            </w:tabs>
            <w:spacing w:before="120" w:after="60"/>
          </w:pPr>
          <w:hyperlink w:anchor="_Toc100003" w:history="1">
            <w:r>
              <w:rPr>
                <w:rStyle w:val="Hyperlink"/>
              </w:rPr>
              <w:t>Key Recommendations</w:t>
            </w:r>
            <w:r>
              <w:tab/>
            </w:r>
            <w:r>
              <w:fldChar w:fldCharType="begin"/>
            </w:r>
            <w:r>
              <w:instrText xml:space="preserve"> PAGEREF _Toc100003 \h </w:instrText>
            </w:r>
            <w:r>
              <w:fldChar w:fldCharType="separate"/>
            </w:r>
            <w:r>
              <w:t>2</w:t>
            </w:r>
            <w:r>
              <w:fldChar w:fldCharType="end"/>
            </w:r>
          </w:hyperlink>
        </w:p>
        <w:p>
          <w:pPr>
            <w:pStyle w:val="11"/>
            <w:ind w:left="360"/>
            <w:tabs>
              <w:tab w:val="right" w:leader="dot" w:pos="9026"/>
            </w:tabs>
            <w:spacing w:before="120" w:after="60"/>
          </w:pPr>
          <w:hyperlink w:anchor="_Toc100004" w:history="1">
            <w:r>
              <w:rPr>
                <w:rStyle w:val="Hyperlink"/>
              </w:rPr>
              <w:t>Investment Summary</w:t>
            </w:r>
            <w:r>
              <w:tab/>
            </w:r>
            <w:r>
              <w:fldChar w:fldCharType="begin"/>
            </w:r>
            <w:r>
              <w:instrText xml:space="preserve"> PAGEREF _Toc100004 \h </w:instrText>
            </w:r>
            <w:r>
              <w:fldChar w:fldCharType="separate"/>
            </w:r>
            <w:r>
              <w:t>2</w:t>
            </w:r>
            <w:r>
              <w:fldChar w:fldCharType="end"/>
            </w:r>
          </w:hyperlink>
        </w:p>
        <w:p>
          <w:pPr>
            <w:pStyle w:val="9"/>
            <w:tabs>
              <w:tab w:val="right" w:leader="dot" w:pos="9026"/>
            </w:tabs>
            <w:spacing w:before="120" w:after="60"/>
          </w:pPr>
          <w:hyperlink w:anchor="_Toc100005" w:history="1">
            <w:r>
              <w:rPr>
                <w:rStyle w:val="Hyperlink"/>
              </w:rPr>
              <w:t>Strategic Vision &amp; Objectives</w:t>
            </w:r>
            <w:r>
              <w:tab/>
            </w:r>
            <w:r>
              <w:fldChar w:fldCharType="begin"/>
            </w:r>
            <w:r>
              <w:instrText xml:space="preserve"> PAGEREF _Toc100005 \h </w:instrText>
            </w:r>
            <w:r>
              <w:fldChar w:fldCharType="separate"/>
            </w:r>
            <w:r>
              <w:t>3</w:t>
            </w:r>
            <w:r>
              <w:fldChar w:fldCharType="end"/>
            </w:r>
          </w:hyperlink>
        </w:p>
        <w:p>
          <w:pPr>
            <w:pStyle w:val="11"/>
            <w:ind w:left="360"/>
            <w:tabs>
              <w:tab w:val="right" w:leader="dot" w:pos="9026"/>
            </w:tabs>
            <w:spacing w:before="120" w:after="60"/>
          </w:pPr>
          <w:hyperlink w:anchor="_Toc100006" w:history="1">
            <w:r>
              <w:rPr>
                <w:rStyle w:val="Hyperlink"/>
              </w:rPr>
              <w:t>Vision Statement: SOC 2030</w:t>
            </w:r>
            <w:r>
              <w:tab/>
            </w:r>
            <w:r>
              <w:fldChar w:fldCharType="begin"/>
            </w:r>
            <w:r>
              <w:instrText xml:space="preserve"> PAGEREF _Toc100006 \h </w:instrText>
            </w:r>
            <w:r>
              <w:fldChar w:fldCharType="separate"/>
            </w:r>
            <w:r>
              <w:t>3</w:t>
            </w:r>
            <w:r>
              <w:fldChar w:fldCharType="end"/>
            </w:r>
          </w:hyperlink>
        </w:p>
        <w:p>
          <w:pPr>
            <w:pStyle w:val="11"/>
            <w:ind w:left="360"/>
            <w:tabs>
              <w:tab w:val="right" w:leader="dot" w:pos="9026"/>
            </w:tabs>
            <w:spacing w:before="120" w:after="60"/>
          </w:pPr>
          <w:hyperlink w:anchor="_Toc100007" w:history="1">
            <w:r>
              <w:rPr>
                <w:rStyle w:val="Hyperlink"/>
              </w:rPr>
              <w:t>Mission Statement</w:t>
            </w:r>
            <w:r>
              <w:tab/>
            </w:r>
            <w:r>
              <w:fldChar w:fldCharType="begin"/>
            </w:r>
            <w:r>
              <w:instrText xml:space="preserve"> PAGEREF _Toc100007 \h </w:instrText>
            </w:r>
            <w:r>
              <w:fldChar w:fldCharType="separate"/>
            </w:r>
            <w:r>
              <w:t>3</w:t>
            </w:r>
            <w:r>
              <w:fldChar w:fldCharType="end"/>
            </w:r>
          </w:hyperlink>
        </w:p>
        <w:p>
          <w:pPr>
            <w:pStyle w:val="11"/>
            <w:ind w:left="360"/>
            <w:tabs>
              <w:tab w:val="right" w:leader="dot" w:pos="9026"/>
            </w:tabs>
            <w:spacing w:before="120" w:after="60"/>
          </w:pPr>
          <w:hyperlink w:anchor="_Toc100008" w:history="1">
            <w:r>
              <w:rPr>
                <w:rStyle w:val="Hyperlink"/>
              </w:rPr>
              <w:t>Strategic Objectives</w:t>
            </w:r>
            <w:r>
              <w:tab/>
            </w:r>
            <w:r>
              <w:fldChar w:fldCharType="begin"/>
            </w:r>
            <w:r>
              <w:instrText xml:space="preserve"> PAGEREF _Toc100008 \h </w:instrText>
            </w:r>
            <w:r>
              <w:fldChar w:fldCharType="separate"/>
            </w:r>
            <w:r>
              <w:t>3</w:t>
            </w:r>
            <w:r>
              <w:fldChar w:fldCharType="end"/>
            </w:r>
          </w:hyperlink>
        </w:p>
        <w:p>
          <w:pPr>
            <w:pStyle w:val="12"/>
            <w:ind w:left="720"/>
            <w:tabs>
              <w:tab w:val="right" w:leader="dot" w:pos="9026"/>
            </w:tabs>
            <w:spacing w:before="120" w:after="60"/>
          </w:pPr>
          <w:hyperlink w:anchor="_Toc100009" w:history="1">
            <w:r>
              <w:rPr>
                <w:rStyle w:val="Hyperlink"/>
              </w:rPr>
              <w:t>Objective 1: Establish Comprehensive Visibility</w:t>
            </w:r>
            <w:r>
              <w:tab/>
            </w:r>
            <w:r>
              <w:fldChar w:fldCharType="begin"/>
            </w:r>
            <w:r>
              <w:instrText xml:space="preserve"> PAGEREF _Toc100009 \h </w:instrText>
            </w:r>
            <w:r>
              <w:fldChar w:fldCharType="separate"/>
            </w:r>
            <w:r>
              <w:t>4</w:t>
            </w:r>
            <w:r>
              <w:fldChar w:fldCharType="end"/>
            </w:r>
          </w:hyperlink>
        </w:p>
        <w:p>
          <w:pPr>
            <w:pStyle w:val="12"/>
            <w:ind w:left="720"/>
            <w:tabs>
              <w:tab w:val="right" w:leader="dot" w:pos="9026"/>
            </w:tabs>
            <w:spacing w:before="120" w:after="60"/>
          </w:pPr>
          <w:hyperlink w:anchor="_Toc100010" w:history="1">
            <w:r>
              <w:rPr>
                <w:rStyle w:val="Hyperlink"/>
              </w:rPr>
              <w:t>Objective 2: Minimize Detection and Response Times</w:t>
            </w:r>
            <w:r>
              <w:tab/>
            </w:r>
            <w:r>
              <w:fldChar w:fldCharType="begin"/>
            </w:r>
            <w:r>
              <w:instrText xml:space="preserve"> PAGEREF _Toc100010 \h </w:instrText>
            </w:r>
            <w:r>
              <w:fldChar w:fldCharType="separate"/>
            </w:r>
            <w:r>
              <w:t>4</w:t>
            </w:r>
            <w:r>
              <w:fldChar w:fldCharType="end"/>
            </w:r>
          </w:hyperlink>
        </w:p>
        <w:p>
          <w:pPr>
            <w:pStyle w:val="12"/>
            <w:ind w:left="720"/>
            <w:tabs>
              <w:tab w:val="right" w:leader="dot" w:pos="9026"/>
            </w:tabs>
            <w:spacing w:before="120" w:after="60"/>
          </w:pPr>
          <w:hyperlink w:anchor="_Toc100011" w:history="1">
            <w:r>
              <w:rPr>
                <w:rStyle w:val="Hyperlink"/>
              </w:rPr>
              <w:t>Objective 3: Achieve Autonomous Operations</w:t>
            </w:r>
            <w:r>
              <w:tab/>
            </w:r>
            <w:r>
              <w:fldChar w:fldCharType="begin"/>
            </w:r>
            <w:r>
              <w:instrText xml:space="preserve"> PAGEREF _Toc100011 \h </w:instrText>
            </w:r>
            <w:r>
              <w:fldChar w:fldCharType="separate"/>
            </w:r>
            <w:r>
              <w:t>4</w:t>
            </w:r>
            <w:r>
              <w:fldChar w:fldCharType="end"/>
            </w:r>
          </w:hyperlink>
        </w:p>
        <w:p>
          <w:pPr>
            <w:pStyle w:val="12"/>
            <w:ind w:left="720"/>
            <w:tabs>
              <w:tab w:val="right" w:leader="dot" w:pos="9026"/>
            </w:tabs>
            <w:spacing w:before="120" w:after="60"/>
          </w:pPr>
          <w:hyperlink w:anchor="_Toc100012" w:history="1">
            <w:r>
              <w:rPr>
                <w:rStyle w:val="Hyperlink"/>
              </w:rPr>
              <w:t>Objective 4: Build National Cyber Resilience</w:t>
            </w:r>
            <w:r>
              <w:tab/>
            </w:r>
            <w:r>
              <w:fldChar w:fldCharType="begin"/>
            </w:r>
            <w:r>
              <w:instrText xml:space="preserve"> PAGEREF _Toc100012 \h </w:instrText>
            </w:r>
            <w:r>
              <w:fldChar w:fldCharType="separate"/>
            </w:r>
            <w:r>
              <w:t>4</w:t>
            </w:r>
            <w:r>
              <w:fldChar w:fldCharType="end"/>
            </w:r>
          </w:hyperlink>
        </w:p>
        <w:p>
          <w:pPr>
            <w:pStyle w:val="11"/>
            <w:ind w:left="360"/>
            <w:tabs>
              <w:tab w:val="right" w:leader="dot" w:pos="9026"/>
            </w:tabs>
            <w:spacing w:before="120" w:after="60"/>
          </w:pPr>
          <w:hyperlink w:anchor="_Toc100013" w:history="1">
            <w:r>
              <w:rPr>
                <w:rStyle w:val="Hyperlink"/>
              </w:rPr>
              <w:t>Scope Definition</w:t>
            </w:r>
            <w:r>
              <w:tab/>
            </w:r>
            <w:r>
              <w:fldChar w:fldCharType="begin"/>
            </w:r>
            <w:r>
              <w:instrText xml:space="preserve"> PAGEREF _Toc100013 \h </w:instrText>
            </w:r>
            <w:r>
              <w:fldChar w:fldCharType="separate"/>
            </w:r>
            <w:r>
              <w:t>5</w:t>
            </w:r>
            <w:r>
              <w:fldChar w:fldCharType="end"/>
            </w:r>
          </w:hyperlink>
        </w:p>
        <w:p>
          <w:pPr>
            <w:pStyle w:val="11"/>
            <w:ind w:left="360"/>
            <w:tabs>
              <w:tab w:val="right" w:leader="dot" w:pos="9026"/>
            </w:tabs>
            <w:spacing w:before="120" w:after="60"/>
          </w:pPr>
          <w:hyperlink w:anchor="_Toc100014" w:history="1">
            <w:r>
              <w:rPr>
                <w:rStyle w:val="Hyperlink"/>
              </w:rPr>
              <w:t>Success Criteria</w:t>
            </w:r>
            <w:r>
              <w:tab/>
            </w:r>
            <w:r>
              <w:fldChar w:fldCharType="begin"/>
            </w:r>
            <w:r>
              <w:instrText xml:space="preserve"> PAGEREF _Toc100014 \h </w:instrText>
            </w:r>
            <w:r>
              <w:fldChar w:fldCharType="separate"/>
            </w:r>
            <w:r>
              <w:t>5</w:t>
            </w:r>
            <w:r>
              <w:fldChar w:fldCharType="end"/>
            </w:r>
          </w:hyperlink>
        </w:p>
        <w:p>
          <w:pPr>
            <w:pStyle w:val="9"/>
            <w:tabs>
              <w:tab w:val="right" w:leader="dot" w:pos="9026"/>
            </w:tabs>
            <w:spacing w:before="120" w:after="60"/>
          </w:pPr>
          <w:hyperlink w:anchor="_Toc100015" w:history="1">
            <w:r>
              <w:rPr>
                <w:rStyle w:val="Hyperlink"/>
              </w:rPr>
              <w:t>Current State Assessment</w:t>
            </w:r>
            <w:r>
              <w:tab/>
            </w:r>
            <w:r>
              <w:fldChar w:fldCharType="begin"/>
            </w:r>
            <w:r>
              <w:instrText xml:space="preserve"> PAGEREF _Toc100015 \h </w:instrText>
            </w:r>
            <w:r>
              <w:fldChar w:fldCharType="separate"/>
            </w:r>
            <w:r>
              <w:t>5</w:t>
            </w:r>
            <w:r>
              <w:fldChar w:fldCharType="end"/>
            </w:r>
          </w:hyperlink>
        </w:p>
        <w:p>
          <w:pPr>
            <w:pStyle w:val="11"/>
            <w:ind w:left="360"/>
            <w:tabs>
              <w:tab w:val="right" w:leader="dot" w:pos="9026"/>
            </w:tabs>
            <w:spacing w:before="120" w:after="60"/>
          </w:pPr>
          <w:hyperlink w:anchor="_Toc100016" w:history="1">
            <w:r>
              <w:rPr>
                <w:rStyle w:val="Hyperlink"/>
              </w:rPr>
              <w:t>Global Threat Landscape Analysis</w:t>
            </w:r>
            <w:r>
              <w:tab/>
            </w:r>
            <w:r>
              <w:fldChar w:fldCharType="begin"/>
            </w:r>
            <w:r>
              <w:instrText xml:space="preserve"> PAGEREF _Toc100016 \h </w:instrText>
            </w:r>
            <w:r>
              <w:fldChar w:fldCharType="separate"/>
            </w:r>
            <w:r>
              <w:t>5</w:t>
            </w:r>
            <w:r>
              <w:fldChar w:fldCharType="end"/>
            </w:r>
          </w:hyperlink>
        </w:p>
        <w:p>
          <w:pPr>
            <w:pStyle w:val="12"/>
            <w:ind w:left="720"/>
            <w:tabs>
              <w:tab w:val="right" w:leader="dot" w:pos="9026"/>
            </w:tabs>
            <w:spacing w:before="120" w:after="60"/>
          </w:pPr>
          <w:hyperlink w:anchor="_Toc100017" w:history="1">
            <w:r>
              <w:rPr>
                <w:rStyle w:val="Hyperlink"/>
              </w:rPr>
              <w:t>Ransomware Evolution</w:t>
            </w:r>
            <w:r>
              <w:tab/>
            </w:r>
            <w:r>
              <w:fldChar w:fldCharType="begin"/>
            </w:r>
            <w:r>
              <w:instrText xml:space="preserve"> PAGEREF _Toc100017 \h </w:instrText>
            </w:r>
            <w:r>
              <w:fldChar w:fldCharType="separate"/>
            </w:r>
            <w:r>
              <w:t>6</w:t>
            </w:r>
            <w:r>
              <w:fldChar w:fldCharType="end"/>
            </w:r>
          </w:hyperlink>
        </w:p>
        <w:p>
          <w:pPr>
            <w:pStyle w:val="12"/>
            <w:ind w:left="720"/>
            <w:tabs>
              <w:tab w:val="right" w:leader="dot" w:pos="9026"/>
            </w:tabs>
            <w:spacing w:before="120" w:after="60"/>
          </w:pPr>
          <w:hyperlink w:anchor="_Toc100018" w:history="1">
            <w:r>
              <w:rPr>
                <w:rStyle w:val="Hyperlink"/>
              </w:rPr>
              <w:t>Nation-State Threat Activity</w:t>
            </w:r>
            <w:r>
              <w:tab/>
            </w:r>
            <w:r>
              <w:fldChar w:fldCharType="begin"/>
            </w:r>
            <w:r>
              <w:instrText xml:space="preserve"> PAGEREF _Toc100018 \h </w:instrText>
            </w:r>
            <w:r>
              <w:fldChar w:fldCharType="separate"/>
            </w:r>
            <w:r>
              <w:t>6</w:t>
            </w:r>
            <w:r>
              <w:fldChar w:fldCharType="end"/>
            </w:r>
          </w:hyperlink>
        </w:p>
        <w:p>
          <w:pPr>
            <w:pStyle w:val="12"/>
            <w:ind w:left="720"/>
            <w:tabs>
              <w:tab w:val="right" w:leader="dot" w:pos="9026"/>
            </w:tabs>
            <w:spacing w:before="120" w:after="60"/>
          </w:pPr>
          <w:hyperlink w:anchor="_Toc100019" w:history="1">
            <w:r>
              <w:rPr>
                <w:rStyle w:val="Hyperlink"/>
              </w:rPr>
              <w:t>Supply Chain Compromise</w:t>
            </w:r>
            <w:r>
              <w:tab/>
            </w:r>
            <w:r>
              <w:fldChar w:fldCharType="begin"/>
            </w:r>
            <w:r>
              <w:instrText xml:space="preserve"> PAGEREF _Toc100019 \h </w:instrText>
            </w:r>
            <w:r>
              <w:fldChar w:fldCharType="separate"/>
            </w:r>
            <w:r>
              <w:t>6</w:t>
            </w:r>
            <w:r>
              <w:fldChar w:fldCharType="end"/>
            </w:r>
          </w:hyperlink>
        </w:p>
        <w:p>
          <w:pPr>
            <w:pStyle w:val="12"/>
            <w:ind w:left="720"/>
            <w:tabs>
              <w:tab w:val="right" w:leader="dot" w:pos="9026"/>
            </w:tabs>
            <w:spacing w:before="120" w:after="60"/>
          </w:pPr>
          <w:hyperlink w:anchor="_Toc100020" w:history="1">
            <w:r>
              <w:rPr>
                <w:rStyle w:val="Hyperlink"/>
              </w:rPr>
              <w:t>AI-Powered Attacks</w:t>
            </w:r>
            <w:r>
              <w:tab/>
            </w:r>
            <w:r>
              <w:fldChar w:fldCharType="begin"/>
            </w:r>
            <w:r>
              <w:instrText xml:space="preserve"> PAGEREF _Toc100020 \h </w:instrText>
            </w:r>
            <w:r>
              <w:fldChar w:fldCharType="separate"/>
            </w:r>
            <w:r>
              <w:t>6</w:t>
            </w:r>
            <w:r>
              <w:fldChar w:fldCharType="end"/>
            </w:r>
          </w:hyperlink>
        </w:p>
        <w:p>
          <w:pPr>
            <w:pStyle w:val="11"/>
            <w:ind w:left="360"/>
            <w:tabs>
              <w:tab w:val="right" w:leader="dot" w:pos="9026"/>
            </w:tabs>
            <w:spacing w:before="120" w:after="60"/>
          </w:pPr>
          <w:hyperlink w:anchor="_Toc100021" w:history="1">
            <w:r>
              <w:rPr>
                <w:rStyle w:val="Hyperlink"/>
              </w:rPr>
              <w:t>Capability Gap Analysis</w:t>
            </w:r>
            <w:r>
              <w:tab/>
            </w:r>
            <w:r>
              <w:fldChar w:fldCharType="begin"/>
            </w:r>
            <w:r>
              <w:instrText xml:space="preserve"> PAGEREF _Toc100021 \h </w:instrText>
            </w:r>
            <w:r>
              <w:fldChar w:fldCharType="separate"/>
            </w:r>
            <w:r>
              <w:t>7</w:t>
            </w:r>
            <w:r>
              <w:fldChar w:fldCharType="end"/>
            </w:r>
          </w:hyperlink>
        </w:p>
        <w:p>
          <w:pPr>
            <w:pStyle w:val="12"/>
            <w:ind w:left="720"/>
            <w:tabs>
              <w:tab w:val="right" w:leader="dot" w:pos="9026"/>
            </w:tabs>
            <w:spacing w:before="120" w:after="60"/>
          </w:pPr>
          <w:hyperlink w:anchor="_Toc100022" w:history="1">
            <w:r>
              <w:rPr>
                <w:rStyle w:val="Hyperlink"/>
              </w:rPr>
              <w:t>Detection Gaps</w:t>
            </w:r>
            <w:r>
              <w:tab/>
            </w:r>
            <w:r>
              <w:fldChar w:fldCharType="begin"/>
            </w:r>
            <w:r>
              <w:instrText xml:space="preserve"> PAGEREF _Toc100022 \h </w:instrText>
            </w:r>
            <w:r>
              <w:fldChar w:fldCharType="separate"/>
            </w:r>
            <w:r>
              <w:t>7</w:t>
            </w:r>
            <w:r>
              <w:fldChar w:fldCharType="end"/>
            </w:r>
          </w:hyperlink>
        </w:p>
        <w:p>
          <w:pPr>
            <w:pStyle w:val="12"/>
            <w:ind w:left="720"/>
            <w:tabs>
              <w:tab w:val="right" w:leader="dot" w:pos="9026"/>
            </w:tabs>
            <w:spacing w:before="120" w:after="60"/>
          </w:pPr>
          <w:hyperlink w:anchor="_Toc100023" w:history="1">
            <w:r>
              <w:rPr>
                <w:rStyle w:val="Hyperlink"/>
              </w:rPr>
              <w:t>Response Gaps</w:t>
            </w:r>
            <w:r>
              <w:tab/>
            </w:r>
            <w:r>
              <w:fldChar w:fldCharType="begin"/>
            </w:r>
            <w:r>
              <w:instrText xml:space="preserve"> PAGEREF _Toc100023 \h </w:instrText>
            </w:r>
            <w:r>
              <w:fldChar w:fldCharType="separate"/>
            </w:r>
            <w:r>
              <w:t>7</w:t>
            </w:r>
            <w:r>
              <w:fldChar w:fldCharType="end"/>
            </w:r>
          </w:hyperlink>
        </w:p>
        <w:p>
          <w:pPr>
            <w:pStyle w:val="12"/>
            <w:ind w:left="720"/>
            <w:tabs>
              <w:tab w:val="right" w:leader="dot" w:pos="9026"/>
            </w:tabs>
            <w:spacing w:before="120" w:after="60"/>
          </w:pPr>
          <w:hyperlink w:anchor="_Toc100024" w:history="1">
            <w:r>
              <w:rPr>
                <w:rStyle w:val="Hyperlink"/>
              </w:rPr>
              <w:t>Intelligence Gaps</w:t>
            </w:r>
            <w:r>
              <w:tab/>
            </w:r>
            <w:r>
              <w:fldChar w:fldCharType="begin"/>
            </w:r>
            <w:r>
              <w:instrText xml:space="preserve"> PAGEREF _Toc100024 \h </w:instrText>
            </w:r>
            <w:r>
              <w:fldChar w:fldCharType="separate"/>
            </w:r>
            <w:r>
              <w:t>7</w:t>
            </w:r>
            <w:r>
              <w:fldChar w:fldCharType="end"/>
            </w:r>
          </w:hyperlink>
        </w:p>
        <w:p>
          <w:pPr>
            <w:pStyle w:val="11"/>
            <w:ind w:left="360"/>
            <w:tabs>
              <w:tab w:val="right" w:leader="dot" w:pos="9026"/>
            </w:tabs>
            <w:spacing w:before="120" w:after="60"/>
          </w:pPr>
          <w:hyperlink w:anchor="_Toc100025" w:history="1">
            <w:r>
              <w:rPr>
                <w:rStyle w:val="Hyperlink"/>
              </w:rPr>
              <w:t>Benchmarking Against International Standards</w:t>
            </w:r>
            <w:r>
              <w:tab/>
            </w:r>
            <w:r>
              <w:fldChar w:fldCharType="begin"/>
            </w:r>
            <w:r>
              <w:instrText xml:space="preserve"> PAGEREF _Toc100025 \h </w:instrText>
            </w:r>
            <w:r>
              <w:fldChar w:fldCharType="separate"/>
            </w:r>
            <w:r>
              <w:t>8</w:t>
            </w:r>
            <w:r>
              <w:fldChar w:fldCharType="end"/>
            </w:r>
          </w:hyperlink>
        </w:p>
        <w:p>
          <w:pPr>
            <w:pStyle w:val="9"/>
            <w:tabs>
              <w:tab w:val="right" w:leader="dot" w:pos="9026"/>
            </w:tabs>
            <w:spacing w:before="120" w:after="60"/>
          </w:pPr>
          <w:hyperlink w:anchor="_Toc100026" w:history="1">
            <w:r>
              <w:rPr>
                <w:rStyle w:val="Hyperlink"/>
              </w:rPr>
              <w:t>Target Architecture Framework</w:t>
            </w:r>
            <w:r>
              <w:tab/>
            </w:r>
            <w:r>
              <w:fldChar w:fldCharType="begin"/>
            </w:r>
            <w:r>
              <w:instrText xml:space="preserve"> PAGEREF _Toc100026 \h </w:instrText>
            </w:r>
            <w:r>
              <w:fldChar w:fldCharType="separate"/>
            </w:r>
            <w:r>
              <w:t>8</w:t>
            </w:r>
            <w:r>
              <w:fldChar w:fldCharType="end"/>
            </w:r>
          </w:hyperlink>
        </w:p>
        <w:p>
          <w:pPr>
            <w:pStyle w:val="11"/>
            <w:ind w:left="360"/>
            <w:tabs>
              <w:tab w:val="right" w:leader="dot" w:pos="9026"/>
            </w:tabs>
            <w:spacing w:before="120" w:after="60"/>
          </w:pPr>
          <w:hyperlink w:anchor="_Toc100027" w:history="1">
            <w:r>
              <w:rPr>
                <w:rStyle w:val="Hyperlink"/>
              </w:rPr>
              <w:t>Architectural Principles</w:t>
            </w:r>
            <w:r>
              <w:tab/>
            </w:r>
            <w:r>
              <w:fldChar w:fldCharType="begin"/>
            </w:r>
            <w:r>
              <w:instrText xml:space="preserve"> PAGEREF _Toc100027 \h </w:instrText>
            </w:r>
            <w:r>
              <w:fldChar w:fldCharType="separate"/>
            </w:r>
            <w:r>
              <w:t>8</w:t>
            </w:r>
            <w:r>
              <w:fldChar w:fldCharType="end"/>
            </w:r>
          </w:hyperlink>
        </w:p>
        <w:p>
          <w:pPr>
            <w:pStyle w:val="12"/>
            <w:ind w:left="720"/>
            <w:tabs>
              <w:tab w:val="right" w:leader="dot" w:pos="9026"/>
            </w:tabs>
            <w:spacing w:before="120" w:after="60"/>
          </w:pPr>
          <w:hyperlink w:anchor="_Toc100028" w:history="1">
            <w:r>
              <w:rPr>
                <w:rStyle w:val="Hyperlink"/>
              </w:rPr>
              <w:t>Defense in Depth</w:t>
            </w:r>
            <w:r>
              <w:tab/>
            </w:r>
            <w:r>
              <w:fldChar w:fldCharType="begin"/>
            </w:r>
            <w:r>
              <w:instrText xml:space="preserve"> PAGEREF _Toc100028 \h </w:instrText>
            </w:r>
            <w:r>
              <w:fldChar w:fldCharType="separate"/>
            </w:r>
            <w:r>
              <w:t>8</w:t>
            </w:r>
            <w:r>
              <w:fldChar w:fldCharType="end"/>
            </w:r>
          </w:hyperlink>
        </w:p>
        <w:p>
          <w:pPr>
            <w:pStyle w:val="12"/>
            <w:ind w:left="720"/>
            <w:tabs>
              <w:tab w:val="right" w:leader="dot" w:pos="9026"/>
            </w:tabs>
            <w:spacing w:before="120" w:after="60"/>
          </w:pPr>
          <w:hyperlink w:anchor="_Toc100029" w:history="1">
            <w:r>
              <w:rPr>
                <w:rStyle w:val="Hyperlink"/>
              </w:rPr>
              <w:t>Zero Trust Foundation</w:t>
            </w:r>
            <w:r>
              <w:tab/>
            </w:r>
            <w:r>
              <w:fldChar w:fldCharType="begin"/>
            </w:r>
            <w:r>
              <w:instrText xml:space="preserve"> PAGEREF _Toc100029 \h </w:instrText>
            </w:r>
            <w:r>
              <w:fldChar w:fldCharType="separate"/>
            </w:r>
            <w:r>
              <w:t>9</w:t>
            </w:r>
            <w:r>
              <w:fldChar w:fldCharType="end"/>
            </w:r>
          </w:hyperlink>
        </w:p>
        <w:p>
          <w:pPr>
            <w:pStyle w:val="12"/>
            <w:ind w:left="720"/>
            <w:tabs>
              <w:tab w:val="right" w:leader="dot" w:pos="9026"/>
            </w:tabs>
            <w:spacing w:before="120" w:after="60"/>
          </w:pPr>
          <w:hyperlink w:anchor="_Toc100030" w:history="1">
            <w:r>
              <w:rPr>
                <w:rStyle w:val="Hyperlink"/>
              </w:rPr>
              <w:t>Cloud-Native Design</w:t>
            </w:r>
            <w:r>
              <w:tab/>
            </w:r>
            <w:r>
              <w:fldChar w:fldCharType="begin"/>
            </w:r>
            <w:r>
              <w:instrText xml:space="preserve"> PAGEREF _Toc100030 \h </w:instrText>
            </w:r>
            <w:r>
              <w:fldChar w:fldCharType="separate"/>
            </w:r>
            <w:r>
              <w:t>9</w:t>
            </w:r>
            <w:r>
              <w:fldChar w:fldCharType="end"/>
            </w:r>
          </w:hyperlink>
        </w:p>
        <w:p>
          <w:pPr>
            <w:pStyle w:val="12"/>
            <w:ind w:left="720"/>
            <w:tabs>
              <w:tab w:val="right" w:leader="dot" w:pos="9026"/>
            </w:tabs>
            <w:spacing w:before="120" w:after="60"/>
          </w:pPr>
          <w:hyperlink w:anchor="_Toc100031" w:history="1">
            <w:r>
              <w:rPr>
                <w:rStyle w:val="Hyperlink"/>
              </w:rPr>
              <w:t>Data-Centric Security</w:t>
            </w:r>
            <w:r>
              <w:tab/>
            </w:r>
            <w:r>
              <w:fldChar w:fldCharType="begin"/>
            </w:r>
            <w:r>
              <w:instrText xml:space="preserve"> PAGEREF _Toc100031 \h </w:instrText>
            </w:r>
            <w:r>
              <w:fldChar w:fldCharType="separate"/>
            </w:r>
            <w:r>
              <w:t>9</w:t>
            </w:r>
            <w:r>
              <w:fldChar w:fldCharType="end"/>
            </w:r>
          </w:hyperlink>
        </w:p>
        <w:p>
          <w:pPr>
            <w:pStyle w:val="11"/>
            <w:ind w:left="360"/>
            <w:tabs>
              <w:tab w:val="right" w:leader="dot" w:pos="9026"/>
            </w:tabs>
            <w:spacing w:before="120" w:after="60"/>
          </w:pPr>
          <w:hyperlink w:anchor="_Toc100032" w:history="1">
            <w:r>
              <w:rPr>
                <w:rStyle w:val="Hyperlink"/>
              </w:rPr>
              <w:t>Logical Architecture Layers</w:t>
            </w:r>
            <w:r>
              <w:tab/>
            </w:r>
            <w:r>
              <w:fldChar w:fldCharType="begin"/>
            </w:r>
            <w:r>
              <w:instrText xml:space="preserve"> PAGEREF _Toc100032 \h </w:instrText>
            </w:r>
            <w:r>
              <w:fldChar w:fldCharType="separate"/>
            </w:r>
            <w:r>
              <w:t>9</w:t>
            </w:r>
            <w:r>
              <w:fldChar w:fldCharType="end"/>
            </w:r>
          </w:hyperlink>
        </w:p>
        <w:p>
          <w:pPr>
            <w:pStyle w:val="12"/>
            <w:ind w:left="720"/>
            <w:tabs>
              <w:tab w:val="right" w:leader="dot" w:pos="9026"/>
            </w:tabs>
            <w:spacing w:before="120" w:after="60"/>
          </w:pPr>
          <w:hyperlink w:anchor="_Toc100033" w:history="1">
            <w:r>
              <w:rPr>
                <w:rStyle w:val="Hyperlink"/>
              </w:rPr>
              <w:t>Layer 1: Data Collection &amp; Ingestion</w:t>
            </w:r>
            <w:r>
              <w:tab/>
            </w:r>
            <w:r>
              <w:fldChar w:fldCharType="begin"/>
            </w:r>
            <w:r>
              <w:instrText xml:space="preserve"> PAGEREF _Toc100033 \h </w:instrText>
            </w:r>
            <w:r>
              <w:fldChar w:fldCharType="separate"/>
            </w:r>
            <w:r>
              <w:t>10</w:t>
            </w:r>
            <w:r>
              <w:fldChar w:fldCharType="end"/>
            </w:r>
          </w:hyperlink>
        </w:p>
        <w:p>
          <w:pPr>
            <w:pStyle w:val="12"/>
            <w:ind w:left="720"/>
            <w:tabs>
              <w:tab w:val="right" w:leader="dot" w:pos="9026"/>
            </w:tabs>
            <w:spacing w:before="120" w:after="60"/>
          </w:pPr>
          <w:hyperlink w:anchor="_Toc100034" w:history="1">
            <w:r>
              <w:rPr>
                <w:rStyle w:val="Hyperlink"/>
              </w:rPr>
              <w:t>Layer 2: Processing &amp; Normalization</w:t>
            </w:r>
            <w:r>
              <w:tab/>
            </w:r>
            <w:r>
              <w:fldChar w:fldCharType="begin"/>
            </w:r>
            <w:r>
              <w:instrText xml:space="preserve"> PAGEREF _Toc100034 \h </w:instrText>
            </w:r>
            <w:r>
              <w:fldChar w:fldCharType="separate"/>
            </w:r>
            <w:r>
              <w:t>10</w:t>
            </w:r>
            <w:r>
              <w:fldChar w:fldCharType="end"/>
            </w:r>
          </w:hyperlink>
        </w:p>
        <w:p>
          <w:pPr>
            <w:pStyle w:val="12"/>
            <w:ind w:left="720"/>
            <w:tabs>
              <w:tab w:val="right" w:leader="dot" w:pos="9026"/>
            </w:tabs>
            <w:spacing w:before="120" w:after="60"/>
          </w:pPr>
          <w:hyperlink w:anchor="_Toc100035" w:history="1">
            <w:r>
              <w:rPr>
                <w:rStyle w:val="Hyperlink"/>
              </w:rPr>
              <w:t>Layer 3: Storage &amp; Retention</w:t>
            </w:r>
            <w:r>
              <w:tab/>
            </w:r>
            <w:r>
              <w:fldChar w:fldCharType="begin"/>
            </w:r>
            <w:r>
              <w:instrText xml:space="preserve"> PAGEREF _Toc100035 \h </w:instrText>
            </w:r>
            <w:r>
              <w:fldChar w:fldCharType="separate"/>
            </w:r>
            <w:r>
              <w:t>10</w:t>
            </w:r>
            <w:r>
              <w:fldChar w:fldCharType="end"/>
            </w:r>
          </w:hyperlink>
        </w:p>
        <w:p>
          <w:pPr>
            <w:pStyle w:val="12"/>
            <w:ind w:left="720"/>
            <w:tabs>
              <w:tab w:val="right" w:leader="dot" w:pos="9026"/>
            </w:tabs>
            <w:spacing w:before="120" w:after="60"/>
          </w:pPr>
          <w:hyperlink w:anchor="_Toc100036" w:history="1">
            <w:r>
              <w:rPr>
                <w:rStyle w:val="Hyperlink"/>
              </w:rPr>
              <w:t>Layer 4: Analysis &amp; Detection</w:t>
            </w:r>
            <w:r>
              <w:tab/>
            </w:r>
            <w:r>
              <w:fldChar w:fldCharType="begin"/>
            </w:r>
            <w:r>
              <w:instrText xml:space="preserve"> PAGEREF _Toc100036 \h </w:instrText>
            </w:r>
            <w:r>
              <w:fldChar w:fldCharType="separate"/>
            </w:r>
            <w:r>
              <w:t>10</w:t>
            </w:r>
            <w:r>
              <w:fldChar w:fldCharType="end"/>
            </w:r>
          </w:hyperlink>
        </w:p>
        <w:p>
          <w:pPr>
            <w:pStyle w:val="12"/>
            <w:ind w:left="720"/>
            <w:tabs>
              <w:tab w:val="right" w:leader="dot" w:pos="9026"/>
            </w:tabs>
            <w:spacing w:before="120" w:after="60"/>
          </w:pPr>
          <w:hyperlink w:anchor="_Toc100037" w:history="1">
            <w:r>
              <w:rPr>
                <w:rStyle w:val="Hyperlink"/>
              </w:rPr>
              <w:t>Layer 5: Orchestration &amp; Response</w:t>
            </w:r>
            <w:r>
              <w:tab/>
            </w:r>
            <w:r>
              <w:fldChar w:fldCharType="begin"/>
            </w:r>
            <w:r>
              <w:instrText xml:space="preserve"> PAGEREF _Toc100037 \h </w:instrText>
            </w:r>
            <w:r>
              <w:fldChar w:fldCharType="separate"/>
            </w:r>
            <w:r>
              <w:t>11</w:t>
            </w:r>
            <w:r>
              <w:fldChar w:fldCharType="end"/>
            </w:r>
          </w:hyperlink>
        </w:p>
        <w:p>
          <w:pPr>
            <w:pStyle w:val="12"/>
            <w:ind w:left="720"/>
            <w:tabs>
              <w:tab w:val="right" w:leader="dot" w:pos="9026"/>
            </w:tabs>
            <w:spacing w:before="120" w:after="60"/>
          </w:pPr>
          <w:hyperlink w:anchor="_Toc100038" w:history="1">
            <w:r>
              <w:rPr>
                <w:rStyle w:val="Hyperlink"/>
              </w:rPr>
              <w:t>Layer 6: Presentation &amp; Reporting</w:t>
            </w:r>
            <w:r>
              <w:tab/>
            </w:r>
            <w:r>
              <w:fldChar w:fldCharType="begin"/>
            </w:r>
            <w:r>
              <w:instrText xml:space="preserve"> PAGEREF _Toc100038 \h </w:instrText>
            </w:r>
            <w:r>
              <w:fldChar w:fldCharType="separate"/>
            </w:r>
            <w:r>
              <w:t>11</w:t>
            </w:r>
            <w:r>
              <w:fldChar w:fldCharType="end"/>
            </w:r>
          </w:hyperlink>
        </w:p>
        <w:p>
          <w:pPr>
            <w:pStyle w:val="11"/>
            <w:ind w:left="360"/>
            <w:tabs>
              <w:tab w:val="right" w:leader="dot" w:pos="9026"/>
            </w:tabs>
            <w:spacing w:before="120" w:after="60"/>
          </w:pPr>
          <w:hyperlink w:anchor="_Toc100039" w:history="1">
            <w:r>
              <w:rPr>
                <w:rStyle w:val="Hyperlink"/>
              </w:rPr>
              <w:t>Integration Architecture</w:t>
            </w:r>
            <w:r>
              <w:tab/>
            </w:r>
            <w:r>
              <w:fldChar w:fldCharType="begin"/>
            </w:r>
            <w:r>
              <w:instrText xml:space="preserve"> PAGEREF _Toc100039 \h </w:instrText>
            </w:r>
            <w:r>
              <w:fldChar w:fldCharType="separate"/>
            </w:r>
            <w:r>
              <w:t>11</w:t>
            </w:r>
            <w:r>
              <w:fldChar w:fldCharType="end"/>
            </w:r>
          </w:hyperlink>
        </w:p>
        <w:p>
          <w:pPr>
            <w:pStyle w:val="9"/>
            <w:tabs>
              <w:tab w:val="right" w:leader="dot" w:pos="9026"/>
            </w:tabs>
            <w:spacing w:before="120" w:after="60"/>
          </w:pPr>
          <w:hyperlink w:anchor="_Toc100040" w:history="1">
            <w:r>
              <w:rPr>
                <w:rStyle w:val="Hyperlink"/>
              </w:rPr>
              <w:t>Technology Stack &amp; Platform Selection</w:t>
            </w:r>
            <w:r>
              <w:tab/>
            </w:r>
            <w:r>
              <w:fldChar w:fldCharType="begin"/>
            </w:r>
            <w:r>
              <w:instrText xml:space="preserve"> PAGEREF _Toc100040 \h </w:instrText>
            </w:r>
            <w:r>
              <w:fldChar w:fldCharType="separate"/>
            </w:r>
            <w:r>
              <w:t>11</w:t>
            </w:r>
            <w:r>
              <w:fldChar w:fldCharType="end"/>
            </w:r>
          </w:hyperlink>
        </w:p>
        <w:p>
          <w:pPr>
            <w:pStyle w:val="11"/>
            <w:ind w:left="360"/>
            <w:tabs>
              <w:tab w:val="right" w:leader="dot" w:pos="9026"/>
            </w:tabs>
            <w:spacing w:before="120" w:after="60"/>
          </w:pPr>
          <w:hyperlink w:anchor="_Toc100041" w:history="1">
            <w:r>
              <w:rPr>
                <w:rStyle w:val="Hyperlink"/>
              </w:rPr>
              <w:t>Platform Evaluation Methodology</w:t>
            </w:r>
            <w:r>
              <w:tab/>
            </w:r>
            <w:r>
              <w:fldChar w:fldCharType="begin"/>
            </w:r>
            <w:r>
              <w:instrText xml:space="preserve"> PAGEREF _Toc100041 \h </w:instrText>
            </w:r>
            <w:r>
              <w:fldChar w:fldCharType="separate"/>
            </w:r>
            <w:r>
              <w:t>11</w:t>
            </w:r>
            <w:r>
              <w:fldChar w:fldCharType="end"/>
            </w:r>
          </w:hyperlink>
        </w:p>
        <w:p>
          <w:pPr>
            <w:pStyle w:val="11"/>
            <w:ind w:left="360"/>
            <w:tabs>
              <w:tab w:val="right" w:leader="dot" w:pos="9026"/>
            </w:tabs>
            <w:spacing w:before="120" w:after="60"/>
          </w:pPr>
          <w:hyperlink w:anchor="_Toc100042" w:history="1">
            <w:r>
              <w:rPr>
                <w:rStyle w:val="Hyperlink"/>
              </w:rPr>
              <w:t>SIEM Platform Comparison</w:t>
            </w:r>
            <w:r>
              <w:tab/>
            </w:r>
            <w:r>
              <w:fldChar w:fldCharType="begin"/>
            </w:r>
            <w:r>
              <w:instrText xml:space="preserve"> PAGEREF _Toc100042 \h </w:instrText>
            </w:r>
            <w:r>
              <w:fldChar w:fldCharType="separate"/>
            </w:r>
            <w:r>
              <w:t>12</w:t>
            </w:r>
            <w:r>
              <w:fldChar w:fldCharType="end"/>
            </w:r>
          </w:hyperlink>
        </w:p>
        <w:p>
          <w:pPr>
            <w:pStyle w:val="11"/>
            <w:ind w:left="360"/>
            <w:tabs>
              <w:tab w:val="right" w:leader="dot" w:pos="9026"/>
            </w:tabs>
            <w:spacing w:before="120" w:after="60"/>
          </w:pPr>
          <w:hyperlink w:anchor="_Toc100043" w:history="1">
            <w:r>
              <w:rPr>
                <w:rStyle w:val="Hyperlink"/>
              </w:rPr>
              <w:t>SOAR Platform Options</w:t>
            </w:r>
            <w:r>
              <w:tab/>
            </w:r>
            <w:r>
              <w:fldChar w:fldCharType="begin"/>
            </w:r>
            <w:r>
              <w:instrText xml:space="preserve"> PAGEREF _Toc100043 \h </w:instrText>
            </w:r>
            <w:r>
              <w:fldChar w:fldCharType="separate"/>
            </w:r>
            <w:r>
              <w:t>12</w:t>
            </w:r>
            <w:r>
              <w:fldChar w:fldCharType="end"/>
            </w:r>
          </w:hyperlink>
        </w:p>
        <w:p>
          <w:pPr>
            <w:pStyle w:val="11"/>
            <w:ind w:left="360"/>
            <w:tabs>
              <w:tab w:val="right" w:leader="dot" w:pos="9026"/>
            </w:tabs>
            <w:spacing w:before="120" w:after="60"/>
          </w:pPr>
          <w:hyperlink w:anchor="_Toc100044" w:history="1">
            <w:r>
              <w:rPr>
                <w:rStyle w:val="Hyperlink"/>
              </w:rPr>
              <w:t>XDR / EDR Solutions</w:t>
            </w:r>
            <w:r>
              <w:tab/>
            </w:r>
            <w:r>
              <w:fldChar w:fldCharType="begin"/>
            </w:r>
            <w:r>
              <w:instrText xml:space="preserve"> PAGEREF _Toc100044 \h </w:instrText>
            </w:r>
            <w:r>
              <w:fldChar w:fldCharType="separate"/>
            </w:r>
            <w:r>
              <w:t>13</w:t>
            </w:r>
            <w:r>
              <w:fldChar w:fldCharType="end"/>
            </w:r>
          </w:hyperlink>
        </w:p>
        <w:p>
          <w:pPr>
            <w:pStyle w:val="11"/>
            <w:ind w:left="360"/>
            <w:tabs>
              <w:tab w:val="right" w:leader="dot" w:pos="9026"/>
            </w:tabs>
            <w:spacing w:before="120" w:after="60"/>
          </w:pPr>
          <w:hyperlink w:anchor="_Toc100045" w:history="1">
            <w:r>
              <w:rPr>
                <w:rStyle w:val="Hyperlink"/>
              </w:rPr>
              <w:t>Threat Intelligence Platforms</w:t>
            </w:r>
            <w:r>
              <w:tab/>
            </w:r>
            <w:r>
              <w:fldChar w:fldCharType="begin"/>
            </w:r>
            <w:r>
              <w:instrText xml:space="preserve"> PAGEREF _Toc100045 \h </w:instrText>
            </w:r>
            <w:r>
              <w:fldChar w:fldCharType="separate"/>
            </w:r>
            <w:r>
              <w:t>13</w:t>
            </w:r>
            <w:r>
              <w:fldChar w:fldCharType="end"/>
            </w:r>
          </w:hyperlink>
        </w:p>
        <w:p>
          <w:pPr>
            <w:pStyle w:val="11"/>
            <w:ind w:left="360"/>
            <w:tabs>
              <w:tab w:val="right" w:leader="dot" w:pos="9026"/>
            </w:tabs>
            <w:spacing w:before="120" w:after="60"/>
          </w:pPr>
          <w:hyperlink w:anchor="_Toc100046" w:history="1">
            <w:r>
              <w:rPr>
                <w:rStyle w:val="Hyperlink"/>
              </w:rPr>
              <w:t>Recommended Technology Stack</w:t>
            </w:r>
            <w:r>
              <w:tab/>
            </w:r>
            <w:r>
              <w:fldChar w:fldCharType="begin"/>
            </w:r>
            <w:r>
              <w:instrText xml:space="preserve"> PAGEREF _Toc100046 \h </w:instrText>
            </w:r>
            <w:r>
              <w:fldChar w:fldCharType="separate"/>
            </w:r>
            <w:r>
              <w:t>13</w:t>
            </w:r>
            <w:r>
              <w:fldChar w:fldCharType="end"/>
            </w:r>
          </w:hyperlink>
        </w:p>
        <w:p>
          <w:pPr>
            <w:pStyle w:val="12"/>
            <w:ind w:left="720"/>
            <w:tabs>
              <w:tab w:val="right" w:leader="dot" w:pos="9026"/>
            </w:tabs>
            <w:spacing w:before="120" w:after="60"/>
          </w:pPr>
          <w:hyperlink w:anchor="_Toc100047" w:history="1">
            <w:r>
              <w:rPr>
                <w:rStyle w:val="Hyperlink"/>
              </w:rPr>
              <w:t>Primary Recommendation: Best-in-Class Integrated Stack</w:t>
            </w:r>
            <w:r>
              <w:tab/>
            </w:r>
            <w:r>
              <w:fldChar w:fldCharType="begin"/>
            </w:r>
            <w:r>
              <w:instrText xml:space="preserve"> PAGEREF _Toc100047 \h </w:instrText>
            </w:r>
            <w:r>
              <w:fldChar w:fldCharType="separate"/>
            </w:r>
            <w:r>
              <w:t>14</w:t>
            </w:r>
            <w:r>
              <w:fldChar w:fldCharType="end"/>
            </w:r>
          </w:hyperlink>
        </w:p>
        <w:p>
          <w:pPr>
            <w:pStyle w:val="12"/>
            <w:ind w:left="720"/>
            <w:tabs>
              <w:tab w:val="right" w:leader="dot" w:pos="9026"/>
            </w:tabs>
            <w:spacing w:before="120" w:after="60"/>
          </w:pPr>
          <w:hyperlink w:anchor="_Toc100048" w:history="1">
            <w:r>
              <w:rPr>
                <w:rStyle w:val="Hyperlink"/>
              </w:rPr>
              <w:t>Alternative: Microsoft-Centric Stack</w:t>
            </w:r>
            <w:r>
              <w:tab/>
            </w:r>
            <w:r>
              <w:fldChar w:fldCharType="begin"/>
            </w:r>
            <w:r>
              <w:instrText xml:space="preserve"> PAGEREF _Toc100048 \h </w:instrText>
            </w:r>
            <w:r>
              <w:fldChar w:fldCharType="separate"/>
            </w:r>
            <w:r>
              <w:t>14</w:t>
            </w:r>
            <w:r>
              <w:fldChar w:fldCharType="end"/>
            </w:r>
          </w:hyperlink>
        </w:p>
        <w:p>
          <w:pPr>
            <w:pStyle w:val="12"/>
            <w:ind w:left="720"/>
            <w:tabs>
              <w:tab w:val="right" w:leader="dot" w:pos="9026"/>
            </w:tabs>
            <w:spacing w:before="120" w:after="60"/>
          </w:pPr>
          <w:hyperlink w:anchor="_Toc100049" w:history="1">
            <w:r>
              <w:rPr>
                <w:rStyle w:val="Hyperlink"/>
              </w:rPr>
              <w:t>Alternative: Open Platform Stack</w:t>
            </w:r>
            <w:r>
              <w:tab/>
            </w:r>
            <w:r>
              <w:fldChar w:fldCharType="begin"/>
            </w:r>
            <w:r>
              <w:instrText xml:space="preserve"> PAGEREF _Toc100049 \h </w:instrText>
            </w:r>
            <w:r>
              <w:fldChar w:fldCharType="separate"/>
            </w:r>
            <w:r>
              <w:t>14</w:t>
            </w:r>
            <w:r>
              <w:fldChar w:fldCharType="end"/>
            </w:r>
          </w:hyperlink>
        </w:p>
        <w:p>
          <w:pPr>
            <w:pStyle w:val="9"/>
            <w:tabs>
              <w:tab w:val="right" w:leader="dot" w:pos="9026"/>
            </w:tabs>
            <w:spacing w:before="120" w:after="60"/>
          </w:pPr>
          <w:hyperlink w:anchor="_Toc100050" w:history="1">
            <w:r>
              <w:rPr>
                <w:rStyle w:val="Hyperlink"/>
              </w:rPr>
              <w:t>AI-Powered Capabilities</w:t>
            </w:r>
            <w:r>
              <w:tab/>
            </w:r>
            <w:r>
              <w:fldChar w:fldCharType="begin"/>
            </w:r>
            <w:r>
              <w:instrText xml:space="preserve"> PAGEREF _Toc100050 \h </w:instrText>
            </w:r>
            <w:r>
              <w:fldChar w:fldCharType="separate"/>
            </w:r>
            <w:r>
              <w:t>14</w:t>
            </w:r>
            <w:r>
              <w:fldChar w:fldCharType="end"/>
            </w:r>
          </w:hyperlink>
        </w:p>
        <w:p>
          <w:pPr>
            <w:pStyle w:val="11"/>
            <w:ind w:left="360"/>
            <w:tabs>
              <w:tab w:val="right" w:leader="dot" w:pos="9026"/>
            </w:tabs>
            <w:spacing w:before="120" w:after="60"/>
          </w:pPr>
          <w:hyperlink w:anchor="_Toc100051" w:history="1">
            <w:r>
              <w:rPr>
                <w:rStyle w:val="Hyperlink"/>
              </w:rPr>
              <w:t>AI Strategy Overview</w:t>
            </w:r>
            <w:r>
              <w:tab/>
            </w:r>
            <w:r>
              <w:fldChar w:fldCharType="begin"/>
            </w:r>
            <w:r>
              <w:instrText xml:space="preserve"> PAGEREF _Toc100051 \h </w:instrText>
            </w:r>
            <w:r>
              <w:fldChar w:fldCharType="separate"/>
            </w:r>
            <w:r>
              <w:t>14</w:t>
            </w:r>
            <w:r>
              <w:fldChar w:fldCharType="end"/>
            </w:r>
          </w:hyperlink>
        </w:p>
        <w:p>
          <w:pPr>
            <w:pStyle w:val="11"/>
            <w:ind w:left="360"/>
            <w:tabs>
              <w:tab w:val="right" w:leader="dot" w:pos="9026"/>
            </w:tabs>
            <w:spacing w:before="120" w:after="60"/>
          </w:pPr>
          <w:hyperlink w:anchor="_Toc100052" w:history="1">
            <w:r>
              <w:rPr>
                <w:rStyle w:val="Hyperlink"/>
              </w:rPr>
              <w:t>Current AI Applications in SOC Operations</w:t>
            </w:r>
            <w:r>
              <w:tab/>
            </w:r>
            <w:r>
              <w:fldChar w:fldCharType="begin"/>
            </w:r>
            <w:r>
              <w:instrText xml:space="preserve"> PAGEREF _Toc100052 \h </w:instrText>
            </w:r>
            <w:r>
              <w:fldChar w:fldCharType="separate"/>
            </w:r>
            <w:r>
              <w:t>15</w:t>
            </w:r>
            <w:r>
              <w:fldChar w:fldCharType="end"/>
            </w:r>
          </w:hyperlink>
        </w:p>
        <w:p>
          <w:pPr>
            <w:pStyle w:val="12"/>
            <w:ind w:left="720"/>
            <w:tabs>
              <w:tab w:val="right" w:leader="dot" w:pos="9026"/>
            </w:tabs>
            <w:spacing w:before="120" w:after="60"/>
          </w:pPr>
          <w:hyperlink w:anchor="_Toc100053" w:history="1">
            <w:r>
              <w:rPr>
                <w:rStyle w:val="Hyperlink"/>
              </w:rPr>
              <w:t>AI-Assisted Detection</w:t>
            </w:r>
            <w:r>
              <w:tab/>
            </w:r>
            <w:r>
              <w:fldChar w:fldCharType="begin"/>
            </w:r>
            <w:r>
              <w:instrText xml:space="preserve"> PAGEREF _Toc100053 \h </w:instrText>
            </w:r>
            <w:r>
              <w:fldChar w:fldCharType="separate"/>
            </w:r>
            <w:r>
              <w:t>15</w:t>
            </w:r>
            <w:r>
              <w:fldChar w:fldCharType="end"/>
            </w:r>
          </w:hyperlink>
        </w:p>
        <w:p>
          <w:pPr>
            <w:pStyle w:val="12"/>
            <w:ind w:left="720"/>
            <w:tabs>
              <w:tab w:val="right" w:leader="dot" w:pos="9026"/>
            </w:tabs>
            <w:spacing w:before="120" w:after="60"/>
          </w:pPr>
          <w:hyperlink w:anchor="_Toc100054" w:history="1">
            <w:r>
              <w:rPr>
                <w:rStyle w:val="Hyperlink"/>
              </w:rPr>
              <w:t>AI-Augmented Investigation</w:t>
            </w:r>
            <w:r>
              <w:tab/>
            </w:r>
            <w:r>
              <w:fldChar w:fldCharType="begin"/>
            </w:r>
            <w:r>
              <w:instrText xml:space="preserve"> PAGEREF _Toc100054 \h </w:instrText>
            </w:r>
            <w:r>
              <w:fldChar w:fldCharType="separate"/>
            </w:r>
            <w:r>
              <w:t>15</w:t>
            </w:r>
            <w:r>
              <w:fldChar w:fldCharType="end"/>
            </w:r>
          </w:hyperlink>
        </w:p>
        <w:p>
          <w:pPr>
            <w:pStyle w:val="12"/>
            <w:ind w:left="720"/>
            <w:tabs>
              <w:tab w:val="right" w:leader="dot" w:pos="9026"/>
            </w:tabs>
            <w:spacing w:before="120" w:after="60"/>
          </w:pPr>
          <w:hyperlink w:anchor="_Toc100055" w:history="1">
            <w:r>
              <w:rPr>
                <w:rStyle w:val="Hyperlink"/>
              </w:rPr>
              <w:t>Automated Response</w:t>
            </w:r>
            <w:r>
              <w:tab/>
            </w:r>
            <w:r>
              <w:fldChar w:fldCharType="begin"/>
            </w:r>
            <w:r>
              <w:instrText xml:space="preserve"> PAGEREF _Toc100055 \h </w:instrText>
            </w:r>
            <w:r>
              <w:fldChar w:fldCharType="separate"/>
            </w:r>
            <w:r>
              <w:t>15</w:t>
            </w:r>
            <w:r>
              <w:fldChar w:fldCharType="end"/>
            </w:r>
          </w:hyperlink>
        </w:p>
        <w:p>
          <w:pPr>
            <w:pStyle w:val="11"/>
            <w:ind w:left="360"/>
            <w:tabs>
              <w:tab w:val="right" w:leader="dot" w:pos="9026"/>
            </w:tabs>
            <w:spacing w:before="120" w:after="60"/>
          </w:pPr>
          <w:hyperlink w:anchor="_Toc100056" w:history="1">
            <w:r>
              <w:rPr>
                <w:rStyle w:val="Hyperlink"/>
              </w:rPr>
              <w:t>Roadmap to Autonomous SOC</w:t>
            </w:r>
            <w:r>
              <w:tab/>
            </w:r>
            <w:r>
              <w:fldChar w:fldCharType="begin"/>
            </w:r>
            <w:r>
              <w:instrText xml:space="preserve"> PAGEREF _Toc100056 \h </w:instrText>
            </w:r>
            <w:r>
              <w:fldChar w:fldCharType="separate"/>
            </w:r>
            <w:r>
              <w:t>16</w:t>
            </w:r>
            <w:r>
              <w:fldChar w:fldCharType="end"/>
            </w:r>
          </w:hyperlink>
        </w:p>
        <w:p>
          <w:pPr>
            <w:pStyle w:val="12"/>
            <w:ind w:left="720"/>
            <w:tabs>
              <w:tab w:val="right" w:leader="dot" w:pos="9026"/>
            </w:tabs>
            <w:spacing w:before="120" w:after="60"/>
          </w:pPr>
          <w:hyperlink w:anchor="_Toc100057" w:history="1">
            <w:r>
              <w:rPr>
                <w:rStyle w:val="Hyperlink"/>
              </w:rPr>
              <w:t>Phase 1: AI-Assisted (Year 1-2)</w:t>
            </w:r>
            <w:r>
              <w:tab/>
            </w:r>
            <w:r>
              <w:fldChar w:fldCharType="begin"/>
            </w:r>
            <w:r>
              <w:instrText xml:space="preserve"> PAGEREF _Toc100057 \h </w:instrText>
            </w:r>
            <w:r>
              <w:fldChar w:fldCharType="separate"/>
            </w:r>
            <w:r>
              <w:t>16</w:t>
            </w:r>
            <w:r>
              <w:fldChar w:fldCharType="end"/>
            </w:r>
          </w:hyperlink>
        </w:p>
        <w:p>
          <w:pPr>
            <w:pStyle w:val="12"/>
            <w:ind w:left="720"/>
            <w:tabs>
              <w:tab w:val="right" w:leader="dot" w:pos="9026"/>
            </w:tabs>
            <w:spacing w:before="120" w:after="60"/>
          </w:pPr>
          <w:hyperlink w:anchor="_Toc100058" w:history="1">
            <w:r>
              <w:rPr>
                <w:rStyle w:val="Hyperlink"/>
              </w:rPr>
              <w:t>Phase 2: Semi-Autonomous (Year 2-3)</w:t>
            </w:r>
            <w:r>
              <w:tab/>
            </w:r>
            <w:r>
              <w:fldChar w:fldCharType="begin"/>
            </w:r>
            <w:r>
              <w:instrText xml:space="preserve"> PAGEREF _Toc100058 \h </w:instrText>
            </w:r>
            <w:r>
              <w:fldChar w:fldCharType="separate"/>
            </w:r>
            <w:r>
              <w:t>16</w:t>
            </w:r>
            <w:r>
              <w:fldChar w:fldCharType="end"/>
            </w:r>
          </w:hyperlink>
        </w:p>
        <w:p>
          <w:pPr>
            <w:pStyle w:val="12"/>
            <w:ind w:left="720"/>
            <w:tabs>
              <w:tab w:val="right" w:leader="dot" w:pos="9026"/>
            </w:tabs>
            <w:spacing w:before="120" w:after="60"/>
          </w:pPr>
          <w:hyperlink w:anchor="_Toc100059" w:history="1">
            <w:r>
              <w:rPr>
                <w:rStyle w:val="Hyperlink"/>
              </w:rPr>
              <w:t>Phase 3: Autonomous Operations (Year 3-5)</w:t>
            </w:r>
            <w:r>
              <w:tab/>
            </w:r>
            <w:r>
              <w:fldChar w:fldCharType="begin"/>
            </w:r>
            <w:r>
              <w:instrText xml:space="preserve"> PAGEREF _Toc100059 \h </w:instrText>
            </w:r>
            <w:r>
              <w:fldChar w:fldCharType="separate"/>
            </w:r>
            <w:r>
              <w:t>16</w:t>
            </w:r>
            <w:r>
              <w:fldChar w:fldCharType="end"/>
            </w:r>
          </w:hyperlink>
        </w:p>
        <w:p>
          <w:pPr>
            <w:pStyle w:val="11"/>
            <w:ind w:left="360"/>
            <w:tabs>
              <w:tab w:val="right" w:leader="dot" w:pos="9026"/>
            </w:tabs>
            <w:spacing w:before="120" w:after="60"/>
          </w:pPr>
          <w:hyperlink w:anchor="_Toc100060" w:history="1">
            <w:r>
              <w:rPr>
                <w:rStyle w:val="Hyperlink"/>
              </w:rPr>
              <w:t>Implementation Considerations</w:t>
            </w:r>
            <w:r>
              <w:tab/>
            </w:r>
            <w:r>
              <w:fldChar w:fldCharType="begin"/>
            </w:r>
            <w:r>
              <w:instrText xml:space="preserve"> PAGEREF _Toc100060 \h </w:instrText>
            </w:r>
            <w:r>
              <w:fldChar w:fldCharType="separate"/>
            </w:r>
            <w:r>
              <w:t>17</w:t>
            </w:r>
            <w:r>
              <w:fldChar w:fldCharType="end"/>
            </w:r>
          </w:hyperlink>
        </w:p>
        <w:p>
          <w:pPr>
            <w:pStyle w:val="12"/>
            <w:ind w:left="720"/>
            <w:tabs>
              <w:tab w:val="right" w:leader="dot" w:pos="9026"/>
            </w:tabs>
            <w:spacing w:before="120" w:after="60"/>
          </w:pPr>
          <w:hyperlink w:anchor="_Toc100061" w:history="1">
            <w:r>
              <w:rPr>
                <w:rStyle w:val="Hyperlink"/>
              </w:rPr>
              <w:t>Data Requirements</w:t>
            </w:r>
            <w:r>
              <w:tab/>
            </w:r>
            <w:r>
              <w:fldChar w:fldCharType="begin"/>
            </w:r>
            <w:r>
              <w:instrText xml:space="preserve"> PAGEREF _Toc100061 \h </w:instrText>
            </w:r>
            <w:r>
              <w:fldChar w:fldCharType="separate"/>
            </w:r>
            <w:r>
              <w:t>17</w:t>
            </w:r>
            <w:r>
              <w:fldChar w:fldCharType="end"/>
            </w:r>
          </w:hyperlink>
        </w:p>
        <w:p>
          <w:pPr>
            <w:pStyle w:val="12"/>
            <w:ind w:left="720"/>
            <w:tabs>
              <w:tab w:val="right" w:leader="dot" w:pos="9026"/>
            </w:tabs>
            <w:spacing w:before="120" w:after="60"/>
          </w:pPr>
          <w:hyperlink w:anchor="_Toc100062" w:history="1">
            <w:r>
              <w:rPr>
                <w:rStyle w:val="Hyperlink"/>
              </w:rPr>
              <w:t>Model Governance</w:t>
            </w:r>
            <w:r>
              <w:tab/>
            </w:r>
            <w:r>
              <w:fldChar w:fldCharType="begin"/>
            </w:r>
            <w:r>
              <w:instrText xml:space="preserve"> PAGEREF _Toc100062 \h </w:instrText>
            </w:r>
            <w:r>
              <w:fldChar w:fldCharType="separate"/>
            </w:r>
            <w:r>
              <w:t>17</w:t>
            </w:r>
            <w:r>
              <w:fldChar w:fldCharType="end"/>
            </w:r>
          </w:hyperlink>
        </w:p>
        <w:p>
          <w:pPr>
            <w:pStyle w:val="12"/>
            <w:ind w:left="720"/>
            <w:tabs>
              <w:tab w:val="right" w:leader="dot" w:pos="9026"/>
            </w:tabs>
            <w:spacing w:before="120" w:after="60"/>
          </w:pPr>
          <w:hyperlink w:anchor="_Toc100063" w:history="1">
            <w:r>
              <w:rPr>
                <w:rStyle w:val="Hyperlink"/>
              </w:rPr>
              <w:t>Adversarial AI Defense</w:t>
            </w:r>
            <w:r>
              <w:tab/>
            </w:r>
            <w:r>
              <w:fldChar w:fldCharType="begin"/>
            </w:r>
            <w:r>
              <w:instrText xml:space="preserve"> PAGEREF _Toc100063 \h </w:instrText>
            </w:r>
            <w:r>
              <w:fldChar w:fldCharType="separate"/>
            </w:r>
            <w:r>
              <w:t>17</w:t>
            </w:r>
            <w:r>
              <w:fldChar w:fldCharType="end"/>
            </w:r>
          </w:hyperlink>
        </w:p>
        <w:p>
          <w:pPr>
            <w:pStyle w:val="9"/>
            <w:tabs>
              <w:tab w:val="right" w:leader="dot" w:pos="9026"/>
            </w:tabs>
            <w:spacing w:before="120" w:after="60"/>
          </w:pPr>
          <w:hyperlink w:anchor="_Toc100064" w:history="1">
            <w:r>
              <w:rPr>
                <w:rStyle w:val="Hyperlink"/>
              </w:rPr>
              <w:t>Implementation Roadmap (2026-2030)</w:t>
            </w:r>
            <w:r>
              <w:tab/>
            </w:r>
            <w:r>
              <w:fldChar w:fldCharType="begin"/>
            </w:r>
            <w:r>
              <w:instrText xml:space="preserve"> PAGEREF _Toc100064 \h </w:instrText>
            </w:r>
            <w:r>
              <w:fldChar w:fldCharType="separate"/>
            </w:r>
            <w:r>
              <w:t>17</w:t>
            </w:r>
            <w:r>
              <w:fldChar w:fldCharType="end"/>
            </w:r>
          </w:hyperlink>
        </w:p>
        <w:p>
          <w:pPr>
            <w:pStyle w:val="11"/>
            <w:ind w:left="360"/>
            <w:tabs>
              <w:tab w:val="right" w:leader="dot" w:pos="9026"/>
            </w:tabs>
            <w:spacing w:before="120" w:after="60"/>
          </w:pPr>
          <w:hyperlink w:anchor="_Toc100065" w:history="1">
            <w:r>
              <w:rPr>
                <w:rStyle w:val="Hyperlink"/>
              </w:rPr>
              <w:t>Phased Implementation Approach</w:t>
            </w:r>
            <w:r>
              <w:tab/>
            </w:r>
            <w:r>
              <w:fldChar w:fldCharType="begin"/>
            </w:r>
            <w:r>
              <w:instrText xml:space="preserve"> PAGEREF _Toc100065 \h </w:instrText>
            </w:r>
            <w:r>
              <w:fldChar w:fldCharType="separate"/>
            </w:r>
            <w:r>
              <w:t>18</w:t>
            </w:r>
            <w:r>
              <w:fldChar w:fldCharType="end"/>
            </w:r>
          </w:hyperlink>
        </w:p>
        <w:p>
          <w:pPr>
            <w:pStyle w:val="11"/>
            <w:ind w:left="360"/>
            <w:tabs>
              <w:tab w:val="right" w:leader="dot" w:pos="9026"/>
            </w:tabs>
            <w:spacing w:before="120" w:after="60"/>
          </w:pPr>
          <w:hyperlink w:anchor="_Toc100066" w:history="1">
            <w:r>
              <w:rPr>
                <w:rStyle w:val="Hyperlink"/>
              </w:rPr>
              <w:t>Phase 1: Foundation (Months 1-18)</w:t>
            </w:r>
            <w:r>
              <w:tab/>
            </w:r>
            <w:r>
              <w:fldChar w:fldCharType="begin"/>
            </w:r>
            <w:r>
              <w:instrText xml:space="preserve"> PAGEREF _Toc100066 \h </w:instrText>
            </w:r>
            <w:r>
              <w:fldChar w:fldCharType="separate"/>
            </w:r>
            <w:r>
              <w:t>18</w:t>
            </w:r>
            <w:r>
              <w:fldChar w:fldCharType="end"/>
            </w:r>
          </w:hyperlink>
        </w:p>
        <w:p>
          <w:pPr>
            <w:pStyle w:val="12"/>
            <w:ind w:left="720"/>
            <w:tabs>
              <w:tab w:val="right" w:leader="dot" w:pos="9026"/>
            </w:tabs>
            <w:spacing w:before="120" w:after="60"/>
          </w:pPr>
          <w:hyperlink w:anchor="_Toc100067" w:history="1">
            <w:r>
              <w:rPr>
                <w:rStyle w:val="Hyperlink"/>
              </w:rPr>
              <w:t>Objectives</w:t>
            </w:r>
            <w:r>
              <w:tab/>
            </w:r>
            <w:r>
              <w:fldChar w:fldCharType="begin"/>
            </w:r>
            <w:r>
              <w:instrText xml:space="preserve"> PAGEREF _Toc100067 \h </w:instrText>
            </w:r>
            <w:r>
              <w:fldChar w:fldCharType="separate"/>
            </w:r>
            <w:r>
              <w:t>18</w:t>
            </w:r>
            <w:r>
              <w:fldChar w:fldCharType="end"/>
            </w:r>
          </w:hyperlink>
        </w:p>
        <w:p>
          <w:pPr>
            <w:pStyle w:val="12"/>
            <w:ind w:left="720"/>
            <w:tabs>
              <w:tab w:val="right" w:leader="dot" w:pos="9026"/>
            </w:tabs>
            <w:spacing w:before="120" w:after="60"/>
          </w:pPr>
          <w:hyperlink w:anchor="_Toc100068" w:history="1">
            <w:r>
              <w:rPr>
                <w:rStyle w:val="Hyperlink"/>
              </w:rPr>
              <w:t>Key Deliverables</w:t>
            </w:r>
            <w:r>
              <w:tab/>
            </w:r>
            <w:r>
              <w:fldChar w:fldCharType="begin"/>
            </w:r>
            <w:r>
              <w:instrText xml:space="preserve"> PAGEREF _Toc100068 \h </w:instrText>
            </w:r>
            <w:r>
              <w:fldChar w:fldCharType="separate"/>
            </w:r>
            <w:r>
              <w:t>18</w:t>
            </w:r>
            <w:r>
              <w:fldChar w:fldCharType="end"/>
            </w:r>
          </w:hyperlink>
        </w:p>
        <w:p>
          <w:pPr>
            <w:pStyle w:val="12"/>
            <w:ind w:left="720"/>
            <w:tabs>
              <w:tab w:val="right" w:leader="dot" w:pos="9026"/>
            </w:tabs>
            <w:spacing w:before="120" w:after="60"/>
          </w:pPr>
          <w:hyperlink w:anchor="_Toc100069" w:history="1">
            <w:r>
              <w:rPr>
                <w:rStyle w:val="Hyperlink"/>
              </w:rPr>
              <w:t>Milestone: Minimum Viable SOC (Month 12)</w:t>
            </w:r>
            <w:r>
              <w:tab/>
            </w:r>
            <w:r>
              <w:fldChar w:fldCharType="begin"/>
            </w:r>
            <w:r>
              <w:instrText xml:space="preserve"> PAGEREF _Toc100069 \h </w:instrText>
            </w:r>
            <w:r>
              <w:fldChar w:fldCharType="separate"/>
            </w:r>
            <w:r>
              <w:t>19</w:t>
            </w:r>
            <w:r>
              <w:fldChar w:fldCharType="end"/>
            </w:r>
          </w:hyperlink>
        </w:p>
        <w:p>
          <w:pPr>
            <w:pStyle w:val="11"/>
            <w:ind w:left="360"/>
            <w:tabs>
              <w:tab w:val="right" w:leader="dot" w:pos="9026"/>
            </w:tabs>
            <w:spacing w:before="120" w:after="60"/>
          </w:pPr>
          <w:hyperlink w:anchor="_Toc100070" w:history="1">
            <w:r>
              <w:rPr>
                <w:rStyle w:val="Hyperlink"/>
              </w:rPr>
              <w:t>Phase 2: Expansion (Months 19-36)</w:t>
            </w:r>
            <w:r>
              <w:tab/>
            </w:r>
            <w:r>
              <w:fldChar w:fldCharType="begin"/>
            </w:r>
            <w:r>
              <w:instrText xml:space="preserve"> PAGEREF _Toc100070 \h </w:instrText>
            </w:r>
            <w:r>
              <w:fldChar w:fldCharType="separate"/>
            </w:r>
            <w:r>
              <w:t>19</w:t>
            </w:r>
            <w:r>
              <w:fldChar w:fldCharType="end"/>
            </w:r>
          </w:hyperlink>
        </w:p>
        <w:p>
          <w:pPr>
            <w:pStyle w:val="12"/>
            <w:ind w:left="720"/>
            <w:tabs>
              <w:tab w:val="right" w:leader="dot" w:pos="9026"/>
            </w:tabs>
            <w:spacing w:before="120" w:after="60"/>
          </w:pPr>
          <w:hyperlink w:anchor="_Toc100071" w:history="1">
            <w:r>
              <w:rPr>
                <w:rStyle w:val="Hyperlink"/>
              </w:rPr>
              <w:t>Objectives</w:t>
            </w:r>
            <w:r>
              <w:tab/>
            </w:r>
            <w:r>
              <w:fldChar w:fldCharType="begin"/>
            </w:r>
            <w:r>
              <w:instrText xml:space="preserve"> PAGEREF _Toc100071 \h </w:instrText>
            </w:r>
            <w:r>
              <w:fldChar w:fldCharType="separate"/>
            </w:r>
            <w:r>
              <w:t>19</w:t>
            </w:r>
            <w:r>
              <w:fldChar w:fldCharType="end"/>
            </w:r>
          </w:hyperlink>
        </w:p>
        <w:p>
          <w:pPr>
            <w:pStyle w:val="12"/>
            <w:ind w:left="720"/>
            <w:tabs>
              <w:tab w:val="right" w:leader="dot" w:pos="9026"/>
            </w:tabs>
            <w:spacing w:before="120" w:after="60"/>
          </w:pPr>
          <w:hyperlink w:anchor="_Toc100072" w:history="1">
            <w:r>
              <w:rPr>
                <w:rStyle w:val="Hyperlink"/>
              </w:rPr>
              <w:t>Key Deliverables</w:t>
            </w:r>
            <w:r>
              <w:tab/>
            </w:r>
            <w:r>
              <w:fldChar w:fldCharType="begin"/>
            </w:r>
            <w:r>
              <w:instrText xml:space="preserve"> PAGEREF _Toc100072 \h </w:instrText>
            </w:r>
            <w:r>
              <w:fldChar w:fldCharType="separate"/>
            </w:r>
            <w:r>
              <w:t>19</w:t>
            </w:r>
            <w:r>
              <w:fldChar w:fldCharType="end"/>
            </w:r>
          </w:hyperlink>
        </w:p>
        <w:p>
          <w:pPr>
            <w:pStyle w:val="12"/>
            <w:ind w:left="720"/>
            <w:tabs>
              <w:tab w:val="right" w:leader="dot" w:pos="9026"/>
            </w:tabs>
            <w:spacing w:before="120" w:after="60"/>
          </w:pPr>
          <w:hyperlink w:anchor="_Toc100073" w:history="1">
            <w:r>
              <w:rPr>
                <w:rStyle w:val="Hyperlink"/>
              </w:rPr>
              <w:t>Milestone: Production SOC (Month 30)</w:t>
            </w:r>
            <w:r>
              <w:tab/>
            </w:r>
            <w:r>
              <w:fldChar w:fldCharType="begin"/>
            </w:r>
            <w:r>
              <w:instrText xml:space="preserve"> PAGEREF _Toc100073 \h </w:instrText>
            </w:r>
            <w:r>
              <w:fldChar w:fldCharType="separate"/>
            </w:r>
            <w:r>
              <w:t>20</w:t>
            </w:r>
            <w:r>
              <w:fldChar w:fldCharType="end"/>
            </w:r>
          </w:hyperlink>
        </w:p>
        <w:p>
          <w:pPr>
            <w:pStyle w:val="11"/>
            <w:ind w:left="360"/>
            <w:tabs>
              <w:tab w:val="right" w:leader="dot" w:pos="9026"/>
            </w:tabs>
            <w:spacing w:before="120" w:after="60"/>
          </w:pPr>
          <w:hyperlink w:anchor="_Toc100074" w:history="1">
            <w:r>
              <w:rPr>
                <w:rStyle w:val="Hyperlink"/>
              </w:rPr>
              <w:t>Phase 3: Advanced Capabilities (Months 37-48)</w:t>
            </w:r>
            <w:r>
              <w:tab/>
            </w:r>
            <w:r>
              <w:fldChar w:fldCharType="begin"/>
            </w:r>
            <w:r>
              <w:instrText xml:space="preserve"> PAGEREF _Toc100074 \h </w:instrText>
            </w:r>
            <w:r>
              <w:fldChar w:fldCharType="separate"/>
            </w:r>
            <w:r>
              <w:t>20</w:t>
            </w:r>
            <w:r>
              <w:fldChar w:fldCharType="end"/>
            </w:r>
          </w:hyperlink>
        </w:p>
        <w:p>
          <w:pPr>
            <w:pStyle w:val="12"/>
            <w:ind w:left="720"/>
            <w:tabs>
              <w:tab w:val="right" w:leader="dot" w:pos="9026"/>
            </w:tabs>
            <w:spacing w:before="120" w:after="60"/>
          </w:pPr>
          <w:hyperlink w:anchor="_Toc100075" w:history="1">
            <w:r>
              <w:rPr>
                <w:rStyle w:val="Hyperlink"/>
              </w:rPr>
              <w:t>Objectives</w:t>
            </w:r>
            <w:r>
              <w:tab/>
            </w:r>
            <w:r>
              <w:fldChar w:fldCharType="begin"/>
            </w:r>
            <w:r>
              <w:instrText xml:space="preserve"> PAGEREF _Toc100075 \h </w:instrText>
            </w:r>
            <w:r>
              <w:fldChar w:fldCharType="separate"/>
            </w:r>
            <w:r>
              <w:t>20</w:t>
            </w:r>
            <w:r>
              <w:fldChar w:fldCharType="end"/>
            </w:r>
          </w:hyperlink>
        </w:p>
        <w:p>
          <w:pPr>
            <w:pStyle w:val="12"/>
            <w:ind w:left="720"/>
            <w:tabs>
              <w:tab w:val="right" w:leader="dot" w:pos="9026"/>
            </w:tabs>
            <w:spacing w:before="120" w:after="60"/>
          </w:pPr>
          <w:hyperlink w:anchor="_Toc100076" w:history="1">
            <w:r>
              <w:rPr>
                <w:rStyle w:val="Hyperlink"/>
              </w:rPr>
              <w:t>Key Deliverables</w:t>
            </w:r>
            <w:r>
              <w:tab/>
            </w:r>
            <w:r>
              <w:fldChar w:fldCharType="begin"/>
            </w:r>
            <w:r>
              <w:instrText xml:space="preserve"> PAGEREF _Toc100076 \h </w:instrText>
            </w:r>
            <w:r>
              <w:fldChar w:fldCharType="separate"/>
            </w:r>
            <w:r>
              <w:t>20</w:t>
            </w:r>
            <w:r>
              <w:fldChar w:fldCharType="end"/>
            </w:r>
          </w:hyperlink>
        </w:p>
        <w:p>
          <w:pPr>
            <w:pStyle w:val="11"/>
            <w:ind w:left="360"/>
            <w:tabs>
              <w:tab w:val="right" w:leader="dot" w:pos="9026"/>
            </w:tabs>
            <w:spacing w:before="120" w:after="60"/>
          </w:pPr>
          <w:hyperlink w:anchor="_Toc100077" w:history="1">
            <w:r>
              <w:rPr>
                <w:rStyle w:val="Hyperlink"/>
              </w:rPr>
              <w:t>Phase 4: Scale &amp; Optimization (Months 49-60)</w:t>
            </w:r>
            <w:r>
              <w:tab/>
            </w:r>
            <w:r>
              <w:fldChar w:fldCharType="begin"/>
            </w:r>
            <w:r>
              <w:instrText xml:space="preserve"> PAGEREF _Toc100077 \h </w:instrText>
            </w:r>
            <w:r>
              <w:fldChar w:fldCharType="separate"/>
            </w:r>
            <w:r>
              <w:t>21</w:t>
            </w:r>
            <w:r>
              <w:fldChar w:fldCharType="end"/>
            </w:r>
          </w:hyperlink>
        </w:p>
        <w:p>
          <w:pPr>
            <w:pStyle w:val="12"/>
            <w:ind w:left="720"/>
            <w:tabs>
              <w:tab w:val="right" w:leader="dot" w:pos="9026"/>
            </w:tabs>
            <w:spacing w:before="120" w:after="60"/>
          </w:pPr>
          <w:hyperlink w:anchor="_Toc100078" w:history="1">
            <w:r>
              <w:rPr>
                <w:rStyle w:val="Hyperlink"/>
              </w:rPr>
              <w:t>Objectives</w:t>
            </w:r>
            <w:r>
              <w:tab/>
            </w:r>
            <w:r>
              <w:fldChar w:fldCharType="begin"/>
            </w:r>
            <w:r>
              <w:instrText xml:space="preserve"> PAGEREF _Toc100078 \h </w:instrText>
            </w:r>
            <w:r>
              <w:fldChar w:fldCharType="separate"/>
            </w:r>
            <w:r>
              <w:t>21</w:t>
            </w:r>
            <w:r>
              <w:fldChar w:fldCharType="end"/>
            </w:r>
          </w:hyperlink>
        </w:p>
        <w:p>
          <w:pPr>
            <w:pStyle w:val="12"/>
            <w:ind w:left="720"/>
            <w:tabs>
              <w:tab w:val="right" w:leader="dot" w:pos="9026"/>
            </w:tabs>
            <w:spacing w:before="120" w:after="60"/>
          </w:pPr>
          <w:hyperlink w:anchor="_Toc100079" w:history="1">
            <w:r>
              <w:rPr>
                <w:rStyle w:val="Hyperlink"/>
              </w:rPr>
              <w:t>Key Deliverables</w:t>
            </w:r>
            <w:r>
              <w:tab/>
            </w:r>
            <w:r>
              <w:fldChar w:fldCharType="begin"/>
            </w:r>
            <w:r>
              <w:instrText xml:space="preserve"> PAGEREF _Toc100079 \h </w:instrText>
            </w:r>
            <w:r>
              <w:fldChar w:fldCharType="separate"/>
            </w:r>
            <w:r>
              <w:t>21</w:t>
            </w:r>
            <w:r>
              <w:fldChar w:fldCharType="end"/>
            </w:r>
          </w:hyperlink>
        </w:p>
        <w:p>
          <w:pPr>
            <w:pStyle w:val="11"/>
            <w:ind w:left="360"/>
            <w:tabs>
              <w:tab w:val="right" w:leader="dot" w:pos="9026"/>
            </w:tabs>
            <w:spacing w:before="120" w:after="60"/>
          </w:pPr>
          <w:hyperlink w:anchor="_Toc100080" w:history="1">
            <w:r>
              <w:rPr>
                <w:rStyle w:val="Hyperlink"/>
              </w:rPr>
              <w:t>Phase 5: Autonomous SOC Evolution (Years 5+)</w:t>
            </w:r>
            <w:r>
              <w:tab/>
            </w:r>
            <w:r>
              <w:fldChar w:fldCharType="begin"/>
            </w:r>
            <w:r>
              <w:instrText xml:space="preserve"> PAGEREF _Toc100080 \h </w:instrText>
            </w:r>
            <w:r>
              <w:fldChar w:fldCharType="separate"/>
            </w:r>
            <w:r>
              <w:t>22</w:t>
            </w:r>
            <w:r>
              <w:fldChar w:fldCharType="end"/>
            </w:r>
          </w:hyperlink>
        </w:p>
        <w:p>
          <w:pPr>
            <w:pStyle w:val="12"/>
            <w:ind w:left="720"/>
            <w:tabs>
              <w:tab w:val="right" w:leader="dot" w:pos="9026"/>
            </w:tabs>
            <w:spacing w:before="120" w:after="60"/>
          </w:pPr>
          <w:hyperlink w:anchor="_Toc100081" w:history="1">
            <w:r>
              <w:rPr>
                <w:rStyle w:val="Hyperlink"/>
              </w:rPr>
              <w:t>Objectives</w:t>
            </w:r>
            <w:r>
              <w:tab/>
            </w:r>
            <w:r>
              <w:fldChar w:fldCharType="begin"/>
            </w:r>
            <w:r>
              <w:instrText xml:space="preserve"> PAGEREF _Toc100081 \h </w:instrText>
            </w:r>
            <w:r>
              <w:fldChar w:fldCharType="separate"/>
            </w:r>
            <w:r>
              <w:t>22</w:t>
            </w:r>
            <w:r>
              <w:fldChar w:fldCharType="end"/>
            </w:r>
          </w:hyperlink>
        </w:p>
        <w:p>
          <w:pPr>
            <w:pStyle w:val="12"/>
            <w:ind w:left="720"/>
            <w:tabs>
              <w:tab w:val="right" w:leader="dot" w:pos="9026"/>
            </w:tabs>
            <w:spacing w:before="120" w:after="60"/>
          </w:pPr>
          <w:hyperlink w:anchor="_Toc100082" w:history="1">
            <w:r>
              <w:rPr>
                <w:rStyle w:val="Hyperlink"/>
              </w:rPr>
              <w:t>Vision State Characteristics</w:t>
            </w:r>
            <w:r>
              <w:tab/>
            </w:r>
            <w:r>
              <w:fldChar w:fldCharType="begin"/>
            </w:r>
            <w:r>
              <w:instrText xml:space="preserve"> PAGEREF _Toc100082 \h </w:instrText>
            </w:r>
            <w:r>
              <w:fldChar w:fldCharType="separate"/>
            </w:r>
            <w:r>
              <w:t>22</w:t>
            </w:r>
            <w:r>
              <w:fldChar w:fldCharType="end"/>
            </w:r>
          </w:hyperlink>
        </w:p>
        <w:p>
          <w:pPr>
            <w:pStyle w:val="9"/>
            <w:tabs>
              <w:tab w:val="right" w:leader="dot" w:pos="9026"/>
            </w:tabs>
            <w:spacing w:before="120" w:after="60"/>
          </w:pPr>
          <w:hyperlink w:anchor="_Toc100083" w:history="1">
            <w:r>
              <w:rPr>
                <w:rStyle w:val="Hyperlink"/>
              </w:rPr>
              <w:t>Organizational Model &amp; Team Structure</w:t>
            </w:r>
            <w:r>
              <w:tab/>
            </w:r>
            <w:r>
              <w:fldChar w:fldCharType="begin"/>
            </w:r>
            <w:r>
              <w:instrText xml:space="preserve"> PAGEREF _Toc100083 \h </w:instrText>
            </w:r>
            <w:r>
              <w:fldChar w:fldCharType="separate"/>
            </w:r>
            <w:r>
              <w:t>22</w:t>
            </w:r>
            <w:r>
              <w:fldChar w:fldCharType="end"/>
            </w:r>
          </w:hyperlink>
        </w:p>
        <w:p>
          <w:pPr>
            <w:pStyle w:val="11"/>
            <w:ind w:left="360"/>
            <w:tabs>
              <w:tab w:val="right" w:leader="dot" w:pos="9026"/>
            </w:tabs>
            <w:spacing w:before="120" w:after="60"/>
          </w:pPr>
          <w:hyperlink w:anchor="_Toc100084" w:history="1">
            <w:r>
              <w:rPr>
                <w:rStyle w:val="Hyperlink"/>
              </w:rPr>
              <w:t>Organizational Design Principles</w:t>
            </w:r>
            <w:r>
              <w:tab/>
            </w:r>
            <w:r>
              <w:fldChar w:fldCharType="begin"/>
            </w:r>
            <w:r>
              <w:instrText xml:space="preserve"> PAGEREF _Toc100084 \h </w:instrText>
            </w:r>
            <w:r>
              <w:fldChar w:fldCharType="separate"/>
            </w:r>
            <w:r>
              <w:t>23</w:t>
            </w:r>
            <w:r>
              <w:fldChar w:fldCharType="end"/>
            </w:r>
          </w:hyperlink>
        </w:p>
        <w:p>
          <w:pPr>
            <w:pStyle w:val="11"/>
            <w:ind w:left="360"/>
            <w:tabs>
              <w:tab w:val="right" w:leader="dot" w:pos="9026"/>
            </w:tabs>
            <w:spacing w:before="120" w:after="60"/>
          </w:pPr>
          <w:hyperlink w:anchor="_Toc100085" w:history="1">
            <w:r>
              <w:rPr>
                <w:rStyle w:val="Hyperlink"/>
              </w:rPr>
              <w:t>SOC Leadership Structure</w:t>
            </w:r>
            <w:r>
              <w:tab/>
            </w:r>
            <w:r>
              <w:fldChar w:fldCharType="begin"/>
            </w:r>
            <w:r>
              <w:instrText xml:space="preserve"> PAGEREF _Toc100085 \h </w:instrText>
            </w:r>
            <w:r>
              <w:fldChar w:fldCharType="separate"/>
            </w:r>
            <w:r>
              <w:t>23</w:t>
            </w:r>
            <w:r>
              <w:fldChar w:fldCharType="end"/>
            </w:r>
          </w:hyperlink>
        </w:p>
        <w:p>
          <w:pPr>
            <w:pStyle w:val="12"/>
            <w:ind w:left="720"/>
            <w:tabs>
              <w:tab w:val="right" w:leader="dot" w:pos="9026"/>
            </w:tabs>
            <w:spacing w:before="120" w:after="60"/>
          </w:pPr>
          <w:hyperlink w:anchor="_Toc100086" w:history="1">
            <w:r>
              <w:rPr>
                <w:rStyle w:val="Hyperlink"/>
              </w:rPr>
              <w:t>SOC Director</w:t>
            </w:r>
            <w:r>
              <w:tab/>
            </w:r>
            <w:r>
              <w:fldChar w:fldCharType="begin"/>
            </w:r>
            <w:r>
              <w:instrText xml:space="preserve"> PAGEREF _Toc100086 \h </w:instrText>
            </w:r>
            <w:r>
              <w:fldChar w:fldCharType="separate"/>
            </w:r>
            <w:r>
              <w:t>23</w:t>
            </w:r>
            <w:r>
              <w:fldChar w:fldCharType="end"/>
            </w:r>
          </w:hyperlink>
        </w:p>
        <w:p>
          <w:pPr>
            <w:pStyle w:val="12"/>
            <w:ind w:left="720"/>
            <w:tabs>
              <w:tab w:val="right" w:leader="dot" w:pos="9026"/>
            </w:tabs>
            <w:spacing w:before="120" w:after="60"/>
          </w:pPr>
          <w:hyperlink w:anchor="_Toc100087" w:history="1">
            <w:r>
              <w:rPr>
                <w:rStyle w:val="Hyperlink"/>
              </w:rPr>
              <w:t>SOC Manager</w:t>
            </w:r>
            <w:r>
              <w:tab/>
            </w:r>
            <w:r>
              <w:fldChar w:fldCharType="begin"/>
            </w:r>
            <w:r>
              <w:instrText xml:space="preserve"> PAGEREF _Toc100087 \h </w:instrText>
            </w:r>
            <w:r>
              <w:fldChar w:fldCharType="separate"/>
            </w:r>
            <w:r>
              <w:t>23</w:t>
            </w:r>
            <w:r>
              <w:fldChar w:fldCharType="end"/>
            </w:r>
          </w:hyperlink>
        </w:p>
        <w:p>
          <w:pPr>
            <w:pStyle w:val="11"/>
            <w:ind w:left="360"/>
            <w:tabs>
              <w:tab w:val="right" w:leader="dot" w:pos="9026"/>
            </w:tabs>
            <w:spacing w:before="120" w:after="60"/>
          </w:pPr>
          <w:hyperlink w:anchor="_Toc100088" w:history="1">
            <w:r>
              <w:rPr>
                <w:rStyle w:val="Hyperlink"/>
              </w:rPr>
              <w:t>Analyst Tier Structure</w:t>
            </w:r>
            <w:r>
              <w:tab/>
            </w:r>
            <w:r>
              <w:fldChar w:fldCharType="begin"/>
            </w:r>
            <w:r>
              <w:instrText xml:space="preserve"> PAGEREF _Toc100088 \h </w:instrText>
            </w:r>
            <w:r>
              <w:fldChar w:fldCharType="separate"/>
            </w:r>
            <w:r>
              <w:t>23</w:t>
            </w:r>
            <w:r>
              <w:fldChar w:fldCharType="end"/>
            </w:r>
          </w:hyperlink>
        </w:p>
        <w:p>
          <w:pPr>
            <w:pStyle w:val="12"/>
            <w:ind w:left="720"/>
            <w:tabs>
              <w:tab w:val="right" w:leader="dot" w:pos="9026"/>
            </w:tabs>
            <w:spacing w:before="120" w:after="60"/>
          </w:pPr>
          <w:hyperlink w:anchor="_Toc100089" w:history="1">
            <w:r>
              <w:rPr>
                <w:rStyle w:val="Hyperlink"/>
              </w:rPr>
              <w:t>Tier 1: Security Analyst (Triage)</w:t>
            </w:r>
            <w:r>
              <w:tab/>
            </w:r>
            <w:r>
              <w:fldChar w:fldCharType="begin"/>
            </w:r>
            <w:r>
              <w:instrText xml:space="preserve"> PAGEREF _Toc100089 \h </w:instrText>
            </w:r>
            <w:r>
              <w:fldChar w:fldCharType="separate"/>
            </w:r>
            <w:r>
              <w:t>24</w:t>
            </w:r>
            <w:r>
              <w:fldChar w:fldCharType="end"/>
            </w:r>
          </w:hyperlink>
        </w:p>
        <w:p>
          <w:pPr>
            <w:pStyle w:val="12"/>
            <w:ind w:left="720"/>
            <w:tabs>
              <w:tab w:val="right" w:leader="dot" w:pos="9026"/>
            </w:tabs>
            <w:spacing w:before="120" w:after="60"/>
          </w:pPr>
          <w:hyperlink w:anchor="_Toc100090" w:history="1">
            <w:r>
              <w:rPr>
                <w:rStyle w:val="Hyperlink"/>
              </w:rPr>
              <w:t>Tier 2: Security Analyst (Investigation)</w:t>
            </w:r>
            <w:r>
              <w:tab/>
            </w:r>
            <w:r>
              <w:fldChar w:fldCharType="begin"/>
            </w:r>
            <w:r>
              <w:instrText xml:space="preserve"> PAGEREF _Toc100090 \h </w:instrText>
            </w:r>
            <w:r>
              <w:fldChar w:fldCharType="separate"/>
            </w:r>
            <w:r>
              <w:t>24</w:t>
            </w:r>
            <w:r>
              <w:fldChar w:fldCharType="end"/>
            </w:r>
          </w:hyperlink>
        </w:p>
        <w:p>
          <w:pPr>
            <w:pStyle w:val="12"/>
            <w:ind w:left="720"/>
            <w:tabs>
              <w:tab w:val="right" w:leader="dot" w:pos="9026"/>
            </w:tabs>
            <w:spacing w:before="120" w:after="60"/>
          </w:pPr>
          <w:hyperlink w:anchor="_Toc100091" w:history="1">
            <w:r>
              <w:rPr>
                <w:rStyle w:val="Hyperlink"/>
              </w:rPr>
              <w:t>Tier 3: Senior Security Analyst / Incident Commander</w:t>
            </w:r>
            <w:r>
              <w:tab/>
            </w:r>
            <w:r>
              <w:fldChar w:fldCharType="begin"/>
            </w:r>
            <w:r>
              <w:instrText xml:space="preserve"> PAGEREF _Toc100091 \h </w:instrText>
            </w:r>
            <w:r>
              <w:fldChar w:fldCharType="separate"/>
            </w:r>
            <w:r>
              <w:t>24</w:t>
            </w:r>
            <w:r>
              <w:fldChar w:fldCharType="end"/>
            </w:r>
          </w:hyperlink>
        </w:p>
        <w:p>
          <w:pPr>
            <w:pStyle w:val="11"/>
            <w:ind w:left="360"/>
            <w:tabs>
              <w:tab w:val="right" w:leader="dot" w:pos="9026"/>
            </w:tabs>
            <w:spacing w:before="120" w:after="60"/>
          </w:pPr>
          <w:hyperlink w:anchor="_Toc100092" w:history="1">
            <w:r>
              <w:rPr>
                <w:rStyle w:val="Hyperlink"/>
              </w:rPr>
              <w:t>Specialized Functions</w:t>
            </w:r>
            <w:r>
              <w:tab/>
            </w:r>
            <w:r>
              <w:fldChar w:fldCharType="begin"/>
            </w:r>
            <w:r>
              <w:instrText xml:space="preserve"> PAGEREF _Toc100092 \h </w:instrText>
            </w:r>
            <w:r>
              <w:fldChar w:fldCharType="separate"/>
            </w:r>
            <w:r>
              <w:t>24</w:t>
            </w:r>
            <w:r>
              <w:fldChar w:fldCharType="end"/>
            </w:r>
          </w:hyperlink>
        </w:p>
        <w:p>
          <w:pPr>
            <w:pStyle w:val="12"/>
            <w:ind w:left="720"/>
            <w:tabs>
              <w:tab w:val="right" w:leader="dot" w:pos="9026"/>
            </w:tabs>
            <w:spacing w:before="120" w:after="60"/>
          </w:pPr>
          <w:hyperlink w:anchor="_Toc100093" w:history="1">
            <w:r>
              <w:rPr>
                <w:rStyle w:val="Hyperlink"/>
              </w:rPr>
              <w:t>Threat Hunting Team</w:t>
            </w:r>
            <w:r>
              <w:tab/>
            </w:r>
            <w:r>
              <w:fldChar w:fldCharType="begin"/>
            </w:r>
            <w:r>
              <w:instrText xml:space="preserve"> PAGEREF _Toc100093 \h </w:instrText>
            </w:r>
            <w:r>
              <w:fldChar w:fldCharType="separate"/>
            </w:r>
            <w:r>
              <w:t>24</w:t>
            </w:r>
            <w:r>
              <w:fldChar w:fldCharType="end"/>
            </w:r>
          </w:hyperlink>
        </w:p>
        <w:p>
          <w:pPr>
            <w:pStyle w:val="12"/>
            <w:ind w:left="720"/>
            <w:tabs>
              <w:tab w:val="right" w:leader="dot" w:pos="9026"/>
            </w:tabs>
            <w:spacing w:before="120" w:after="60"/>
          </w:pPr>
          <w:hyperlink w:anchor="_Toc100094" w:history="1">
            <w:r>
              <w:rPr>
                <w:rStyle w:val="Hyperlink"/>
              </w:rPr>
              <w:t>Digital Forensics &amp; Incident Response (DFIR)</w:t>
            </w:r>
            <w:r>
              <w:tab/>
            </w:r>
            <w:r>
              <w:fldChar w:fldCharType="begin"/>
            </w:r>
            <w:r>
              <w:instrText xml:space="preserve"> PAGEREF _Toc100094 \h </w:instrText>
            </w:r>
            <w:r>
              <w:fldChar w:fldCharType="separate"/>
            </w:r>
            <w:r>
              <w:t>25</w:t>
            </w:r>
            <w:r>
              <w:fldChar w:fldCharType="end"/>
            </w:r>
          </w:hyperlink>
        </w:p>
        <w:p>
          <w:pPr>
            <w:pStyle w:val="12"/>
            <w:ind w:left="720"/>
            <w:tabs>
              <w:tab w:val="right" w:leader="dot" w:pos="9026"/>
            </w:tabs>
            <w:spacing w:before="120" w:after="60"/>
          </w:pPr>
          <w:hyperlink w:anchor="_Toc100095" w:history="1">
            <w:r>
              <w:rPr>
                <w:rStyle w:val="Hyperlink"/>
              </w:rPr>
              <w:t>Malware Analysis</w:t>
            </w:r>
            <w:r>
              <w:tab/>
            </w:r>
            <w:r>
              <w:fldChar w:fldCharType="begin"/>
            </w:r>
            <w:r>
              <w:instrText xml:space="preserve"> PAGEREF _Toc100095 \h </w:instrText>
            </w:r>
            <w:r>
              <w:fldChar w:fldCharType="separate"/>
            </w:r>
            <w:r>
              <w:t>25</w:t>
            </w:r>
            <w:r>
              <w:fldChar w:fldCharType="end"/>
            </w:r>
          </w:hyperlink>
        </w:p>
        <w:p>
          <w:pPr>
            <w:pStyle w:val="12"/>
            <w:ind w:left="720"/>
            <w:tabs>
              <w:tab w:val="right" w:leader="dot" w:pos="9026"/>
            </w:tabs>
            <w:spacing w:before="120" w:after="60"/>
          </w:pPr>
          <w:hyperlink w:anchor="_Toc100096" w:history="1">
            <w:r>
              <w:rPr>
                <w:rStyle w:val="Hyperlink"/>
              </w:rPr>
              <w:t>Threat Intelligence</w:t>
            </w:r>
            <w:r>
              <w:tab/>
            </w:r>
            <w:r>
              <w:fldChar w:fldCharType="begin"/>
            </w:r>
            <w:r>
              <w:instrText xml:space="preserve"> PAGEREF _Toc100096 \h </w:instrText>
            </w:r>
            <w:r>
              <w:fldChar w:fldCharType="separate"/>
            </w:r>
            <w:r>
              <w:t>25</w:t>
            </w:r>
            <w:r>
              <w:fldChar w:fldCharType="end"/>
            </w:r>
          </w:hyperlink>
        </w:p>
        <w:p>
          <w:pPr>
            <w:pStyle w:val="12"/>
            <w:ind w:left="720"/>
            <w:tabs>
              <w:tab w:val="right" w:leader="dot" w:pos="9026"/>
            </w:tabs>
            <w:spacing w:before="120" w:after="60"/>
          </w:pPr>
          <w:hyperlink w:anchor="_Toc100097" w:history="1">
            <w:r>
              <w:rPr>
                <w:rStyle w:val="Hyperlink"/>
              </w:rPr>
              <w:t>DevSecOps / Engineering</w:t>
            </w:r>
            <w:r>
              <w:tab/>
            </w:r>
            <w:r>
              <w:fldChar w:fldCharType="begin"/>
            </w:r>
            <w:r>
              <w:instrText xml:space="preserve"> PAGEREF _Toc100097 \h </w:instrText>
            </w:r>
            <w:r>
              <w:fldChar w:fldCharType="separate"/>
            </w:r>
            <w:r>
              <w:t>25</w:t>
            </w:r>
            <w:r>
              <w:fldChar w:fldCharType="end"/>
            </w:r>
          </w:hyperlink>
        </w:p>
        <w:p>
          <w:pPr>
            <w:pStyle w:val="11"/>
            <w:ind w:left="360"/>
            <w:tabs>
              <w:tab w:val="right" w:leader="dot" w:pos="9026"/>
            </w:tabs>
            <w:spacing w:before="120" w:after="60"/>
          </w:pPr>
          <w:hyperlink w:anchor="_Toc100098" w:history="1">
            <w:r>
              <w:rPr>
                <w:rStyle w:val="Hyperlink"/>
              </w:rPr>
              <w:t>Staffing Plan Summary</w:t>
            </w:r>
            <w:r>
              <w:tab/>
            </w:r>
            <w:r>
              <w:fldChar w:fldCharType="begin"/>
            </w:r>
            <w:r>
              <w:instrText xml:space="preserve"> PAGEREF _Toc100098 \h </w:instrText>
            </w:r>
            <w:r>
              <w:fldChar w:fldCharType="separate"/>
            </w:r>
            <w:r>
              <w:t>26</w:t>
            </w:r>
            <w:r>
              <w:fldChar w:fldCharType="end"/>
            </w:r>
          </w:hyperlink>
        </w:p>
        <w:p>
          <w:pPr>
            <w:pStyle w:val="11"/>
            <w:ind w:left="360"/>
            <w:tabs>
              <w:tab w:val="right" w:leader="dot" w:pos="9026"/>
            </w:tabs>
            <w:spacing w:before="120" w:after="60"/>
          </w:pPr>
          <w:hyperlink w:anchor="_Toc100099" w:history="1">
            <w:r>
              <w:rPr>
                <w:rStyle w:val="Hyperlink"/>
              </w:rPr>
              <w:t>Training &amp; Development</w:t>
            </w:r>
            <w:r>
              <w:tab/>
            </w:r>
            <w:r>
              <w:fldChar w:fldCharType="begin"/>
            </w:r>
            <w:r>
              <w:instrText xml:space="preserve"> PAGEREF _Toc100099 \h </w:instrText>
            </w:r>
            <w:r>
              <w:fldChar w:fldCharType="separate"/>
            </w:r>
            <w:r>
              <w:t>26</w:t>
            </w:r>
            <w:r>
              <w:fldChar w:fldCharType="end"/>
            </w:r>
          </w:hyperlink>
        </w:p>
        <w:p>
          <w:pPr>
            <w:pStyle w:val="9"/>
            <w:tabs>
              <w:tab w:val="right" w:leader="dot" w:pos="9026"/>
            </w:tabs>
            <w:spacing w:before="120" w:after="60"/>
          </w:pPr>
          <w:hyperlink w:anchor="_Toc100100" w:history="1">
            <w:r>
              <w:rPr>
                <w:rStyle w:val="Hyperlink"/>
              </w:rPr>
              <w:t>Physical Infrastructure Requirements</w:t>
            </w:r>
            <w:r>
              <w:tab/>
            </w:r>
            <w:r>
              <w:fldChar w:fldCharType="begin"/>
            </w:r>
            <w:r>
              <w:instrText xml:space="preserve"> PAGEREF _Toc100100 \h </w:instrText>
            </w:r>
            <w:r>
              <w:fldChar w:fldCharType="separate"/>
            </w:r>
            <w:r>
              <w:t>26</w:t>
            </w:r>
            <w:r>
              <w:fldChar w:fldCharType="end"/>
            </w:r>
          </w:hyperlink>
        </w:p>
        <w:p>
          <w:pPr>
            <w:pStyle w:val="11"/>
            <w:ind w:left="360"/>
            <w:tabs>
              <w:tab w:val="right" w:leader="dot" w:pos="9026"/>
            </w:tabs>
            <w:spacing w:before="120" w:after="60"/>
          </w:pPr>
          <w:hyperlink w:anchor="_Toc100101" w:history="1">
            <w:r>
              <w:rPr>
                <w:rStyle w:val="Hyperlink"/>
              </w:rPr>
              <w:t>Site Strategy</w:t>
            </w:r>
            <w:r>
              <w:tab/>
            </w:r>
            <w:r>
              <w:fldChar w:fldCharType="begin"/>
            </w:r>
            <w:r>
              <w:instrText xml:space="preserve"> PAGEREF _Toc100101 \h </w:instrText>
            </w:r>
            <w:r>
              <w:fldChar w:fldCharType="separate"/>
            </w:r>
            <w:r>
              <w:t>26</w:t>
            </w:r>
            <w:r>
              <w:fldChar w:fldCharType="end"/>
            </w:r>
          </w:hyperlink>
        </w:p>
        <w:p>
          <w:pPr>
            <w:pStyle w:val="12"/>
            <w:ind w:left="720"/>
            <w:tabs>
              <w:tab w:val="right" w:leader="dot" w:pos="9026"/>
            </w:tabs>
            <w:spacing w:before="120" w:after="60"/>
          </w:pPr>
          <w:hyperlink w:anchor="_Toc100102" w:history="1">
            <w:r>
              <w:rPr>
                <w:rStyle w:val="Hyperlink"/>
              </w:rPr>
              <w:t>Primary SOC Facility (Algiers)</w:t>
            </w:r>
            <w:r>
              <w:tab/>
            </w:r>
            <w:r>
              <w:fldChar w:fldCharType="begin"/>
            </w:r>
            <w:r>
              <w:instrText xml:space="preserve"> PAGEREF _Toc100102 \h </w:instrText>
            </w:r>
            <w:r>
              <w:fldChar w:fldCharType="separate"/>
            </w:r>
            <w:r>
              <w:t>27</w:t>
            </w:r>
            <w:r>
              <w:fldChar w:fldCharType="end"/>
            </w:r>
          </w:hyperlink>
        </w:p>
        <w:p>
          <w:pPr>
            <w:pStyle w:val="12"/>
            <w:ind w:left="720"/>
            <w:tabs>
              <w:tab w:val="right" w:leader="dot" w:pos="9026"/>
            </w:tabs>
            <w:spacing w:before="120" w:after="60"/>
          </w:pPr>
          <w:hyperlink w:anchor="_Toc100103" w:history="1">
            <w:r>
              <w:rPr>
                <w:rStyle w:val="Hyperlink"/>
              </w:rPr>
              <w:t>Secondary SOC Facility (Laghouat)</w:t>
            </w:r>
            <w:r>
              <w:tab/>
            </w:r>
            <w:r>
              <w:fldChar w:fldCharType="begin"/>
            </w:r>
            <w:r>
              <w:instrText xml:space="preserve"> PAGEREF _Toc100103 \h </w:instrText>
            </w:r>
            <w:r>
              <w:fldChar w:fldCharType="separate"/>
            </w:r>
            <w:r>
              <w:t>27</w:t>
            </w:r>
            <w:r>
              <w:fldChar w:fldCharType="end"/>
            </w:r>
          </w:hyperlink>
        </w:p>
        <w:p>
          <w:pPr>
            <w:pStyle w:val="12"/>
            <w:ind w:left="720"/>
            <w:tabs>
              <w:tab w:val="right" w:leader="dot" w:pos="9026"/>
            </w:tabs>
            <w:spacing w:before="120" w:after="60"/>
          </w:pPr>
          <w:hyperlink w:anchor="_Toc100104" w:history="1">
            <w:r>
              <w:rPr>
                <w:rStyle w:val="Hyperlink"/>
              </w:rPr>
              <w:t>Disaster Recovery Site</w:t>
            </w:r>
            <w:r>
              <w:tab/>
            </w:r>
            <w:r>
              <w:fldChar w:fldCharType="begin"/>
            </w:r>
            <w:r>
              <w:instrText xml:space="preserve"> PAGEREF _Toc100104 \h </w:instrText>
            </w:r>
            <w:r>
              <w:fldChar w:fldCharType="separate"/>
            </w:r>
            <w:r>
              <w:t>27</w:t>
            </w:r>
            <w:r>
              <w:fldChar w:fldCharType="end"/>
            </w:r>
          </w:hyperlink>
        </w:p>
        <w:p>
          <w:pPr>
            <w:pStyle w:val="11"/>
            <w:ind w:left="360"/>
            <w:tabs>
              <w:tab w:val="right" w:leader="dot" w:pos="9026"/>
            </w:tabs>
            <w:spacing w:before="120" w:after="60"/>
          </w:pPr>
          <w:hyperlink w:anchor="_Toc100105" w:history="1">
            <w:r>
              <w:rPr>
                <w:rStyle w:val="Hyperlink"/>
              </w:rPr>
              <w:t>Data Center Requirements</w:t>
            </w:r>
            <w:r>
              <w:tab/>
            </w:r>
            <w:r>
              <w:fldChar w:fldCharType="begin"/>
            </w:r>
            <w:r>
              <w:instrText xml:space="preserve"> PAGEREF _Toc100105 \h </w:instrText>
            </w:r>
            <w:r>
              <w:fldChar w:fldCharType="separate"/>
            </w:r>
            <w:r>
              <w:t>27</w:t>
            </w:r>
            <w:r>
              <w:fldChar w:fldCharType="end"/>
            </w:r>
          </w:hyperlink>
        </w:p>
        <w:p>
          <w:pPr>
            <w:pStyle w:val="12"/>
            <w:ind w:left="720"/>
            <w:tabs>
              <w:tab w:val="right" w:leader="dot" w:pos="9026"/>
            </w:tabs>
            <w:spacing w:before="120" w:after="60"/>
          </w:pPr>
          <w:hyperlink w:anchor="_Toc100106" w:history="1">
            <w:r>
              <w:rPr>
                <w:rStyle w:val="Hyperlink"/>
              </w:rPr>
              <w:t>Compute Infrastructure</w:t>
            </w:r>
            <w:r>
              <w:tab/>
            </w:r>
            <w:r>
              <w:fldChar w:fldCharType="begin"/>
            </w:r>
            <w:r>
              <w:instrText xml:space="preserve"> PAGEREF _Toc100106 \h </w:instrText>
            </w:r>
            <w:r>
              <w:fldChar w:fldCharType="separate"/>
            </w:r>
            <w:r>
              <w:t>27</w:t>
            </w:r>
            <w:r>
              <w:fldChar w:fldCharType="end"/>
            </w:r>
          </w:hyperlink>
        </w:p>
        <w:p>
          <w:pPr>
            <w:pStyle w:val="12"/>
            <w:ind w:left="720"/>
            <w:tabs>
              <w:tab w:val="right" w:leader="dot" w:pos="9026"/>
            </w:tabs>
            <w:spacing w:before="120" w:after="60"/>
          </w:pPr>
          <w:hyperlink w:anchor="_Toc100107" w:history="1">
            <w:r>
              <w:rPr>
                <w:rStyle w:val="Hyperlink"/>
              </w:rPr>
              <w:t>Storage Infrastructure</w:t>
            </w:r>
            <w:r>
              <w:tab/>
            </w:r>
            <w:r>
              <w:fldChar w:fldCharType="begin"/>
            </w:r>
            <w:r>
              <w:instrText xml:space="preserve"> PAGEREF _Toc100107 \h </w:instrText>
            </w:r>
            <w:r>
              <w:fldChar w:fldCharType="separate"/>
            </w:r>
            <w:r>
              <w:t>28</w:t>
            </w:r>
            <w:r>
              <w:fldChar w:fldCharType="end"/>
            </w:r>
          </w:hyperlink>
        </w:p>
        <w:p>
          <w:pPr>
            <w:pStyle w:val="12"/>
            <w:ind w:left="720"/>
            <w:tabs>
              <w:tab w:val="right" w:leader="dot" w:pos="9026"/>
            </w:tabs>
            <w:spacing w:before="120" w:after="60"/>
          </w:pPr>
          <w:hyperlink w:anchor="_Toc100108" w:history="1">
            <w:r>
              <w:rPr>
                <w:rStyle w:val="Hyperlink"/>
              </w:rPr>
              <w:t>Network Infrastructure</w:t>
            </w:r>
            <w:r>
              <w:tab/>
            </w:r>
            <w:r>
              <w:fldChar w:fldCharType="begin"/>
            </w:r>
            <w:r>
              <w:instrText xml:space="preserve"> PAGEREF _Toc100108 \h </w:instrText>
            </w:r>
            <w:r>
              <w:fldChar w:fldCharType="separate"/>
            </w:r>
            <w:r>
              <w:t>28</w:t>
            </w:r>
            <w:r>
              <w:fldChar w:fldCharType="end"/>
            </w:r>
          </w:hyperlink>
        </w:p>
        <w:p>
          <w:pPr>
            <w:pStyle w:val="11"/>
            <w:ind w:left="360"/>
            <w:tabs>
              <w:tab w:val="right" w:leader="dot" w:pos="9026"/>
            </w:tabs>
            <w:spacing w:before="120" w:after="60"/>
          </w:pPr>
          <w:hyperlink w:anchor="_Toc100109" w:history="1">
            <w:r>
              <w:rPr>
                <w:rStyle w:val="Hyperlink"/>
              </w:rPr>
              <w:t>SOC Operations Center Design</w:t>
            </w:r>
            <w:r>
              <w:tab/>
            </w:r>
            <w:r>
              <w:fldChar w:fldCharType="begin"/>
            </w:r>
            <w:r>
              <w:instrText xml:space="preserve"> PAGEREF _Toc100109 \h </w:instrText>
            </w:r>
            <w:r>
              <w:fldChar w:fldCharType="separate"/>
            </w:r>
            <w:r>
              <w:t>28</w:t>
            </w:r>
            <w:r>
              <w:fldChar w:fldCharType="end"/>
            </w:r>
          </w:hyperlink>
        </w:p>
        <w:p>
          <w:pPr>
            <w:pStyle w:val="12"/>
            <w:ind w:left="720"/>
            <w:tabs>
              <w:tab w:val="right" w:leader="dot" w:pos="9026"/>
            </w:tabs>
            <w:spacing w:before="120" w:after="60"/>
          </w:pPr>
          <w:hyperlink w:anchor="_Toc100110" w:history="1">
            <w:r>
              <w:rPr>
                <w:rStyle w:val="Hyperlink"/>
              </w:rPr>
              <w:t>Operations Floor</w:t>
            </w:r>
            <w:r>
              <w:tab/>
            </w:r>
            <w:r>
              <w:fldChar w:fldCharType="begin"/>
            </w:r>
            <w:r>
              <w:instrText xml:space="preserve"> PAGEREF _Toc100110 \h </w:instrText>
            </w:r>
            <w:r>
              <w:fldChar w:fldCharType="separate"/>
            </w:r>
            <w:r>
              <w:t>28</w:t>
            </w:r>
            <w:r>
              <w:fldChar w:fldCharType="end"/>
            </w:r>
          </w:hyperlink>
        </w:p>
        <w:p>
          <w:pPr>
            <w:pStyle w:val="12"/>
            <w:ind w:left="720"/>
            <w:tabs>
              <w:tab w:val="right" w:leader="dot" w:pos="9026"/>
            </w:tabs>
            <w:spacing w:before="120" w:after="60"/>
          </w:pPr>
          <w:hyperlink w:anchor="_Toc100111" w:history="1">
            <w:r>
              <w:rPr>
                <w:rStyle w:val="Hyperlink"/>
              </w:rPr>
              <w:t>Video Wall Configuration</w:t>
            </w:r>
            <w:r>
              <w:tab/>
            </w:r>
            <w:r>
              <w:fldChar w:fldCharType="begin"/>
            </w:r>
            <w:r>
              <w:instrText xml:space="preserve"> PAGEREF _Toc100111 \h </w:instrText>
            </w:r>
            <w:r>
              <w:fldChar w:fldCharType="separate"/>
            </w:r>
            <w:r>
              <w:t>29</w:t>
            </w:r>
            <w:r>
              <w:fldChar w:fldCharType="end"/>
            </w:r>
          </w:hyperlink>
        </w:p>
        <w:p>
          <w:pPr>
            <w:pStyle w:val="12"/>
            <w:ind w:left="720"/>
            <w:tabs>
              <w:tab w:val="right" w:leader="dot" w:pos="9026"/>
            </w:tabs>
            <w:spacing w:before="120" w:after="60"/>
          </w:pPr>
          <w:hyperlink w:anchor="_Toc100112" w:history="1">
            <w:r>
              <w:rPr>
                <w:rStyle w:val="Hyperlink"/>
              </w:rPr>
              <w:t>Collaboration Spaces</w:t>
            </w:r>
            <w:r>
              <w:tab/>
            </w:r>
            <w:r>
              <w:fldChar w:fldCharType="begin"/>
            </w:r>
            <w:r>
              <w:instrText xml:space="preserve"> PAGEREF _Toc100112 \h </w:instrText>
            </w:r>
            <w:r>
              <w:fldChar w:fldCharType="separate"/>
            </w:r>
            <w:r>
              <w:t>29</w:t>
            </w:r>
            <w:r>
              <w:fldChar w:fldCharType="end"/>
            </w:r>
          </w:hyperlink>
        </w:p>
        <w:p>
          <w:pPr>
            <w:pStyle w:val="9"/>
            <w:tabs>
              <w:tab w:val="right" w:leader="dot" w:pos="9026"/>
            </w:tabs>
            <w:spacing w:before="120" w:after="60"/>
          </w:pPr>
          <w:hyperlink w:anchor="_Toc100113" w:history="1">
            <w:r>
              <w:rPr>
                <w:rStyle w:val="Hyperlink"/>
              </w:rPr>
              <w:t>Multi-Tenant &amp; Service Delivery Model</w:t>
            </w:r>
            <w:r>
              <w:tab/>
            </w:r>
            <w:r>
              <w:fldChar w:fldCharType="begin"/>
            </w:r>
            <w:r>
              <w:instrText xml:space="preserve"> PAGEREF _Toc100113 \h </w:instrText>
            </w:r>
            <w:r>
              <w:fldChar w:fldCharType="separate"/>
            </w:r>
            <w:r>
              <w:t>29</w:t>
            </w:r>
            <w:r>
              <w:fldChar w:fldCharType="end"/>
            </w:r>
          </w:hyperlink>
        </w:p>
        <w:p>
          <w:pPr>
            <w:pStyle w:val="11"/>
            <w:ind w:left="360"/>
            <w:tabs>
              <w:tab w:val="right" w:leader="dot" w:pos="9026"/>
            </w:tabs>
            <w:spacing w:before="120" w:after="60"/>
          </w:pPr>
          <w:hyperlink w:anchor="_Toc100114" w:history="1">
            <w:r>
              <w:rPr>
                <w:rStyle w:val="Hyperlink"/>
              </w:rPr>
              <w:t>Service Delivery Vision</w:t>
            </w:r>
            <w:r>
              <w:tab/>
            </w:r>
            <w:r>
              <w:fldChar w:fldCharType="begin"/>
            </w:r>
            <w:r>
              <w:instrText xml:space="preserve"> PAGEREF _Toc100114 \h </w:instrText>
            </w:r>
            <w:r>
              <w:fldChar w:fldCharType="separate"/>
            </w:r>
            <w:r>
              <w:t>29</w:t>
            </w:r>
            <w:r>
              <w:fldChar w:fldCharType="end"/>
            </w:r>
          </w:hyperlink>
        </w:p>
        <w:p>
          <w:pPr>
            <w:pStyle w:val="11"/>
            <w:ind w:left="360"/>
            <w:tabs>
              <w:tab w:val="right" w:leader="dot" w:pos="9026"/>
            </w:tabs>
            <w:spacing w:before="120" w:after="60"/>
          </w:pPr>
          <w:hyperlink w:anchor="_Toc100115" w:history="1">
            <w:r>
              <w:rPr>
                <w:rStyle w:val="Hyperlink"/>
              </w:rPr>
              <w:t>Customer Segmentation</w:t>
            </w:r>
            <w:r>
              <w:tab/>
            </w:r>
            <w:r>
              <w:fldChar w:fldCharType="begin"/>
            </w:r>
            <w:r>
              <w:instrText xml:space="preserve"> PAGEREF _Toc100115 \h </w:instrText>
            </w:r>
            <w:r>
              <w:fldChar w:fldCharType="separate"/>
            </w:r>
            <w:r>
              <w:t>29</w:t>
            </w:r>
            <w:r>
              <w:fldChar w:fldCharType="end"/>
            </w:r>
          </w:hyperlink>
        </w:p>
        <w:p>
          <w:pPr>
            <w:pStyle w:val="12"/>
            <w:ind w:left="720"/>
            <w:tabs>
              <w:tab w:val="right" w:leader="dot" w:pos="9026"/>
            </w:tabs>
            <w:spacing w:before="120" w:after="60"/>
          </w:pPr>
          <w:hyperlink w:anchor="_Toc100116" w:history="1">
            <w:r>
              <w:rPr>
                <w:rStyle w:val="Hyperlink"/>
              </w:rPr>
              <w:t>Tier 1: Critical Infrastructure</w:t>
            </w:r>
            <w:r>
              <w:tab/>
            </w:r>
            <w:r>
              <w:fldChar w:fldCharType="begin"/>
            </w:r>
            <w:r>
              <w:instrText xml:space="preserve"> PAGEREF _Toc100116 \h </w:instrText>
            </w:r>
            <w:r>
              <w:fldChar w:fldCharType="separate"/>
            </w:r>
            <w:r>
              <w:t>30</w:t>
            </w:r>
            <w:r>
              <w:fldChar w:fldCharType="end"/>
            </w:r>
          </w:hyperlink>
        </w:p>
        <w:p>
          <w:pPr>
            <w:pStyle w:val="12"/>
            <w:ind w:left="720"/>
            <w:tabs>
              <w:tab w:val="right" w:leader="dot" w:pos="9026"/>
            </w:tabs>
            <w:spacing w:before="120" w:after="60"/>
          </w:pPr>
          <w:hyperlink w:anchor="_Toc100117" w:history="1">
            <w:r>
              <w:rPr>
                <w:rStyle w:val="Hyperlink"/>
              </w:rPr>
              <w:t>Tier 2: Essential Services</w:t>
            </w:r>
            <w:r>
              <w:tab/>
            </w:r>
            <w:r>
              <w:fldChar w:fldCharType="begin"/>
            </w:r>
            <w:r>
              <w:instrText xml:space="preserve"> PAGEREF _Toc100117 \h </w:instrText>
            </w:r>
            <w:r>
              <w:fldChar w:fldCharType="separate"/>
            </w:r>
            <w:r>
              <w:t>30</w:t>
            </w:r>
            <w:r>
              <w:fldChar w:fldCharType="end"/>
            </w:r>
          </w:hyperlink>
        </w:p>
        <w:p>
          <w:pPr>
            <w:pStyle w:val="12"/>
            <w:ind w:left="720"/>
            <w:tabs>
              <w:tab w:val="right" w:leader="dot" w:pos="9026"/>
            </w:tabs>
            <w:spacing w:before="120" w:after="60"/>
          </w:pPr>
          <w:hyperlink w:anchor="_Toc100118" w:history="1">
            <w:r>
              <w:rPr>
                <w:rStyle w:val="Hyperlink"/>
              </w:rPr>
              <w:t>Tier 3: General Coverage</w:t>
            </w:r>
            <w:r>
              <w:tab/>
            </w:r>
            <w:r>
              <w:fldChar w:fldCharType="begin"/>
            </w:r>
            <w:r>
              <w:instrText xml:space="preserve"> PAGEREF _Toc100118 \h </w:instrText>
            </w:r>
            <w:r>
              <w:fldChar w:fldCharType="separate"/>
            </w:r>
            <w:r>
              <w:t>30</w:t>
            </w:r>
            <w:r>
              <w:fldChar w:fldCharType="end"/>
            </w:r>
          </w:hyperlink>
        </w:p>
        <w:p>
          <w:pPr>
            <w:pStyle w:val="12"/>
            <w:ind w:left="720"/>
            <w:tabs>
              <w:tab w:val="right" w:leader="dot" w:pos="9026"/>
            </w:tabs>
            <w:spacing w:before="120" w:after="60"/>
          </w:pPr>
          <w:hyperlink w:anchor="_Toc100119" w:history="1">
            <w:r>
              <w:rPr>
                <w:rStyle w:val="Hyperlink"/>
              </w:rPr>
              <w:t>Tier 4: Community / Information Sharing</w:t>
            </w:r>
            <w:r>
              <w:tab/>
            </w:r>
            <w:r>
              <w:fldChar w:fldCharType="begin"/>
            </w:r>
            <w:r>
              <w:instrText xml:space="preserve"> PAGEREF _Toc100119 \h </w:instrText>
            </w:r>
            <w:r>
              <w:fldChar w:fldCharType="separate"/>
            </w:r>
            <w:r>
              <w:t>30</w:t>
            </w:r>
            <w:r>
              <w:fldChar w:fldCharType="end"/>
            </w:r>
          </w:hyperlink>
        </w:p>
        <w:p>
          <w:pPr>
            <w:pStyle w:val="11"/>
            <w:ind w:left="360"/>
            <w:tabs>
              <w:tab w:val="right" w:leader="dot" w:pos="9026"/>
            </w:tabs>
            <w:spacing w:before="120" w:after="60"/>
          </w:pPr>
          <w:hyperlink w:anchor="_Toc100120" w:history="1">
            <w:r>
              <w:rPr>
                <w:rStyle w:val="Hyperlink"/>
              </w:rPr>
              <w:t>Service Level Agreements</w:t>
            </w:r>
            <w:r>
              <w:tab/>
            </w:r>
            <w:r>
              <w:fldChar w:fldCharType="begin"/>
            </w:r>
            <w:r>
              <w:instrText xml:space="preserve"> PAGEREF _Toc100120 \h </w:instrText>
            </w:r>
            <w:r>
              <w:fldChar w:fldCharType="separate"/>
            </w:r>
            <w:r>
              <w:t>31</w:t>
            </w:r>
            <w:r>
              <w:fldChar w:fldCharType="end"/>
            </w:r>
          </w:hyperlink>
        </w:p>
        <w:p>
          <w:pPr>
            <w:pStyle w:val="11"/>
            <w:ind w:left="360"/>
            <w:tabs>
              <w:tab w:val="right" w:leader="dot" w:pos="9026"/>
            </w:tabs>
            <w:spacing w:before="120" w:after="60"/>
          </w:pPr>
          <w:hyperlink w:anchor="_Toc100121" w:history="1">
            <w:r>
              <w:rPr>
                <w:rStyle w:val="Hyperlink"/>
              </w:rPr>
              <w:t>Onboarding Process</w:t>
            </w:r>
            <w:r>
              <w:tab/>
            </w:r>
            <w:r>
              <w:fldChar w:fldCharType="begin"/>
            </w:r>
            <w:r>
              <w:instrText xml:space="preserve"> PAGEREF _Toc100121 \h </w:instrText>
            </w:r>
            <w:r>
              <w:fldChar w:fldCharType="separate"/>
            </w:r>
            <w:r>
              <w:t>31</w:t>
            </w:r>
            <w:r>
              <w:fldChar w:fldCharType="end"/>
            </w:r>
          </w:hyperlink>
        </w:p>
        <w:p>
          <w:pPr>
            <w:pStyle w:val="9"/>
            <w:tabs>
              <w:tab w:val="right" w:leader="dot" w:pos="9026"/>
            </w:tabs>
            <w:spacing w:before="120" w:after="60"/>
          </w:pPr>
          <w:hyperlink w:anchor="_Toc100122" w:history="1">
            <w:r>
              <w:rPr>
                <w:rStyle w:val="Hyperlink"/>
              </w:rPr>
              <w:t>Compliance &amp; Governance Framework</w:t>
            </w:r>
            <w:r>
              <w:tab/>
            </w:r>
            <w:r>
              <w:fldChar w:fldCharType="begin"/>
            </w:r>
            <w:r>
              <w:instrText xml:space="preserve"> PAGEREF _Toc100122 \h </w:instrText>
            </w:r>
            <w:r>
              <w:fldChar w:fldCharType="separate"/>
            </w:r>
            <w:r>
              <w:t>31</w:t>
            </w:r>
            <w:r>
              <w:fldChar w:fldCharType="end"/>
            </w:r>
          </w:hyperlink>
        </w:p>
        <w:p>
          <w:pPr>
            <w:pStyle w:val="11"/>
            <w:ind w:left="360"/>
            <w:tabs>
              <w:tab w:val="right" w:leader="dot" w:pos="9026"/>
            </w:tabs>
            <w:spacing w:before="120" w:after="60"/>
          </w:pPr>
          <w:hyperlink w:anchor="_Toc100123" w:history="1">
            <w:r>
              <w:rPr>
                <w:rStyle w:val="Hyperlink"/>
              </w:rPr>
              <w:t>Regulatory Landscape</w:t>
            </w:r>
            <w:r>
              <w:tab/>
            </w:r>
            <w:r>
              <w:fldChar w:fldCharType="begin"/>
            </w:r>
            <w:r>
              <w:instrText xml:space="preserve"> PAGEREF _Toc100123 \h </w:instrText>
            </w:r>
            <w:r>
              <w:fldChar w:fldCharType="separate"/>
            </w:r>
            <w:r>
              <w:t>31</w:t>
            </w:r>
            <w:r>
              <w:fldChar w:fldCharType="end"/>
            </w:r>
          </w:hyperlink>
        </w:p>
        <w:p>
          <w:pPr>
            <w:pStyle w:val="12"/>
            <w:ind w:left="720"/>
            <w:tabs>
              <w:tab w:val="right" w:leader="dot" w:pos="9026"/>
            </w:tabs>
            <w:spacing w:before="120" w:after="60"/>
          </w:pPr>
          <w:hyperlink w:anchor="_Toc100124" w:history="1">
            <w:r>
              <w:rPr>
                <w:rStyle w:val="Hyperlink"/>
              </w:rPr>
              <w:t>International Standards Alignment</w:t>
            </w:r>
            <w:r>
              <w:tab/>
            </w:r>
            <w:r>
              <w:fldChar w:fldCharType="begin"/>
            </w:r>
            <w:r>
              <w:instrText xml:space="preserve"> PAGEREF _Toc100124 \h </w:instrText>
            </w:r>
            <w:r>
              <w:fldChar w:fldCharType="separate"/>
            </w:r>
            <w:r>
              <w:t>32</w:t>
            </w:r>
            <w:r>
              <w:fldChar w:fldCharType="end"/>
            </w:r>
          </w:hyperlink>
        </w:p>
        <w:p>
          <w:pPr>
            <w:pStyle w:val="12"/>
            <w:ind w:left="720"/>
            <w:tabs>
              <w:tab w:val="right" w:leader="dot" w:pos="9026"/>
            </w:tabs>
            <w:spacing w:before="120" w:after="60"/>
          </w:pPr>
          <w:hyperlink w:anchor="_Toc100125" w:history="1">
            <w:r>
              <w:rPr>
                <w:rStyle w:val="Hyperlink"/>
              </w:rPr>
              <w:t>Data Protection Compliance</w:t>
            </w:r>
            <w:r>
              <w:tab/>
            </w:r>
            <w:r>
              <w:fldChar w:fldCharType="begin"/>
            </w:r>
            <w:r>
              <w:instrText xml:space="preserve"> PAGEREF _Toc100125 \h </w:instrText>
            </w:r>
            <w:r>
              <w:fldChar w:fldCharType="separate"/>
            </w:r>
            <w:r>
              <w:t>32</w:t>
            </w:r>
            <w:r>
              <w:fldChar w:fldCharType="end"/>
            </w:r>
          </w:hyperlink>
        </w:p>
        <w:p>
          <w:pPr>
            <w:pStyle w:val="11"/>
            <w:ind w:left="360"/>
            <w:tabs>
              <w:tab w:val="right" w:leader="dot" w:pos="9026"/>
            </w:tabs>
            <w:spacing w:before="120" w:after="60"/>
          </w:pPr>
          <w:hyperlink w:anchor="_Toc100126" w:history="1">
            <w:r>
              <w:rPr>
                <w:rStyle w:val="Hyperlink"/>
              </w:rPr>
              <w:t>Governance Structure</w:t>
            </w:r>
            <w:r>
              <w:tab/>
            </w:r>
            <w:r>
              <w:fldChar w:fldCharType="begin"/>
            </w:r>
            <w:r>
              <w:instrText xml:space="preserve"> PAGEREF _Toc100126 \h </w:instrText>
            </w:r>
            <w:r>
              <w:fldChar w:fldCharType="separate"/>
            </w:r>
            <w:r>
              <w:t>32</w:t>
            </w:r>
            <w:r>
              <w:fldChar w:fldCharType="end"/>
            </w:r>
          </w:hyperlink>
        </w:p>
        <w:p>
          <w:pPr>
            <w:pStyle w:val="12"/>
            <w:ind w:left="720"/>
            <w:tabs>
              <w:tab w:val="right" w:leader="dot" w:pos="9026"/>
            </w:tabs>
            <w:spacing w:before="120" w:after="60"/>
          </w:pPr>
          <w:hyperlink w:anchor="_Toc100127" w:history="1">
            <w:r>
              <w:rPr>
                <w:rStyle w:val="Hyperlink"/>
              </w:rPr>
              <w:t>SOC Governance Committee</w:t>
            </w:r>
            <w:r>
              <w:tab/>
            </w:r>
            <w:r>
              <w:fldChar w:fldCharType="begin"/>
            </w:r>
            <w:r>
              <w:instrText xml:space="preserve"> PAGEREF _Toc100127 \h </w:instrText>
            </w:r>
            <w:r>
              <w:fldChar w:fldCharType="separate"/>
            </w:r>
            <w:r>
              <w:t>32</w:t>
            </w:r>
            <w:r>
              <w:fldChar w:fldCharType="end"/>
            </w:r>
          </w:hyperlink>
        </w:p>
        <w:p>
          <w:pPr>
            <w:pStyle w:val="12"/>
            <w:ind w:left="720"/>
            <w:tabs>
              <w:tab w:val="right" w:leader="dot" w:pos="9026"/>
            </w:tabs>
            <w:spacing w:before="120" w:after="60"/>
          </w:pPr>
          <w:hyperlink w:anchor="_Toc100128" w:history="1">
            <w:r>
              <w:rPr>
                <w:rStyle w:val="Hyperlink"/>
              </w:rPr>
              <w:t>Operational Governance</w:t>
            </w:r>
            <w:r>
              <w:tab/>
            </w:r>
            <w:r>
              <w:fldChar w:fldCharType="begin"/>
            </w:r>
            <w:r>
              <w:instrText xml:space="preserve"> PAGEREF _Toc100128 \h </w:instrText>
            </w:r>
            <w:r>
              <w:fldChar w:fldCharType="separate"/>
            </w:r>
            <w:r>
              <w:t>33</w:t>
            </w:r>
            <w:r>
              <w:fldChar w:fldCharType="end"/>
            </w:r>
          </w:hyperlink>
        </w:p>
        <w:p>
          <w:pPr>
            <w:pStyle w:val="11"/>
            <w:ind w:left="360"/>
            <w:tabs>
              <w:tab w:val="right" w:leader="dot" w:pos="9026"/>
            </w:tabs>
            <w:spacing w:before="120" w:after="60"/>
          </w:pPr>
          <w:hyperlink w:anchor="_Toc100129" w:history="1">
            <w:r>
              <w:rPr>
                <w:rStyle w:val="Hyperlink"/>
              </w:rPr>
              <w:t>Audit Framework</w:t>
            </w:r>
            <w:r>
              <w:tab/>
            </w:r>
            <w:r>
              <w:fldChar w:fldCharType="begin"/>
            </w:r>
            <w:r>
              <w:instrText xml:space="preserve"> PAGEREF _Toc100129 \h </w:instrText>
            </w:r>
            <w:r>
              <w:fldChar w:fldCharType="separate"/>
            </w:r>
            <w:r>
              <w:t>33</w:t>
            </w:r>
            <w:r>
              <w:fldChar w:fldCharType="end"/>
            </w:r>
          </w:hyperlink>
        </w:p>
        <w:p>
          <w:pPr>
            <w:pStyle w:val="9"/>
            <w:tabs>
              <w:tab w:val="right" w:leader="dot" w:pos="9026"/>
            </w:tabs>
            <w:spacing w:before="120" w:after="60"/>
          </w:pPr>
          <w:hyperlink w:anchor="_Toc100130" w:history="1">
            <w:r>
              <w:rPr>
                <w:rStyle w:val="Hyperlink"/>
              </w:rPr>
              <w:t>Budget Framework &amp; Financial Analysis</w:t>
            </w:r>
            <w:r>
              <w:tab/>
            </w:r>
            <w:r>
              <w:fldChar w:fldCharType="begin"/>
            </w:r>
            <w:r>
              <w:instrText xml:space="preserve"> PAGEREF _Toc100130 \h </w:instrText>
            </w:r>
            <w:r>
              <w:fldChar w:fldCharType="separate"/>
            </w:r>
            <w:r>
              <w:t>33</w:t>
            </w:r>
            <w:r>
              <w:fldChar w:fldCharType="end"/>
            </w:r>
          </w:hyperlink>
        </w:p>
        <w:p>
          <w:pPr>
            <w:pStyle w:val="11"/>
            <w:ind w:left="360"/>
            <w:tabs>
              <w:tab w:val="right" w:leader="dot" w:pos="9026"/>
            </w:tabs>
            <w:spacing w:before="120" w:after="60"/>
          </w:pPr>
          <w:hyperlink w:anchor="_Toc100131" w:history="1">
            <w:r>
              <w:rPr>
                <w:rStyle w:val="Hyperlink"/>
              </w:rPr>
              <w:t>Five-Year Total Cost of Ownership</w:t>
            </w:r>
            <w:r>
              <w:tab/>
            </w:r>
            <w:r>
              <w:fldChar w:fldCharType="begin"/>
            </w:r>
            <w:r>
              <w:instrText xml:space="preserve"> PAGEREF _Toc100131 \h </w:instrText>
            </w:r>
            <w:r>
              <w:fldChar w:fldCharType="separate"/>
            </w:r>
            <w:r>
              <w:t>33</w:t>
            </w:r>
            <w:r>
              <w:fldChar w:fldCharType="end"/>
            </w:r>
          </w:hyperlink>
        </w:p>
        <w:p>
          <w:pPr>
            <w:pStyle w:val="11"/>
            <w:ind w:left="360"/>
            <w:tabs>
              <w:tab w:val="right" w:leader="dot" w:pos="9026"/>
            </w:tabs>
            <w:spacing w:before="120" w:after="60"/>
          </w:pPr>
          <w:hyperlink w:anchor="_Toc100132" w:history="1">
            <w:r>
              <w:rPr>
                <w:rStyle w:val="Hyperlink"/>
              </w:rPr>
              <w:t>Capital Expenditure (CAPEX)</w:t>
            </w:r>
            <w:r>
              <w:tab/>
            </w:r>
            <w:r>
              <w:fldChar w:fldCharType="begin"/>
            </w:r>
            <w:r>
              <w:instrText xml:space="preserve"> PAGEREF _Toc100132 \h </w:instrText>
            </w:r>
            <w:r>
              <w:fldChar w:fldCharType="separate"/>
            </w:r>
            <w:r>
              <w:t>33</w:t>
            </w:r>
            <w:r>
              <w:fldChar w:fldCharType="end"/>
            </w:r>
          </w:hyperlink>
        </w:p>
        <w:p>
          <w:pPr>
            <w:pStyle w:val="11"/>
            <w:ind w:left="360"/>
            <w:tabs>
              <w:tab w:val="right" w:leader="dot" w:pos="9026"/>
            </w:tabs>
            <w:spacing w:before="120" w:after="60"/>
          </w:pPr>
          <w:hyperlink w:anchor="_Toc100133" w:history="1">
            <w:r>
              <w:rPr>
                <w:rStyle w:val="Hyperlink"/>
              </w:rPr>
              <w:t>Operating Expenditure (OPEX)</w:t>
            </w:r>
            <w:r>
              <w:tab/>
            </w:r>
            <w:r>
              <w:fldChar w:fldCharType="begin"/>
            </w:r>
            <w:r>
              <w:instrText xml:space="preserve"> PAGEREF _Toc100133 \h </w:instrText>
            </w:r>
            <w:r>
              <w:fldChar w:fldCharType="separate"/>
            </w:r>
            <w:r>
              <w:t>34</w:t>
            </w:r>
            <w:r>
              <w:fldChar w:fldCharType="end"/>
            </w:r>
          </w:hyperlink>
        </w:p>
        <w:p>
          <w:pPr>
            <w:pStyle w:val="11"/>
            <w:ind w:left="360"/>
            <w:tabs>
              <w:tab w:val="right" w:leader="dot" w:pos="9026"/>
            </w:tabs>
            <w:spacing w:before="120" w:after="60"/>
          </w:pPr>
          <w:hyperlink w:anchor="_Toc100134" w:history="1">
            <w:r>
              <w:rPr>
                <w:rStyle w:val="Hyperlink"/>
              </w:rPr>
              <w:t>Investment Summary</w:t>
            </w:r>
            <w:r>
              <w:tab/>
            </w:r>
            <w:r>
              <w:fldChar w:fldCharType="begin"/>
            </w:r>
            <w:r>
              <w:instrText xml:space="preserve"> PAGEREF _Toc100134 \h </w:instrText>
            </w:r>
            <w:r>
              <w:fldChar w:fldCharType="separate"/>
            </w:r>
            <w:r>
              <w:t>34</w:t>
            </w:r>
            <w:r>
              <w:fldChar w:fldCharType="end"/>
            </w:r>
          </w:hyperlink>
        </w:p>
        <w:p>
          <w:pPr>
            <w:pStyle w:val="11"/>
            <w:ind w:left="360"/>
            <w:tabs>
              <w:tab w:val="right" w:leader="dot" w:pos="9026"/>
            </w:tabs>
            <w:spacing w:before="120" w:after="60"/>
          </w:pPr>
          <w:hyperlink w:anchor="_Toc100135" w:history="1">
            <w:r>
              <w:rPr>
                <w:rStyle w:val="Hyperlink"/>
              </w:rPr>
              <w:t>Return on Investment Considerations</w:t>
            </w:r>
            <w:r>
              <w:tab/>
            </w:r>
            <w:r>
              <w:fldChar w:fldCharType="begin"/>
            </w:r>
            <w:r>
              <w:instrText xml:space="preserve"> PAGEREF _Toc100135 \h </w:instrText>
            </w:r>
            <w:r>
              <w:fldChar w:fldCharType="separate"/>
            </w:r>
            <w:r>
              <w:t>34</w:t>
            </w:r>
            <w:r>
              <w:fldChar w:fldCharType="end"/>
            </w:r>
          </w:hyperlink>
        </w:p>
        <w:p>
          <w:pPr>
            <w:pStyle w:val="9"/>
            <w:tabs>
              <w:tab w:val="right" w:leader="dot" w:pos="9026"/>
            </w:tabs>
            <w:spacing w:before="120" w:after="60"/>
          </w:pPr>
          <w:hyperlink w:anchor="_Toc100136" w:history="1">
            <w:r>
              <w:rPr>
                <w:rStyle w:val="Hyperlink"/>
              </w:rPr>
              <w:t>Risk Management &amp; Mitigation</w:t>
            </w:r>
            <w:r>
              <w:tab/>
            </w:r>
            <w:r>
              <w:fldChar w:fldCharType="begin"/>
            </w:r>
            <w:r>
              <w:instrText xml:space="preserve"> PAGEREF _Toc100136 \h </w:instrText>
            </w:r>
            <w:r>
              <w:fldChar w:fldCharType="separate"/>
            </w:r>
            <w:r>
              <w:t>34</w:t>
            </w:r>
            <w:r>
              <w:fldChar w:fldCharType="end"/>
            </w:r>
          </w:hyperlink>
        </w:p>
        <w:p>
          <w:pPr>
            <w:pStyle w:val="11"/>
            <w:ind w:left="360"/>
            <w:tabs>
              <w:tab w:val="right" w:leader="dot" w:pos="9026"/>
            </w:tabs>
            <w:spacing w:before="120" w:after="60"/>
          </w:pPr>
          <w:hyperlink w:anchor="_Toc100137" w:history="1">
            <w:r>
              <w:rPr>
                <w:rStyle w:val="Hyperlink"/>
              </w:rPr>
              <w:t>Implementation Risks</w:t>
            </w:r>
            <w:r>
              <w:tab/>
            </w:r>
            <w:r>
              <w:fldChar w:fldCharType="begin"/>
            </w:r>
            <w:r>
              <w:instrText xml:space="preserve"> PAGEREF _Toc100137 \h </w:instrText>
            </w:r>
            <w:r>
              <w:fldChar w:fldCharType="separate"/>
            </w:r>
            <w:r>
              <w:t>35</w:t>
            </w:r>
            <w:r>
              <w:fldChar w:fldCharType="end"/>
            </w:r>
          </w:hyperlink>
        </w:p>
        <w:p>
          <w:pPr>
            <w:pStyle w:val="12"/>
            <w:ind w:left="720"/>
            <w:tabs>
              <w:tab w:val="right" w:leader="dot" w:pos="9026"/>
            </w:tabs>
            <w:spacing w:before="120" w:after="60"/>
          </w:pPr>
          <w:hyperlink w:anchor="_Toc100138" w:history="1">
            <w:r>
              <w:rPr>
                <w:rStyle w:val="Hyperlink"/>
              </w:rPr>
              <w:t>Risk: Technology Integration Failure</w:t>
            </w:r>
            <w:r>
              <w:tab/>
            </w:r>
            <w:r>
              <w:fldChar w:fldCharType="begin"/>
            </w:r>
            <w:r>
              <w:instrText xml:space="preserve"> PAGEREF _Toc100138 \h </w:instrText>
            </w:r>
            <w:r>
              <w:fldChar w:fldCharType="separate"/>
            </w:r>
            <w:r>
              <w:t>35</w:t>
            </w:r>
            <w:r>
              <w:fldChar w:fldCharType="end"/>
            </w:r>
          </w:hyperlink>
        </w:p>
        <w:p>
          <w:pPr>
            <w:pStyle w:val="12"/>
            <w:ind w:left="720"/>
            <w:tabs>
              <w:tab w:val="right" w:leader="dot" w:pos="9026"/>
            </w:tabs>
            <w:spacing w:before="120" w:after="60"/>
          </w:pPr>
          <w:hyperlink w:anchor="_Toc100139" w:history="1">
            <w:r>
              <w:rPr>
                <w:rStyle w:val="Hyperlink"/>
              </w:rPr>
              <w:t>Risk: Talent Acquisition Challenges</w:t>
            </w:r>
            <w:r>
              <w:tab/>
            </w:r>
            <w:r>
              <w:fldChar w:fldCharType="begin"/>
            </w:r>
            <w:r>
              <w:instrText xml:space="preserve"> PAGEREF _Toc100139 \h </w:instrText>
            </w:r>
            <w:r>
              <w:fldChar w:fldCharType="separate"/>
            </w:r>
            <w:r>
              <w:t>35</w:t>
            </w:r>
            <w:r>
              <w:fldChar w:fldCharType="end"/>
            </w:r>
          </w:hyperlink>
        </w:p>
        <w:p>
          <w:pPr>
            <w:pStyle w:val="12"/>
            <w:ind w:left="720"/>
            <w:tabs>
              <w:tab w:val="right" w:leader="dot" w:pos="9026"/>
            </w:tabs>
            <w:spacing w:before="120" w:after="60"/>
          </w:pPr>
          <w:hyperlink w:anchor="_Toc100140" w:history="1">
            <w:r>
              <w:rPr>
                <w:rStyle w:val="Hyperlink"/>
              </w:rPr>
              <w:t>Risk: Scope Creep</w:t>
            </w:r>
            <w:r>
              <w:tab/>
            </w:r>
            <w:r>
              <w:fldChar w:fldCharType="begin"/>
            </w:r>
            <w:r>
              <w:instrText xml:space="preserve"> PAGEREF _Toc100140 \h </w:instrText>
            </w:r>
            <w:r>
              <w:fldChar w:fldCharType="separate"/>
            </w:r>
            <w:r>
              <w:t>35</w:t>
            </w:r>
            <w:r>
              <w:fldChar w:fldCharType="end"/>
            </w:r>
          </w:hyperlink>
        </w:p>
        <w:p>
          <w:pPr>
            <w:pStyle w:val="11"/>
            <w:ind w:left="360"/>
            <w:tabs>
              <w:tab w:val="right" w:leader="dot" w:pos="9026"/>
            </w:tabs>
            <w:spacing w:before="120" w:after="60"/>
          </w:pPr>
          <w:hyperlink w:anchor="_Toc100141" w:history="1">
            <w:r>
              <w:rPr>
                <w:rStyle w:val="Hyperlink"/>
              </w:rPr>
              <w:t>Operational Risks</w:t>
            </w:r>
            <w:r>
              <w:tab/>
            </w:r>
            <w:r>
              <w:fldChar w:fldCharType="begin"/>
            </w:r>
            <w:r>
              <w:instrText xml:space="preserve"> PAGEREF _Toc100141 \h </w:instrText>
            </w:r>
            <w:r>
              <w:fldChar w:fldCharType="separate"/>
            </w:r>
            <w:r>
              <w:t>35</w:t>
            </w:r>
            <w:r>
              <w:fldChar w:fldCharType="end"/>
            </w:r>
          </w:hyperlink>
        </w:p>
        <w:p>
          <w:pPr>
            <w:pStyle w:val="12"/>
            <w:ind w:left="720"/>
            <w:tabs>
              <w:tab w:val="right" w:leader="dot" w:pos="9026"/>
            </w:tabs>
            <w:spacing w:before="120" w:after="60"/>
          </w:pPr>
          <w:hyperlink w:anchor="_Toc100142" w:history="1">
            <w:r>
              <w:rPr>
                <w:rStyle w:val="Hyperlink"/>
              </w:rPr>
              <w:t>Risk: Analyst Burnout</w:t>
            </w:r>
            <w:r>
              <w:tab/>
            </w:r>
            <w:r>
              <w:fldChar w:fldCharType="begin"/>
            </w:r>
            <w:r>
              <w:instrText xml:space="preserve"> PAGEREF _Toc100142 \h </w:instrText>
            </w:r>
            <w:r>
              <w:fldChar w:fldCharType="separate"/>
            </w:r>
            <w:r>
              <w:t>36</w:t>
            </w:r>
            <w:r>
              <w:fldChar w:fldCharType="end"/>
            </w:r>
          </w:hyperlink>
        </w:p>
        <w:p>
          <w:pPr>
            <w:pStyle w:val="12"/>
            <w:ind w:left="720"/>
            <w:tabs>
              <w:tab w:val="right" w:leader="dot" w:pos="9026"/>
            </w:tabs>
            <w:spacing w:before="120" w:after="60"/>
          </w:pPr>
          <w:hyperlink w:anchor="_Toc100143" w:history="1">
            <w:r>
              <w:rPr>
                <w:rStyle w:val="Hyperlink"/>
              </w:rPr>
              <w:t>Risk: False Positive Fatigue</w:t>
            </w:r>
            <w:r>
              <w:tab/>
            </w:r>
            <w:r>
              <w:fldChar w:fldCharType="begin"/>
            </w:r>
            <w:r>
              <w:instrText xml:space="preserve"> PAGEREF _Toc100143 \h </w:instrText>
            </w:r>
            <w:r>
              <w:fldChar w:fldCharType="separate"/>
            </w:r>
            <w:r>
              <w:t>36</w:t>
            </w:r>
            <w:r>
              <w:fldChar w:fldCharType="end"/>
            </w:r>
          </w:hyperlink>
        </w:p>
        <w:p>
          <w:pPr>
            <w:pStyle w:val="12"/>
            <w:ind w:left="720"/>
            <w:tabs>
              <w:tab w:val="right" w:leader="dot" w:pos="9026"/>
            </w:tabs>
            <w:spacing w:before="120" w:after="60"/>
          </w:pPr>
          <w:hyperlink w:anchor="_Toc100144" w:history="1">
            <w:r>
              <w:rPr>
                <w:rStyle w:val="Hyperlink"/>
              </w:rPr>
              <w:t>Risk: Vendor Lock-In</w:t>
            </w:r>
            <w:r>
              <w:tab/>
            </w:r>
            <w:r>
              <w:fldChar w:fldCharType="begin"/>
            </w:r>
            <w:r>
              <w:instrText xml:space="preserve"> PAGEREF _Toc100144 \h </w:instrText>
            </w:r>
            <w:r>
              <w:fldChar w:fldCharType="separate"/>
            </w:r>
            <w:r>
              <w:t>36</w:t>
            </w:r>
            <w:r>
              <w:fldChar w:fldCharType="end"/>
            </w:r>
          </w:hyperlink>
        </w:p>
        <w:p>
          <w:pPr>
            <w:pStyle w:val="11"/>
            <w:ind w:left="360"/>
            <w:tabs>
              <w:tab w:val="right" w:leader="dot" w:pos="9026"/>
            </w:tabs>
            <w:spacing w:before="120" w:after="60"/>
          </w:pPr>
          <w:hyperlink w:anchor="_Toc100145" w:history="1">
            <w:r>
              <w:rPr>
                <w:rStyle w:val="Hyperlink"/>
              </w:rPr>
              <w:t>Business Continuity</w:t>
            </w:r>
            <w:r>
              <w:tab/>
            </w:r>
            <w:r>
              <w:fldChar w:fldCharType="begin"/>
            </w:r>
            <w:r>
              <w:instrText xml:space="preserve"> PAGEREF _Toc100145 \h </w:instrText>
            </w:r>
            <w:r>
              <w:fldChar w:fldCharType="separate"/>
            </w:r>
            <w:r>
              <w:t>36</w:t>
            </w:r>
            <w:r>
              <w:fldChar w:fldCharType="end"/>
            </w:r>
          </w:hyperlink>
        </w:p>
        <w:p>
          <w:pPr>
            <w:pStyle w:val="9"/>
            <w:tabs>
              <w:tab w:val="right" w:leader="dot" w:pos="9026"/>
            </w:tabs>
            <w:spacing w:before="120" w:after="60"/>
          </w:pPr>
          <w:hyperlink w:anchor="_Toc100146" w:history="1">
            <w:r>
              <w:rPr>
                <w:rStyle w:val="Hyperlink"/>
              </w:rPr>
              <w:t>KPIs &amp; Success Metrics</w:t>
            </w:r>
            <w:r>
              <w:tab/>
            </w:r>
            <w:r>
              <w:fldChar w:fldCharType="begin"/>
            </w:r>
            <w:r>
              <w:instrText xml:space="preserve"> PAGEREF _Toc100146 \h </w:instrText>
            </w:r>
            <w:r>
              <w:fldChar w:fldCharType="separate"/>
            </w:r>
            <w:r>
              <w:t>37</w:t>
            </w:r>
            <w:r>
              <w:fldChar w:fldCharType="end"/>
            </w:r>
          </w:hyperlink>
        </w:p>
        <w:p>
          <w:pPr>
            <w:pStyle w:val="11"/>
            <w:ind w:left="360"/>
            <w:tabs>
              <w:tab w:val="right" w:leader="dot" w:pos="9026"/>
            </w:tabs>
            <w:spacing w:before="120" w:after="60"/>
          </w:pPr>
          <w:hyperlink w:anchor="_Toc100147" w:history="1">
            <w:r>
              <w:rPr>
                <w:rStyle w:val="Hyperlink"/>
              </w:rPr>
              <w:t>Operational KPIs</w:t>
            </w:r>
            <w:r>
              <w:tab/>
            </w:r>
            <w:r>
              <w:fldChar w:fldCharType="begin"/>
            </w:r>
            <w:r>
              <w:instrText xml:space="preserve"> PAGEREF _Toc100147 \h </w:instrText>
            </w:r>
            <w:r>
              <w:fldChar w:fldCharType="separate"/>
            </w:r>
            <w:r>
              <w:t>37</w:t>
            </w:r>
            <w:r>
              <w:fldChar w:fldCharType="end"/>
            </w:r>
          </w:hyperlink>
        </w:p>
        <w:p>
          <w:pPr>
            <w:pStyle w:val="11"/>
            <w:ind w:left="360"/>
            <w:tabs>
              <w:tab w:val="right" w:leader="dot" w:pos="9026"/>
            </w:tabs>
            <w:spacing w:before="120" w:after="60"/>
          </w:pPr>
          <w:hyperlink w:anchor="_Toc100148" w:history="1">
            <w:r>
              <w:rPr>
                <w:rStyle w:val="Hyperlink"/>
              </w:rPr>
              <w:t>Business KPIs</w:t>
            </w:r>
            <w:r>
              <w:tab/>
            </w:r>
            <w:r>
              <w:fldChar w:fldCharType="begin"/>
            </w:r>
            <w:r>
              <w:instrText xml:space="preserve"> PAGEREF _Toc100148 \h </w:instrText>
            </w:r>
            <w:r>
              <w:fldChar w:fldCharType="separate"/>
            </w:r>
            <w:r>
              <w:t>37</w:t>
            </w:r>
            <w:r>
              <w:fldChar w:fldCharType="end"/>
            </w:r>
          </w:hyperlink>
        </w:p>
        <w:p>
          <w:pPr>
            <w:pStyle w:val="11"/>
            <w:ind w:left="360"/>
            <w:tabs>
              <w:tab w:val="right" w:leader="dot" w:pos="9026"/>
            </w:tabs>
            <w:spacing w:before="120" w:after="60"/>
          </w:pPr>
          <w:hyperlink w:anchor="_Toc100149" w:history="1">
            <w:r>
              <w:rPr>
                <w:rStyle w:val="Hyperlink"/>
              </w:rPr>
              <w:t>Maturity Assessment</w:t>
            </w:r>
            <w:r>
              <w:tab/>
            </w:r>
            <w:r>
              <w:fldChar w:fldCharType="begin"/>
            </w:r>
            <w:r>
              <w:instrText xml:space="preserve"> PAGEREF _Toc100149 \h </w:instrText>
            </w:r>
            <w:r>
              <w:fldChar w:fldCharType="separate"/>
            </w:r>
            <w:r>
              <w:t>37</w:t>
            </w:r>
            <w:r>
              <w:fldChar w:fldCharType="end"/>
            </w:r>
          </w:hyperlink>
        </w:p>
        <w:p>
          <w:pPr>
            <w:pStyle w:val="9"/>
            <w:tabs>
              <w:tab w:val="right" w:leader="dot" w:pos="9026"/>
            </w:tabs>
            <w:spacing w:before="120" w:after="60"/>
          </w:pPr>
          <w:hyperlink w:anchor="_Toc100150" w:history="1">
            <w:r>
              <w:rPr>
                <w:rStyle w:val="Hyperlink"/>
              </w:rPr>
              <w:t>Appendices</w:t>
            </w:r>
            <w:r>
              <w:tab/>
            </w:r>
            <w:r>
              <w:fldChar w:fldCharType="begin"/>
            </w:r>
            <w:r>
              <w:instrText xml:space="preserve"> PAGEREF _Toc100150 \h </w:instrText>
            </w:r>
            <w:r>
              <w:fldChar w:fldCharType="separate"/>
            </w:r>
            <w:r>
              <w:t>38</w:t>
            </w:r>
            <w:r>
              <w:fldChar w:fldCharType="end"/>
            </w:r>
          </w:hyperlink>
        </w:p>
        <w:p>
          <w:pPr>
            <w:pStyle w:val="11"/>
            <w:ind w:left="360"/>
            <w:tabs>
              <w:tab w:val="right" w:leader="dot" w:pos="9026"/>
            </w:tabs>
            <w:spacing w:before="120" w:after="60"/>
          </w:pPr>
          <w:hyperlink w:anchor="_Toc100151" w:history="1">
            <w:r>
              <w:rPr>
                <w:rStyle w:val="Hyperlink"/>
              </w:rPr>
              <w:t>Appendix A: Glossary of Terms</w:t>
            </w:r>
            <w:r>
              <w:tab/>
            </w:r>
            <w:r>
              <w:fldChar w:fldCharType="begin"/>
            </w:r>
            <w:r>
              <w:instrText xml:space="preserve"> PAGEREF _Toc100151 \h </w:instrText>
            </w:r>
            <w:r>
              <w:fldChar w:fldCharType="separate"/>
            </w:r>
            <w:r>
              <w:t>38</w:t>
            </w:r>
            <w:r>
              <w:fldChar w:fldCharType="end"/>
            </w:r>
          </w:hyperlink>
        </w:p>
        <w:p>
          <w:pPr>
            <w:pStyle w:val="11"/>
            <w:ind w:left="360"/>
            <w:tabs>
              <w:tab w:val="right" w:leader="dot" w:pos="9026"/>
            </w:tabs>
            <w:spacing w:before="120" w:after="60"/>
          </w:pPr>
          <w:hyperlink w:anchor="_Toc100152" w:history="1">
            <w:r>
              <w:rPr>
                <w:rStyle w:val="Hyperlink"/>
              </w:rPr>
              <w:t>Appendix B: Vendor Contact Information</w:t>
            </w:r>
            <w:r>
              <w:tab/>
            </w:r>
            <w:r>
              <w:fldChar w:fldCharType="begin"/>
            </w:r>
            <w:r>
              <w:instrText xml:space="preserve"> PAGEREF _Toc100152 \h </w:instrText>
            </w:r>
            <w:r>
              <w:fldChar w:fldCharType="separate"/>
            </w:r>
            <w:r>
              <w:t>38</w:t>
            </w:r>
            <w:r>
              <w:fldChar w:fldCharType="end"/>
            </w:r>
          </w:hyperlink>
        </w:p>
        <w:p>
          <w:pPr>
            <w:pStyle w:val="11"/>
            <w:ind w:left="360"/>
            <w:tabs>
              <w:tab w:val="right" w:leader="dot" w:pos="9026"/>
            </w:tabs>
            <w:spacing w:before="120" w:after="60"/>
          </w:pPr>
          <w:hyperlink w:anchor="_Toc100153" w:history="1">
            <w:r>
              <w:rPr>
                <w:rStyle w:val="Hyperlink"/>
              </w:rPr>
              <w:t>Appendix C: Sample RFP Templates</w:t>
            </w:r>
            <w:r>
              <w:tab/>
            </w:r>
            <w:r>
              <w:fldChar w:fldCharType="begin"/>
            </w:r>
            <w:r>
              <w:instrText xml:space="preserve"> PAGEREF _Toc100153 \h </w:instrText>
            </w:r>
            <w:r>
              <w:fldChar w:fldCharType="separate"/>
            </w:r>
            <w:r>
              <w:t>38</w:t>
            </w:r>
            <w:r>
              <w:fldChar w:fldCharType="end"/>
            </w:r>
          </w:hyperlink>
        </w:p>
        <w:p>
          <w:pPr>
            <w:pStyle w:val="11"/>
            <w:ind w:left="360"/>
            <w:tabs>
              <w:tab w:val="right" w:leader="dot" w:pos="9026"/>
            </w:tabs>
            <w:spacing w:before="120" w:after="60"/>
          </w:pPr>
          <w:hyperlink w:anchor="_Toc100154" w:history="1">
            <w:r>
              <w:rPr>
                <w:rStyle w:val="Hyperlink"/>
              </w:rPr>
              <w:t>Appendix D: Architecture Diagrams</w:t>
            </w:r>
            <w:r>
              <w:tab/>
            </w:r>
            <w:r>
              <w:fldChar w:fldCharType="begin"/>
            </w:r>
            <w:r>
              <w:instrText xml:space="preserve"> PAGEREF _Toc100154 \h </w:instrText>
            </w:r>
            <w:r>
              <w:fldChar w:fldCharType="separate"/>
            </w:r>
            <w:r>
              <w:t>39</w:t>
            </w:r>
            <w:r>
              <w:fldChar w:fldCharType="end"/>
            </w:r>
          </w:hyperlink>
        </w:p>
        <w:p>
          <w:pPr>
            <w:pStyle w:val="11"/>
            <w:ind w:left="360"/>
            <w:tabs>
              <w:tab w:val="right" w:leader="dot" w:pos="9026"/>
            </w:tabs>
            <w:spacing w:before="120" w:after="60"/>
          </w:pPr>
          <w:hyperlink w:anchor="_Toc100155" w:history="1">
            <w:r>
              <w:rPr>
                <w:rStyle w:val="Hyperlink"/>
              </w:rPr>
              <w:t>Appendix E: Compliance Checklists</w:t>
            </w:r>
            <w:r>
              <w:tab/>
            </w:r>
            <w:r>
              <w:fldChar w:fldCharType="begin"/>
            </w:r>
            <w:r>
              <w:instrText xml:space="preserve"> PAGEREF _Toc100155 \h </w:instrText>
            </w:r>
            <w:r>
              <w:fldChar w:fldCharType="separate"/>
            </w:r>
            <w:r>
              <w:t>39</w:t>
            </w:r>
            <w:r>
              <w:fldChar w:fldCharType="end"/>
            </w:r>
          </w:hyperlink>
        </w:p>
        <w:p>
          <w:pPr>
            <w:pStyle w:val="11"/>
            <w:ind w:left="360"/>
            <w:tabs>
              <w:tab w:val="right" w:leader="dot" w:pos="9026"/>
            </w:tabs>
            <w:spacing w:before="120" w:after="60"/>
          </w:pPr>
          <w:hyperlink w:anchor="_Toc100156" w:history="1">
            <w:r>
              <w:rPr>
                <w:rStyle w:val="Hyperlink"/>
              </w:rPr>
              <w:t>Appendix F: Procedure Templates</w:t>
            </w:r>
            <w:r>
              <w:tab/>
            </w:r>
            <w:r>
              <w:fldChar w:fldCharType="begin"/>
            </w:r>
            <w:r>
              <w:instrText xml:space="preserve"> PAGEREF _Toc100156 \h </w:instrText>
            </w:r>
            <w:r>
              <w:fldChar w:fldCharType="separate"/>
            </w:r>
            <w:r>
              <w:t>39</w:t>
            </w:r>
            <w:r>
              <w:fldChar w:fldCharType="end"/>
            </w:r>
          </w:hyperlink>
        </w:p>
        <w:p>
          <w:r>
            <w:fldChar w:fldCharType="end"/>
          </w:r>
        </w:p>
      </w:sdtContent>
    </w:sdt>
    <w:p>
      <w:r>
        <w:br/>
        <w:t xml:space="preserve"/>
      </w:r>
    </w:p>
    <w:p>
      <w:pPr>
        <w:spacing w:before="200"/>
        <w:jc w:val="center"/>
      </w:pPr>
      <w:r>
        <w:rPr>
          <w:rFonts w:ascii="SimSun" w:eastAsia="SimSun"/>
          <w:i/>
          <w:iCs/>
          <w:color w:val="808080"/>
          <w:sz w:val="20"/>
          <w:szCs w:val="20"/>
        </w:rPr>
        <w:t xml:space="preserve">[Right-click and select “Update Field” to refresh table of contents]</w:t>
      </w:r>
    </w:p>
    <w:p>
      <w:pPr>
        <w:sectPr>
          <w:headerReference w:type="default" r:id="rId7"/>
          <w:footerReference w:type="default" r:id="rId8"/>
          <w:pgSz w:w="11906" w:h="16838" w:orient="portrait"/>
          <w:pgMar w:top="1440" w:right="1417" w:bottom="1440" w:left="1701" w:header="708" w:footer="708" w:gutter="0"/>
          <w:pgNumType w:start="1" w:fmt="upperRoman"/>
          <w:docGrid w:linePitch="360"/>
        </w:sectPr>
      </w:pPr>
    </w:p>
    <w:p>
      <w:pPr>
        <w:pStyle w:val="Heading1"/>
        <w:spacing w:after="200" w:before="400"/>
      </w:pPr>
      <w:bookmarkStart w:id="100001" w:name="_Toc100001"/>
      <w:r>
        <w:rPr>
          <w:rFonts w:ascii="SimHei" w:eastAsia="SimHei"/>
          <w:b/>
          <w:bCs/>
          <w:color w:val="1a365d"/>
          <w:sz w:val="32"/>
          <w:szCs w:val="32"/>
        </w:rPr>
        <w:t xml:space="preserve">Executive Summary</w:t>
      </w:r>
      <w:bookmarkEnd w:id="100001"/>
    </w:p>
    <w:p>
      <w:pPr>
        <w:spacing w:after="120" w:line="312"/>
        <w:ind w:firstLine="480"/>
        <w:jc w:val="both"/>
      </w:pPr>
      <w:r>
        <w:rPr>
          <w:rFonts w:ascii="SimSun" w:eastAsia="SimSun"/>
          <w:color w:val="2d3748"/>
          <w:sz w:val="24"/>
          <w:szCs w:val="24"/>
        </w:rPr>
        <w:t xml:space="preserve">This Strategic Implementation Plan presents a comprehensive blueprint for establishing a world-class, independent National Security Operations Center (SOC) capable of protecting Algeria's critical infrastructure, government entities, and essential services from sophisticated cyber threats. The plan addresses the evolving cybersecurity landscape of 2026 and beyond, where traditional SIEM-centric approaches have given way to integrated AI-powered cyber defense platforms that combine multiple security disciplines into a unified operational framework.</w:t>
      </w:r>
    </w:p>
    <w:p>
      <w:pPr>
        <w:spacing w:after="120" w:line="312"/>
        <w:ind w:firstLine="480"/>
        <w:jc w:val="both"/>
      </w:pPr>
      <w:r>
        <w:rPr>
          <w:rFonts w:ascii="SimSun" w:eastAsia="SimSun"/>
          <w:color w:val="2d3748"/>
          <w:sz w:val="24"/>
          <w:szCs w:val="24"/>
        </w:rPr>
        <w:t xml:space="preserve">The proposed SOC represents a transformative investment in national cybersecurity resilience. Unlike conventional security monitoring centers that rely heavily on manual analysis and reactive response mechanisms, this next-generation SOC leverages artificial intelligence, machine learning, and advanced automation to achieve autonomous threat detection, intelligent incident response, and predictive security analytics. The architecture is designed to process millions of events per second while maintaining sub-five-minute mean time to detect (MTTD) and sub-fifteen-minute mean time to respond (MTTR) for critical security incidents.</w:t>
      </w:r>
    </w:p>
    <w:p>
      <w:pPr>
        <w:pStyle w:val="Heading2"/>
        <w:spacing w:after="150" w:before="300"/>
      </w:pPr>
      <w:bookmarkStart w:id="100002" w:name="_Toc100002"/>
      <w:r>
        <w:rPr>
          <w:rFonts w:ascii="SimHei" w:eastAsia="SimHei"/>
          <w:b/>
          <w:bCs/>
          <w:color w:val="1a365d"/>
          <w:sz w:val="28"/>
          <w:szCs w:val="28"/>
        </w:rPr>
        <w:t xml:space="preserve">Strategic Imperative</w:t>
      </w:r>
      <w:bookmarkEnd w:id="100002"/>
    </w:p>
    <w:p>
      <w:pPr>
        <w:spacing w:after="120" w:line="312"/>
        <w:ind w:firstLine="480"/>
        <w:jc w:val="both"/>
      </w:pPr>
      <w:r>
        <w:rPr>
          <w:rFonts w:ascii="SimSun" w:eastAsia="SimSun"/>
          <w:color w:val="2d3748"/>
          <w:sz w:val="24"/>
          <w:szCs w:val="24"/>
        </w:rPr>
        <w:t xml:space="preserve">The global threat landscape has fundamentally transformed. Nation-state actors, organized cybercrime syndicates, and advanced persistent threat (APT) groups continuously develop sophisticated attack methodologies that bypass traditional perimeter-based defenses. Ransomware attacks have evolved from opportunistic crimes to targeted operations against critical infrastructure. Supply chain compromises have demonstrated how trusted software can become attack vectors at scale. In this environment, organizations can no longer rely on fragmented security tools and siloed operations.</w:t>
      </w:r>
    </w:p>
    <w:p>
      <w:pPr>
        <w:spacing w:after="120" w:line="312"/>
        <w:ind w:firstLine="480"/>
        <w:jc w:val="both"/>
      </w:pPr>
      <w:r>
        <w:rPr>
          <w:rFonts w:ascii="SimSun" w:eastAsia="SimSun"/>
          <w:color w:val="2d3748"/>
          <w:sz w:val="24"/>
          <w:szCs w:val="24"/>
        </w:rPr>
        <w:t xml:space="preserve">For Algeria specifically, the establishment of a National SOC addresses several critical requirements. First, it provides centralized visibility across government networks, energy infrastructure, telecommunications systems, financial institutions, and other sectors designated as critical national infrastructure. Second, it enables rapid threat intelligence sharing between public and private sector entities. Third, it establishes national capability for digital forensics, incident response, and coordinated defense against large-scale cyber campaigns. Fourth, it positions Algeria among nations with mature cybersecurity operational capabilities, supporting both sovereign security objectives and international cooperation frameworks.</w:t>
      </w:r>
    </w:p>
    <w:p>
      <w:pPr>
        <w:pStyle w:val="Heading2"/>
        <w:spacing w:after="150" w:before="300"/>
      </w:pPr>
      <w:bookmarkStart w:id="100003" w:name="_Toc100003"/>
      <w:r>
        <w:rPr>
          <w:rFonts w:ascii="SimHei" w:eastAsia="SimHei"/>
          <w:b/>
          <w:bCs/>
          <w:color w:val="1a365d"/>
          <w:sz w:val="28"/>
          <w:szCs w:val="28"/>
        </w:rPr>
        <w:t xml:space="preserve">Key Recommendations</w:t>
      </w:r>
      <w:bookmarkEnd w:id="100003"/>
    </w:p>
    <w:p>
      <w:pPr>
        <w:spacing w:after="120" w:line="312"/>
        <w:ind w:firstLine="480"/>
        <w:jc w:val="both"/>
      </w:pPr>
      <w:r>
        <w:rPr>
          <w:rFonts w:ascii="SimSun" w:eastAsia="SimSun"/>
          <w:color w:val="2d3748"/>
          <w:sz w:val="24"/>
          <w:szCs w:val="24"/>
        </w:rPr>
        <w:t xml:space="preserve">This plan recommends a phased implementation approach spanning five years (2026-2030), with initial operational capability targeted within 18 months. The technology stack should prioritize best-in-class platforms that demonstrate strong integration capabilities, AI-native architectures, and proven scalability in comparable deployments. Specifically, we recommend evaluating Palo Alto Networks Cortex XSIAM as the primary AI-SOC platform, complemented by CrowdStrike Falcon XDR for endpoint detection, Microsoft Sentinel or Splunk Enterprise Security for SIEM correlation, and Recorded Future or MISP for threat intelligence management.</w:t>
      </w:r>
    </w:p>
    <w:p>
      <w:pPr>
        <w:spacing w:after="120" w:line="312"/>
        <w:ind w:firstLine="480"/>
        <w:jc w:val="both"/>
      </w:pPr>
      <w:r>
        <w:rPr>
          <w:rFonts w:ascii="SimSun" w:eastAsia="SimSun"/>
          <w:color w:val="2d3748"/>
          <w:sz w:val="24"/>
          <w:szCs w:val="24"/>
        </w:rPr>
        <w:t xml:space="preserve">The organizational model should establish clear tiered analyst structures (L1 triage, L2 investigation, L3 escalation) supported by specialized functions including threat hunting, digital forensics, malware analysis, and DevSecOps engineering. Initial staffing should target 40-50 professionals by end of Phase 2, scaling to 75-120 personnel at full operational capacity. Investment in continuous training, certification programs, and cyber range exercises will be essential to maintain team effectiveness against evolving threats.</w:t>
      </w:r>
    </w:p>
    <w:p>
      <w:pPr>
        <w:pStyle w:val="Heading2"/>
        <w:spacing w:after="150" w:before="300"/>
      </w:pPr>
      <w:bookmarkStart w:id="100004" w:name="_Toc100004"/>
      <w:r>
        <w:rPr>
          <w:rFonts w:ascii="SimHei" w:eastAsia="SimHei"/>
          <w:b/>
          <w:bCs/>
          <w:color w:val="1a365d"/>
          <w:sz w:val="28"/>
          <w:szCs w:val="28"/>
        </w:rPr>
        <w:t xml:space="preserve">Investment Summary</w:t>
      </w:r>
      <w:bookmarkEnd w:id="100004"/>
    </w:p>
    <w:p>
      <w:pPr>
        <w:spacing w:after="120" w:line="312"/>
        <w:ind w:firstLine="480"/>
        <w:jc w:val="both"/>
      </w:pPr>
      <w:r>
        <w:rPr>
          <w:rFonts w:ascii="SimSun" w:eastAsia="SimSun"/>
          <w:color w:val="2d3748"/>
          <w:sz w:val="24"/>
          <w:szCs w:val="24"/>
        </w:rPr>
        <w:t xml:space="preserve">Total five-year investment is estimated in the range of $25-45 million USD, depending on technology selections, scope of coverage, and organizational scaling decisions. This encompasses capital expenditures for infrastructure, platform licensing, professional services, and operational costs including personnel, training, and maintenance. Return on investment derives from prevented breach costs (averaging $4.45 million globally per significant incident), reduced insurance premiums, compliance achievement, and enhanced national economic resilience through protected critical infrastructure.</w:t>
      </w:r>
    </w:p>
    <w:p>
      <w:pPr>
        <w:spacing w:after="120" w:line="312"/>
        <w:ind w:firstLine="480"/>
        <w:jc w:val="both"/>
      </w:pPr>
      <w:r>
        <w:rPr>
          <w:rFonts w:ascii="SimSun" w:eastAsia="SimSun"/>
          <w:color w:val="2d3748"/>
          <w:sz w:val="24"/>
          <w:szCs w:val="24"/>
        </w:rPr>
        <w:t xml:space="preserve">The plan emphasizes building sustainable capabilities rather than simply purchasing technology. Success depends equally on people, processes, and technology working in concert. Subsequent sections detail the complete architectural vision, technology rationale, implementation roadmap, organizational design, and governance framework necessary to realize this strategic objective.</w:t>
      </w:r>
    </w:p>
    <w:p>
      <w:pPr>
        <w:pStyle w:val="Heading1"/>
        <w:spacing w:after="200" w:before="400"/>
      </w:pPr>
      <w:bookmarkStart w:id="100005" w:name="_Toc100005"/>
      <w:r>
        <w:rPr>
          <w:rFonts w:ascii="SimHei" w:eastAsia="SimHei"/>
          <w:b/>
          <w:bCs/>
          <w:color w:val="1a365d"/>
          <w:sz w:val="32"/>
          <w:szCs w:val="32"/>
        </w:rPr>
        <w:t xml:space="preserve">Strategic Vision &amp; Objectives</w:t>
      </w:r>
      <w:bookmarkEnd w:id="100005"/>
    </w:p>
    <w:p>
      <w:pPr>
        <w:pStyle w:val="Heading2"/>
        <w:spacing w:after="150" w:before="300"/>
      </w:pPr>
      <w:bookmarkStart w:id="100006" w:name="_Toc100006"/>
      <w:r>
        <w:rPr>
          <w:rFonts w:ascii="SimHei" w:eastAsia="SimHei"/>
          <w:b/>
          <w:bCs/>
          <w:color w:val="1a365d"/>
          <w:sz w:val="28"/>
          <w:szCs w:val="28"/>
        </w:rPr>
        <w:t xml:space="preserve">Vision Statement: SOC 2030</w:t>
      </w:r>
      <w:bookmarkEnd w:id="100006"/>
    </w:p>
    <w:p>
      <w:pPr>
        <w:spacing w:after="120" w:line="312"/>
        <w:ind w:firstLine="480"/>
        <w:jc w:val="both"/>
      </w:pPr>
      <w:r>
        <w:rPr>
          <w:rFonts w:ascii="SimSun" w:eastAsia="SimSun"/>
          <w:color w:val="2d3748"/>
          <w:sz w:val="24"/>
          <w:szCs w:val="24"/>
        </w:rPr>
        <w:t xml:space="preserve">By 2030, the National Security Operations Center will operate as an autonomous cyber defense platform providing real-time protection, intelligent response, and predictive security analytics for over 1,000 sites spanning government agencies, critical infrastructure operators, financial institutions, and essential service providers. The SOC will leverage artificial intelligence agents to automatically investigate and resolve the majority of security alerts, freeing human analysts to focus on complex threats requiring creative problem-solving and strategic decision-making.</w:t>
      </w:r>
    </w:p>
    <w:p>
      <w:pPr>
        <w:spacing w:after="120" w:line="312"/>
        <w:ind w:firstLine="480"/>
        <w:jc w:val="both"/>
      </w:pPr>
      <w:r>
        <w:rPr>
          <w:rFonts w:ascii="SimSun" w:eastAsia="SimSun"/>
          <w:color w:val="2d3748"/>
          <w:sz w:val="24"/>
          <w:szCs w:val="24"/>
        </w:rPr>
        <w:t xml:space="preserve">The vision extends beyond traditional security monitoring to encompass a holistic cyber defense ecosystem. This includes proactive threat hunting that identifies adversaries before they achieve objectives, digital twin simulations that validate defensive postures against hypothetical attack scenarios, continuous attack surface management that maintains visibility across dynamic IT, OT, cloud, and IoT environments, and seamless information sharing with international partners through standardized threat intelligence exchange protocols.</w:t>
      </w:r>
    </w:p>
    <w:p>
      <w:pPr>
        <w:pStyle w:val="Heading2"/>
        <w:spacing w:after="150" w:before="300"/>
      </w:pPr>
      <w:bookmarkStart w:id="100007" w:name="_Toc100007"/>
      <w:r>
        <w:rPr>
          <w:rFonts w:ascii="SimHei" w:eastAsia="SimHei"/>
          <w:b/>
          <w:bCs/>
          <w:color w:val="1a365d"/>
          <w:sz w:val="28"/>
          <w:szCs w:val="28"/>
        </w:rPr>
        <w:t xml:space="preserve">Mission Statement</w:t>
      </w:r>
      <w:bookmarkEnd w:id="100007"/>
    </w:p>
    <w:p>
      <w:pPr>
        <w:spacing w:after="120" w:line="312"/>
        <w:ind w:firstLine="480"/>
        <w:jc w:val="both"/>
      </w:pPr>
      <w:r>
        <w:rPr>
          <w:rFonts w:ascii="SimSun" w:eastAsia="SimSun"/>
          <w:color w:val="2d3748"/>
          <w:sz w:val="24"/>
          <w:szCs w:val="24"/>
        </w:rPr>
        <w:t xml:space="preserve">The National SOC mission is to protect Algeria's digital infrastructure and information assets through continuous security monitoring, rapid threat detection, intelligent incident response, and proactive defense operations. We serve as the nation's primary capability for cybersecurity event analysis, coordinate response to significant cyber incidents affecting multiple organizations, provide expert guidance on security matters to constituent entities, and contribute to national cybersecurity strategy development through operational insights and trend analysis.</w:t>
      </w:r>
    </w:p>
    <w:p>
      <w:pPr>
        <w:pStyle w:val="Heading2"/>
        <w:spacing w:after="150" w:before="300"/>
      </w:pPr>
      <w:bookmarkStart w:id="100008" w:name="_Toc100008"/>
      <w:r>
        <w:rPr>
          <w:rFonts w:ascii="SimHei" w:eastAsia="SimHei"/>
          <w:b/>
          <w:bCs/>
          <w:color w:val="1a365d"/>
          <w:sz w:val="28"/>
          <w:szCs w:val="28"/>
        </w:rPr>
        <w:t xml:space="preserve">Strategic Objectives</w:t>
      </w:r>
      <w:bookmarkEnd w:id="100008"/>
    </w:p>
    <w:p>
      <w:pPr>
        <w:pStyle w:val="Heading3"/>
        <w:spacing w:after="120" w:before="240"/>
      </w:pPr>
      <w:bookmarkStart w:id="100009" w:name="_Toc100009"/>
      <w:r>
        <w:rPr>
          <w:rFonts w:ascii="SimHei" w:eastAsia="SimHei"/>
          <w:b/>
          <w:bCs/>
          <w:color w:val="4a5568"/>
          <w:sz w:val="24"/>
          <w:szCs w:val="24"/>
        </w:rPr>
        <w:t xml:space="preserve">Objective 1: Establish Comprehensive Visibility</w:t>
      </w:r>
      <w:bookmarkEnd w:id="100009"/>
    </w:p>
    <w:p>
      <w:pPr>
        <w:spacing w:after="120" w:line="312"/>
        <w:ind w:firstLine="480"/>
        <w:jc w:val="both"/>
      </w:pPr>
      <w:r>
        <w:rPr>
          <w:rFonts w:ascii="SimSun" w:eastAsia="SimSun"/>
          <w:color w:val="2d3748"/>
          <w:sz w:val="24"/>
          <w:szCs w:val="24"/>
        </w:rPr>
        <w:t xml:space="preserve">Achieve unified visibility across all monitored environments including on-premises data centers, cloud platforms (AWS, Azure, GCP), operational technology networks (SCADA, ICS), IoT deployments, and remote workforce endpoints. Visibility must extend to network traffic, endpoint activity, identity behaviors, application transactions, and data flows. Target coverage includes 95% of critical assets within scope organizations within 36 months of operation commencement.</w:t>
      </w:r>
    </w:p>
    <w:p>
      <w:pPr>
        <w:pStyle w:val="Heading3"/>
        <w:spacing w:after="120" w:before="240"/>
      </w:pPr>
      <w:bookmarkStart w:id="100010" w:name="_Toc100010"/>
      <w:r>
        <w:rPr>
          <w:rFonts w:ascii="SimHei" w:eastAsia="SimHei"/>
          <w:b/>
          <w:bCs/>
          <w:color w:val="4a5568"/>
          <w:sz w:val="24"/>
          <w:szCs w:val="24"/>
        </w:rPr>
        <w:t xml:space="preserve">Objective 2: Minimize Detection and Response Times</w:t>
      </w:r>
      <w:bookmarkEnd w:id="100010"/>
    </w:p>
    <w:p>
      <w:pPr>
        <w:spacing w:after="120" w:line="312"/>
        <w:ind w:firstLine="480"/>
        <w:jc w:val="both"/>
      </w:pPr>
      <w:r>
        <w:rPr>
          <w:rFonts w:ascii="SimSun" w:eastAsia="SimSun"/>
          <w:color w:val="2d3748"/>
          <w:sz w:val="24"/>
          <w:szCs w:val="24"/>
        </w:rPr>
        <w:t xml:space="preserve">Establish industry-leading performance metrics with Mean Time to Detect (MTTD) under 5 minutes for high-severity threats, Mean Time to Respond (MTTR) under 15 minutes for automated response playbooks and under 4 hours for complex incidents requiring human investigation, and False Positive Rate maintained below 3% through continuous tuning of detection logic and baseline refinement. These targets reflect best-in-class performance demonstrated by leading global SOCs.</w:t>
      </w:r>
    </w:p>
    <w:p>
      <w:pPr>
        <w:pStyle w:val="Heading3"/>
        <w:spacing w:after="120" w:before="240"/>
      </w:pPr>
      <w:bookmarkStart w:id="100011" w:name="_Toc100011"/>
      <w:r>
        <w:rPr>
          <w:rFonts w:ascii="SimHei" w:eastAsia="SimHei"/>
          <w:b/>
          <w:bCs/>
          <w:color w:val="4a5568"/>
          <w:sz w:val="24"/>
          <w:szCs w:val="24"/>
        </w:rPr>
        <w:t xml:space="preserve">Objective 3: Achieve Autonomous Operations</w:t>
      </w:r>
      <w:bookmarkEnd w:id="100011"/>
    </w:p>
    <w:p>
      <w:pPr>
        <w:spacing w:after="120" w:line="312"/>
        <w:ind w:firstLine="480"/>
        <w:jc w:val="both"/>
      </w:pPr>
      <w:r>
        <w:rPr>
          <w:rFonts w:ascii="SimSun" w:eastAsia="SimSun"/>
          <w:color w:val="2d3748"/>
          <w:sz w:val="24"/>
          <w:szCs w:val="24"/>
        </w:rPr>
        <w:t xml:space="preserve">Progressively automate security operations such that 80% of routine alerts are handled without human intervention by Year 3, AI-assisted investigation reduces average case resolution time by 60%, and predictive analytics enable proactive blocking of known threat patterns before they manifest as incidents. Autonomous operation does not eliminate human oversight but rather elevates human analysts to supervisory and strategic roles.</w:t>
      </w:r>
    </w:p>
    <w:p>
      <w:pPr>
        <w:pStyle w:val="Heading3"/>
        <w:spacing w:after="120" w:before="240"/>
      </w:pPr>
      <w:bookmarkStart w:id="100012" w:name="_Toc100012"/>
      <w:r>
        <w:rPr>
          <w:rFonts w:ascii="SimHei" w:eastAsia="SimHei"/>
          <w:b/>
          <w:bCs/>
          <w:color w:val="4a5568"/>
          <w:sz w:val="24"/>
          <w:szCs w:val="24"/>
        </w:rPr>
        <w:t xml:space="preserve">Objective 4: Build National Cyber Resilience</w:t>
      </w:r>
      <w:bookmarkEnd w:id="100012"/>
    </w:p>
    <w:p>
      <w:pPr>
        <w:spacing w:after="120" w:line="312"/>
        <w:ind w:firstLine="480"/>
        <w:jc w:val="both"/>
      </w:pPr>
      <w:r>
        <w:rPr>
          <w:rFonts w:ascii="SimSun" w:eastAsia="SimSun"/>
          <w:color w:val="2d3748"/>
          <w:sz w:val="24"/>
          <w:szCs w:val="24"/>
        </w:rPr>
        <w:t xml:space="preserve">Develop capabilities that strengthen collective national cybersecurity posture through multi-tenant service delivery enabling cost-effective SOC access for smaller organizations, threat intelligence fusion combining internal observations with global sources and peer sharing, incident coordination frameworks enabling rapid mutual assistance during widespread campaigns, and workforce development programs expanding national pool of qualified cybersecurity professionals.</w:t>
      </w:r>
    </w:p>
    <w:p>
      <w:pPr>
        <w:pStyle w:val="Heading2"/>
        <w:spacing w:after="150" w:before="300"/>
      </w:pPr>
      <w:bookmarkStart w:id="100013" w:name="_Toc100013"/>
      <w:r>
        <w:rPr>
          <w:rFonts w:ascii="SimHei" w:eastAsia="SimHei"/>
          <w:b/>
          <w:bCs/>
          <w:color w:val="1a365d"/>
          <w:sz w:val="28"/>
          <w:szCs w:val="28"/>
        </w:rPr>
        <w:t xml:space="preserve">Scope Definition</w:t>
      </w:r>
      <w:bookmarkEnd w:id="100013"/>
    </w:p>
    <w:p>
      <w:pPr>
        <w:spacing w:after="120" w:line="312"/>
        <w:ind w:firstLine="480"/>
        <w:jc w:val="both"/>
      </w:pPr>
      <w:r>
        <w:rPr>
          <w:rFonts w:ascii="SimSun" w:eastAsia="SimSun"/>
          <w:color w:val="2d3748"/>
          <w:sz w:val="24"/>
          <w:szCs w:val="24"/>
        </w:rPr>
        <w:t xml:space="preserve">The National SOC scope encompasses several categories of constituent organizations and assets. Primary scope includes federal government ministries and agencies, state-owned enterprises in energy, telecommunications, transportation, and water sectors, financial institutions under central bank supervision, healthcare organizations handling sensitive patient data, academic institutions conducting research in strategic domains, and providers of critical internet infrastructure including DNS, PKI, and connectivity services.</w:t>
      </w:r>
    </w:p>
    <w:p>
      <w:pPr>
        <w:spacing w:after="120" w:line="312"/>
        <w:ind w:firstLine="480"/>
        <w:jc w:val="both"/>
      </w:pPr>
      <w:r>
        <w:rPr>
          <w:rFonts w:ascii="SimSun" w:eastAsia="SimSun"/>
          <w:color w:val="2d3748"/>
          <w:sz w:val="24"/>
          <w:szCs w:val="24"/>
        </w:rPr>
        <w:t xml:space="preserve">Secondary scope (phased inclusion) covers large private enterprises in strategically important industries, regional and local government entities, smaller financial institutions and payment processors, and organizations processing personal data at scale subject to data protection regulations. Out of scope initially are purely consumer-facing retail businesses without critical infrastructure role, individual citizens' personal devices (though threat intelligence may inform consumer guidance), and organizations maintaining their own mature SOC capabilities who may instead participate in information sharing arrangements.</w:t>
      </w:r>
    </w:p>
    <w:p>
      <w:pPr>
        <w:pStyle w:val="Heading2"/>
        <w:spacing w:after="150" w:before="300"/>
      </w:pPr>
      <w:bookmarkStart w:id="100014" w:name="_Toc100014"/>
      <w:r>
        <w:rPr>
          <w:rFonts w:ascii="SimHei" w:eastAsia="SimHei"/>
          <w:b/>
          <w:bCs/>
          <w:color w:val="1a365d"/>
          <w:sz w:val="28"/>
          <w:szCs w:val="28"/>
        </w:rPr>
        <w:t xml:space="preserve">Success Criteria</w:t>
      </w:r>
      <w:bookmarkEnd w:id="100014"/>
    </w:p>
    <w:p>
      <w:pPr>
        <w:spacing w:after="120" w:line="312"/>
        <w:ind w:firstLine="480"/>
        <w:jc w:val="both"/>
      </w:pPr>
      <w:r>
        <w:rPr>
          <w:rFonts w:ascii="SimSun" w:eastAsia="SimSun"/>
          <w:color w:val="2d3748"/>
          <w:sz w:val="24"/>
          <w:szCs w:val="24"/>
        </w:rPr>
        <w:t xml:space="preserve">Success measurement operates across multiple dimensions aligned with strategic objectives. Operational metrics track alert volume trends, classification accuracy, response timeliness, and automation rates. Outcome metrics measure breach prevention, incident containment effectiveness, and recovery times for actual security events. Customer satisfaction metrics assess service quality perception, communication effectiveness, and value delivered to constituent organizations. Maturity metrics benchmark capabilities against frameworks such as NIST Cybersecurity Framework, ISO 27001, and NIST SP 800-61 incident handling guidelines.</w:t>
      </w:r>
    </w:p>
    <w:p>
      <w:pPr>
        <w:pStyle w:val="Heading1"/>
        <w:spacing w:after="200" w:before="400"/>
      </w:pPr>
      <w:bookmarkStart w:id="100015" w:name="_Toc100015"/>
      <w:r>
        <w:rPr>
          <w:rFonts w:ascii="SimHei" w:eastAsia="SimHei"/>
          <w:b/>
          <w:bCs/>
          <w:color w:val="1a365d"/>
          <w:sz w:val="32"/>
          <w:szCs w:val="32"/>
        </w:rPr>
        <w:t xml:space="preserve">Current State Assessment</w:t>
      </w:r>
      <w:bookmarkEnd w:id="100015"/>
    </w:p>
    <w:p>
      <w:pPr>
        <w:pStyle w:val="Heading2"/>
        <w:spacing w:after="150" w:before="300"/>
      </w:pPr>
      <w:bookmarkStart w:id="100016" w:name="_Toc100016"/>
      <w:r>
        <w:rPr>
          <w:rFonts w:ascii="SimHei" w:eastAsia="SimHei"/>
          <w:b/>
          <w:bCs/>
          <w:color w:val="1a365d"/>
          <w:sz w:val="28"/>
          <w:szCs w:val="28"/>
        </w:rPr>
        <w:t xml:space="preserve">Global Threat Landscape Analysis</w:t>
      </w:r>
      <w:bookmarkEnd w:id="100016"/>
    </w:p>
    <w:p>
      <w:pPr>
        <w:spacing w:after="120" w:line="312"/>
        <w:ind w:firstLine="480"/>
        <w:jc w:val="both"/>
      </w:pPr>
      <w:r>
        <w:rPr>
          <w:rFonts w:ascii="SimSun" w:eastAsia="SimSun"/>
          <w:color w:val="2d3748"/>
          <w:sz w:val="24"/>
          <w:szCs w:val="24"/>
        </w:rPr>
        <w:t xml:space="preserve">The cybersecurity threat environment of 2026 presents challenges unprecedented in scale, sophistication, and impact. Understanding this landscape is essential for designing an SOC capable of effective defense. Several macro-level trends shape the threat environment and influence SOC design requirements.</w:t>
      </w:r>
    </w:p>
    <w:p>
      <w:pPr>
        <w:pStyle w:val="Heading3"/>
        <w:spacing w:after="120" w:before="240"/>
      </w:pPr>
      <w:bookmarkStart w:id="100017" w:name="_Toc100017"/>
      <w:r>
        <w:rPr>
          <w:rFonts w:ascii="SimHei" w:eastAsia="SimHei"/>
          <w:b/>
          <w:bCs/>
          <w:color w:val="4a5568"/>
          <w:sz w:val="24"/>
          <w:szCs w:val="24"/>
        </w:rPr>
        <w:t xml:space="preserve">Ransomware Evolution</w:t>
      </w:r>
      <w:bookmarkEnd w:id="100017"/>
    </w:p>
    <w:p>
      <w:pPr>
        <w:spacing w:after="120" w:line="312"/>
        <w:ind w:firstLine="480"/>
        <w:jc w:val="both"/>
      </w:pPr>
      <w:r>
        <w:rPr>
          <w:rFonts w:ascii="SimSun" w:eastAsia="SimSun"/>
          <w:color w:val="2d3748"/>
          <w:sz w:val="24"/>
          <w:szCs w:val="24"/>
        </w:rPr>
        <w:t xml:space="preserve">Ransomware has matured from crude encryption malware into a professionalized criminal industry. Modern ransomware operations employ affiliate models, where core developers provide encryption platforms to specialized affiliates who conduct intrusions. These groups conduct extensive victim reconnaissance, exfiltrate data for double-extortion leverage, and calibrate ransom demands based on apparent victim ability to pay. Critical infrastructure has become a preferred target due to high willingness to pay and systemic pressure to restore services. Defense requires not only technical controls but also robust backup strategies, incident response playbooks, and executive decision frameworks for extortion scenarios.</w:t>
      </w:r>
    </w:p>
    <w:p>
      <w:pPr>
        <w:pStyle w:val="Heading3"/>
        <w:spacing w:after="120" w:before="240"/>
      </w:pPr>
      <w:bookmarkStart w:id="100018" w:name="_Toc100018"/>
      <w:r>
        <w:rPr>
          <w:rFonts w:ascii="SimHei" w:eastAsia="SimHei"/>
          <w:b/>
          <w:bCs/>
          <w:color w:val="4a5568"/>
          <w:sz w:val="24"/>
          <w:szCs w:val="24"/>
        </w:rPr>
        <w:t xml:space="preserve">Nation-State Threat Activity</w:t>
      </w:r>
      <w:bookmarkEnd w:id="100018"/>
    </w:p>
    <w:p>
      <w:pPr>
        <w:spacing w:after="120" w:line="312"/>
        <w:ind w:firstLine="480"/>
        <w:jc w:val="both"/>
      </w:pPr>
      <w:r>
        <w:rPr>
          <w:rFonts w:ascii="SimSun" w:eastAsia="SimSun"/>
          <w:color w:val="2d3748"/>
          <w:sz w:val="24"/>
          <w:szCs w:val="24"/>
        </w:rPr>
        <w:t xml:space="preserve">State-sponsored cyber operations continue expanding in scope and ambition. Beyond traditional espionage targeting government and military secrets, nation-state actors now conduct influence operations, intellectual property theft targeting commercial entities, pre-positioning for potential future conflict through infrastructure compromise, and disruptive attacks against adversary civilian systems. Attribution remains challenging but operationally less relevant than understanding adversary tactics, techniques, and procedures (TTPs) for defensive purposes. SOCs must maintain threat intelligence capabilities focused on APT group tracking and indicator of compromise (IOC) dissemination.</w:t>
      </w:r>
    </w:p>
    <w:p>
      <w:pPr>
        <w:pStyle w:val="Heading3"/>
        <w:spacing w:after="120" w:before="240"/>
      </w:pPr>
      <w:bookmarkStart w:id="100019" w:name="_Toc100019"/>
      <w:r>
        <w:rPr>
          <w:rFonts w:ascii="SimHei" w:eastAsia="SimHei"/>
          <w:b/>
          <w:bCs/>
          <w:color w:val="4a5568"/>
          <w:sz w:val="24"/>
          <w:szCs w:val="24"/>
        </w:rPr>
        <w:t xml:space="preserve">Supply Chain Compromise</w:t>
      </w:r>
      <w:bookmarkEnd w:id="100019"/>
    </w:p>
    <w:p>
      <w:pPr>
        <w:spacing w:after="120" w:line="312"/>
        <w:ind w:firstLine="480"/>
        <w:jc w:val="both"/>
      </w:pPr>
      <w:r>
        <w:rPr>
          <w:rFonts w:ascii="SimSun" w:eastAsia="SimSun"/>
          <w:color w:val="2d3748"/>
          <w:sz w:val="24"/>
          <w:szCs w:val="24"/>
        </w:rPr>
        <w:t xml:space="preserve">Software supply chain attacks have emerged as particularly insidious threat vectors because they exploit trust relationships rather than technical vulnerabilities. High-profile incidents have demonstrated how compromised software updates, malicious code libraries, and infiltrated build systems can distribute malware to thousands of organizations simultaneously. Defense requires software composition analysis, build pipeline integrity verification, vendor security assessment, and behavioral detection identifying abnormal activity even from supposedly trusted sources.</w:t>
      </w:r>
    </w:p>
    <w:p>
      <w:pPr>
        <w:pStyle w:val="Heading3"/>
        <w:spacing w:after="120" w:before="240"/>
      </w:pPr>
      <w:bookmarkStart w:id="100020" w:name="_Toc100020"/>
      <w:r>
        <w:rPr>
          <w:rFonts w:ascii="SimHei" w:eastAsia="SimHei"/>
          <w:b/>
          <w:bCs/>
          <w:color w:val="4a5568"/>
          <w:sz w:val="24"/>
          <w:szCs w:val="24"/>
        </w:rPr>
        <w:t xml:space="preserve">AI-Powered Attacks</w:t>
      </w:r>
      <w:bookmarkEnd w:id="100020"/>
    </w:p>
    <w:p>
      <w:pPr>
        <w:spacing w:after="120" w:line="312"/>
        <w:ind w:firstLine="480"/>
        <w:jc w:val="both"/>
      </w:pPr>
      <w:r>
        <w:rPr>
          <w:rFonts w:ascii="SimSun" w:eastAsia="SimSun"/>
          <w:color w:val="2d3748"/>
          <w:sz w:val="24"/>
          <w:szCs w:val="24"/>
        </w:rPr>
        <w:t xml:space="preserve">Artificial intelligence is a double-edged sword in cybersecurity. While defenders leverage AI for detection and response, adversaries similarly employ AI to automate reconnaissance, generate convincing phishing content at scale, evade detection through adversarial machine learning techniques, and discover novel vulnerabilities faster than human analysis. The SOC of the future must defend against AI-augmented attacks while leveraging its own AI capabilities effectively.</w:t>
      </w:r>
    </w:p>
    <w:p>
      <w:pPr>
        <w:pStyle w:val="Heading2"/>
        <w:spacing w:after="150" w:before="300"/>
      </w:pPr>
      <w:bookmarkStart w:id="100021" w:name="_Toc100021"/>
      <w:r>
        <w:rPr>
          <w:rFonts w:ascii="SimHei" w:eastAsia="SimHei"/>
          <w:b/>
          <w:bCs/>
          <w:color w:val="1a365d"/>
          <w:sz w:val="28"/>
          <w:szCs w:val="28"/>
        </w:rPr>
        <w:t xml:space="preserve">Capability Gap Analysis</w:t>
      </w:r>
      <w:bookmarkEnd w:id="100021"/>
    </w:p>
    <w:p>
      <w:pPr>
        <w:spacing w:after="120" w:line="312"/>
        <w:ind w:firstLine="480"/>
        <w:jc w:val="both"/>
      </w:pPr>
      <w:r>
        <w:rPr>
          <w:rFonts w:ascii="SimSun" w:eastAsia="SimSun"/>
          <w:color w:val="2d3748"/>
          <w:sz w:val="24"/>
          <w:szCs w:val="24"/>
        </w:rPr>
        <w:t xml:space="preserve">Assessment of current cybersecurity monitoring capabilities reveals several gaps that the National SOC must address. These gaps represent not merely missing technology but fundamental capability deficiencies requiring systematic remediation.</w:t>
      </w:r>
    </w:p>
    <w:p>
      <w:pPr>
        <w:pStyle w:val="Heading3"/>
        <w:spacing w:after="120" w:before="240"/>
      </w:pPr>
      <w:bookmarkStart w:id="100022" w:name="_Toc100022"/>
      <w:r>
        <w:rPr>
          <w:rFonts w:ascii="SimHei" w:eastAsia="SimHei"/>
          <w:b/>
          <w:bCs/>
          <w:color w:val="4a5568"/>
          <w:sz w:val="24"/>
          <w:szCs w:val="24"/>
        </w:rPr>
        <w:t xml:space="preserve">Detection Gaps</w:t>
      </w:r>
      <w:bookmarkEnd w:id="100022"/>
    </w:p>
    <w:p>
      <w:pPr>
        <w:spacing w:after="120" w:line="312"/>
        <w:ind w:firstLine="480"/>
        <w:jc w:val="both"/>
      </w:pPr>
      <w:r>
        <w:rPr>
          <w:rFonts w:ascii="SimSun" w:eastAsia="SimSun"/>
          <w:color w:val="2d3748"/>
          <w:sz w:val="24"/>
          <w:szCs w:val="24"/>
        </w:rPr>
        <w:t xml:space="preserve">Many organizations lack comprehensive visibility into their attack surfaces. Common blind spots include encrypted traffic inspection limitations, shadow IT and unsanctioned cloud services, privileged account activity monitoring gaps, east-west traffic within data center segments, API security and microservices communications, and remote workforce activity outside corporate network perimeters. Without addressing these visibility gaps, even sophisticated detection platforms cannot identify threats operating in unmonitored spaces.</w:t>
      </w:r>
    </w:p>
    <w:p>
      <w:pPr>
        <w:pStyle w:val="Heading3"/>
        <w:spacing w:after="120" w:before="240"/>
      </w:pPr>
      <w:bookmarkStart w:id="100023" w:name="_Toc100023"/>
      <w:r>
        <w:rPr>
          <w:rFonts w:ascii="SimHei" w:eastAsia="SimHei"/>
          <w:b/>
          <w:bCs/>
          <w:color w:val="4a5568"/>
          <w:sz w:val="24"/>
          <w:szCs w:val="24"/>
        </w:rPr>
        <w:t xml:space="preserve">Response Gaps</w:t>
      </w:r>
      <w:bookmarkEnd w:id="100023"/>
    </w:p>
    <w:p>
      <w:pPr>
        <w:spacing w:after="120" w:line="312"/>
        <w:ind w:firstLine="480"/>
        <w:jc w:val="both"/>
      </w:pPr>
      <w:r>
        <w:rPr>
          <w:rFonts w:ascii="SimSun" w:eastAsia="SimSun"/>
          <w:color w:val="2d3748"/>
          <w:sz w:val="24"/>
          <w:szCs w:val="24"/>
        </w:rPr>
        <w:t xml:space="preserve">Incident response capabilities frequently lag behind detection investments. Organizations may identify suspicious activity but lack documented playbooks, trained responders, communication protocols, forensic preservation procedures, and executive decision frameworks necessary for effective response. The gap between detection and response capability creates windows of opportunity for adversaries to achieve objectives even after initial compromise is detected.</w:t>
      </w:r>
    </w:p>
    <w:p>
      <w:pPr>
        <w:pStyle w:val="Heading3"/>
        <w:spacing w:after="120" w:before="240"/>
      </w:pPr>
      <w:bookmarkStart w:id="100024" w:name="_Toc100024"/>
      <w:r>
        <w:rPr>
          <w:rFonts w:ascii="SimHei" w:eastAsia="SimHei"/>
          <w:b/>
          <w:bCs/>
          <w:color w:val="4a5568"/>
          <w:sz w:val="24"/>
          <w:szCs w:val="24"/>
        </w:rPr>
        <w:t xml:space="preserve">Intelligence Gaps</w:t>
      </w:r>
      <w:bookmarkEnd w:id="100024"/>
    </w:p>
    <w:p>
      <w:pPr>
        <w:spacing w:after="120" w:line="312"/>
        <w:ind w:firstLine="480"/>
        <w:jc w:val="both"/>
      </w:pPr>
      <w:r>
        <w:rPr>
          <w:rFonts w:ascii="SimSun" w:eastAsia="SimSun"/>
          <w:color w:val="2d3748"/>
          <w:sz w:val="24"/>
          <w:szCs w:val="24"/>
        </w:rPr>
        <w:t xml:space="preserve">Threat intelligence utilization often remains immature despite increased availability of commercial and open-source feeds. Common shortcomings include passive consumption without contextualization for local environment, failure to operationalize intelligence into detection rules or blocklists, lack of bidirectional sharing with peers and authorities, and insufficient analysis resources to produce original intelligence from observed incidents.</w:t>
      </w:r>
    </w:p>
    <w:p>
      <w:pPr>
        <w:pStyle w:val="Heading2"/>
        <w:spacing w:after="150" w:before="300"/>
      </w:pPr>
      <w:bookmarkStart w:id="100025" w:name="_Toc100025"/>
      <w:r>
        <w:rPr>
          <w:rFonts w:ascii="SimHei" w:eastAsia="SimHei"/>
          <w:b/>
          <w:bCs/>
          <w:color w:val="1a365d"/>
          <w:sz w:val="28"/>
          <w:szCs w:val="28"/>
        </w:rPr>
        <w:t xml:space="preserve">Benchmarking Against International Standards</w:t>
      </w:r>
      <w:bookmarkEnd w:id="100025"/>
    </w:p>
    <w:p>
      <w:pPr>
        <w:spacing w:after="120" w:line="312"/>
        <w:ind w:firstLine="480"/>
        <w:jc w:val="both"/>
      </w:pPr>
      <w:r>
        <w:rPr>
          <w:rFonts w:ascii="SimSun" w:eastAsia="SimSun"/>
          <w:color w:val="2d3748"/>
          <w:sz w:val="24"/>
          <w:szCs w:val="24"/>
        </w:rPr>
        <w:t xml:space="preserve">World-class SOCs demonstrate characteristics across people, process, and technology dimensions that inform target state definition. Benchmarking studies of leading national SOCs and major enterprise security operations reveal common patterns associated with operational excellence.</w:t>
      </w:r>
    </w:p>
    <w:p>
      <w:pPr>
        <w:spacing w:after="120" w:line="312"/>
        <w:ind w:firstLine="480"/>
        <w:jc w:val="both"/>
      </w:pPr>
      <w:r>
        <w:rPr>
          <w:rFonts w:ascii="SimSun" w:eastAsia="SimSun"/>
          <w:color w:val="2d3748"/>
          <w:sz w:val="24"/>
          <w:szCs w:val="24"/>
        </w:rPr>
        <w:t xml:space="preserve">Leading SOCs typically maintain analyst-to-alert ratios enabling thorough investigation rather than triage-only approaches. They invest heavily in automation to handle volume while preserving human attention for genuine threats. They cultivate deep specialization in specific threat categories while maintaining generalist capabilities for broad coverage. They measure everything and use data-driven approaches to continuous improvement. They integrate closely with business stakeholders, translating technical findings into risk-based recommendations. They maintain realistic acknowledgment that perfect prevention is impossible, focusing instead on rapid detection and effective response.</w:t>
      </w:r>
    </w:p>
    <w:p>
      <w:pPr>
        <w:pStyle w:val="Heading1"/>
        <w:spacing w:after="200" w:before="400"/>
      </w:pPr>
      <w:bookmarkStart w:id="100026" w:name="_Toc100026"/>
      <w:r>
        <w:rPr>
          <w:rFonts w:ascii="SimHei" w:eastAsia="SimHei"/>
          <w:b/>
          <w:bCs/>
          <w:color w:val="1a365d"/>
          <w:sz w:val="32"/>
          <w:szCs w:val="32"/>
        </w:rPr>
        <w:t xml:space="preserve">Target Architecture Framework</w:t>
      </w:r>
      <w:bookmarkEnd w:id="100026"/>
    </w:p>
    <w:p>
      <w:pPr>
        <w:pStyle w:val="Heading2"/>
        <w:spacing w:after="150" w:before="300"/>
      </w:pPr>
      <w:bookmarkStart w:id="100027" w:name="_Toc100027"/>
      <w:r>
        <w:rPr>
          <w:rFonts w:ascii="SimHei" w:eastAsia="SimHei"/>
          <w:b/>
          <w:bCs/>
          <w:color w:val="1a365d"/>
          <w:sz w:val="28"/>
          <w:szCs w:val="28"/>
        </w:rPr>
        <w:t xml:space="preserve">Architectural Principles</w:t>
      </w:r>
      <w:bookmarkEnd w:id="100027"/>
    </w:p>
    <w:p>
      <w:pPr>
        <w:spacing w:after="120" w:line="312"/>
        <w:ind w:firstLine="480"/>
        <w:jc w:val="both"/>
      </w:pPr>
      <w:r>
        <w:rPr>
          <w:rFonts w:ascii="SimSun" w:eastAsia="SimSun"/>
          <w:color w:val="2d3748"/>
          <w:sz w:val="24"/>
          <w:szCs w:val="24"/>
        </w:rPr>
        <w:t xml:space="preserve">The National SOC architecture adheres to foundational principles ensuring scalability, resilience, security, and operational effectiveness. These principles guide all technology selection, integration design, and operational procedure development.</w:t>
      </w:r>
    </w:p>
    <w:p>
      <w:pPr>
        <w:pStyle w:val="Heading3"/>
        <w:spacing w:after="120" w:before="240"/>
      </w:pPr>
      <w:bookmarkStart w:id="100028" w:name="_Toc100028"/>
      <w:r>
        <w:rPr>
          <w:rFonts w:ascii="SimHei" w:eastAsia="SimHei"/>
          <w:b/>
          <w:bCs/>
          <w:color w:val="4a5568"/>
          <w:sz w:val="24"/>
          <w:szCs w:val="24"/>
        </w:rPr>
        <w:t xml:space="preserve">Defense in Depth</w:t>
      </w:r>
      <w:bookmarkEnd w:id="100028"/>
    </w:p>
    <w:p>
      <w:pPr>
        <w:spacing w:after="120" w:line="312"/>
        <w:ind w:firstLine="480"/>
        <w:jc w:val="both"/>
      </w:pPr>
      <w:r>
        <w:rPr>
          <w:rFonts w:ascii="SimSun" w:eastAsia="SimSun"/>
          <w:color w:val="2d3748"/>
          <w:sz w:val="24"/>
          <w:szCs w:val="24"/>
        </w:rPr>
        <w:t xml:space="preserve">No single control provides sufficient protection. The architecture implements multiple overlapping detection and prevention layers such that compromise of any single control does not result in undetected attacker activity. Network detection complements endpoint detection which complements identity monitoring which complements data loss prevention. Each layer operates independently while contributing correlated signals to centralized analysis.</w:t>
      </w:r>
    </w:p>
    <w:p>
      <w:pPr>
        <w:pStyle w:val="Heading3"/>
        <w:spacing w:after="120" w:before="240"/>
      </w:pPr>
      <w:bookmarkStart w:id="100029" w:name="_Toc100029"/>
      <w:r>
        <w:rPr>
          <w:rFonts w:ascii="SimHei" w:eastAsia="SimHei"/>
          <w:b/>
          <w:bCs/>
          <w:color w:val="4a5568"/>
          <w:sz w:val="24"/>
          <w:szCs w:val="24"/>
        </w:rPr>
        <w:t xml:space="preserve">Zero Trust Foundation</w:t>
      </w:r>
      <w:bookmarkEnd w:id="100029"/>
    </w:p>
    <w:p>
      <w:pPr>
        <w:spacing w:after="120" w:line="312"/>
        <w:ind w:firstLine="480"/>
        <w:jc w:val="both"/>
      </w:pPr>
      <w:r>
        <w:rPr>
          <w:rFonts w:ascii="SimSun" w:eastAsia="SimSun"/>
          <w:color w:val="2d3748"/>
          <w:sz w:val="24"/>
          <w:szCs w:val="24"/>
        </w:rPr>
        <w:t xml:space="preserve">The architecture assumes no implicit trust based on network location, asset ownership, or prior authentication. Every access request is verified against current policy, every transaction is logged for analysis, and least privilege is enforced rigorously. This principle applies internally to SOC systems themselves as well as to monitored environments. The SOC platform must demonstrate the security posture expected of defended organizations.</w:t>
      </w:r>
    </w:p>
    <w:p>
      <w:pPr>
        <w:pStyle w:val="Heading3"/>
        <w:spacing w:after="120" w:before="240"/>
      </w:pPr>
      <w:bookmarkStart w:id="100030" w:name="_Toc100030"/>
      <w:r>
        <w:rPr>
          <w:rFonts w:ascii="SimHei" w:eastAsia="SimHei"/>
          <w:b/>
          <w:bCs/>
          <w:color w:val="4a5568"/>
          <w:sz w:val="24"/>
          <w:szCs w:val="24"/>
        </w:rPr>
        <w:t xml:space="preserve">Cloud-Native Design</w:t>
      </w:r>
      <w:bookmarkEnd w:id="100030"/>
    </w:p>
    <w:p>
      <w:pPr>
        <w:spacing w:after="120" w:line="312"/>
        <w:ind w:firstLine="480"/>
        <w:jc w:val="both"/>
      </w:pPr>
      <w:r>
        <w:rPr>
          <w:rFonts w:ascii="SimSun" w:eastAsia="SimSun"/>
          <w:color w:val="2d3748"/>
          <w:sz w:val="24"/>
          <w:szCs w:val="24"/>
        </w:rPr>
        <w:t xml:space="preserve">While supporting hybrid deployment requirements for certain components, the architecture favors cloud-native designs offering elasticity, managed operations, and rapid feature adoption. Containerized workloads orchestrate via Kubernetes enable consistent deployment across environments. API-first designs facilitate integration extensibility. Managed services reduce operational burden where appropriate while maintaining required control visibility.</w:t>
      </w:r>
    </w:p>
    <w:p>
      <w:pPr>
        <w:pStyle w:val="Heading3"/>
        <w:spacing w:after="120" w:before="240"/>
      </w:pPr>
      <w:bookmarkStart w:id="100031" w:name="_Toc100031"/>
      <w:r>
        <w:rPr>
          <w:rFonts w:ascii="SimHei" w:eastAsia="SimHei"/>
          <w:b/>
          <w:bCs/>
          <w:color w:val="4a5568"/>
          <w:sz w:val="24"/>
          <w:szCs w:val="24"/>
        </w:rPr>
        <w:t xml:space="preserve">Data-Centric Security</w:t>
      </w:r>
      <w:bookmarkEnd w:id="100031"/>
    </w:p>
    <w:p>
      <w:pPr>
        <w:spacing w:after="120" w:line="312"/>
        <w:ind w:firstLine="480"/>
        <w:jc w:val="both"/>
      </w:pPr>
      <w:r>
        <w:rPr>
          <w:rFonts w:ascii="SimSun" w:eastAsia="SimSun"/>
          <w:color w:val="2d3748"/>
          <w:sz w:val="24"/>
          <w:szCs w:val="24"/>
        </w:rPr>
        <w:t xml:space="preserve">Security controls focus on protecting data regardless of location or transport. Encryption protects data at rest and in transit. Data classification enables appropriate handling based on sensitivity. Data loss prevention monitors for unauthorized exfiltration. Privacy-preserving techniques enable cross-organizational analysis without exposing sensitive raw data. The architecture treats data as the primary asset requiring protection throughout its lifecycle.</w:t>
      </w:r>
    </w:p>
    <w:p>
      <w:pPr>
        <w:pStyle w:val="Heading2"/>
        <w:spacing w:after="150" w:before="300"/>
      </w:pPr>
      <w:bookmarkStart w:id="100032" w:name="_Toc100032"/>
      <w:r>
        <w:rPr>
          <w:rFonts w:ascii="SimHei" w:eastAsia="SimHei"/>
          <w:b/>
          <w:bCs/>
          <w:color w:val="1a365d"/>
          <w:sz w:val="28"/>
          <w:szCs w:val="28"/>
        </w:rPr>
        <w:t xml:space="preserve">Logical Architecture Layers</w:t>
      </w:r>
      <w:bookmarkEnd w:id="100032"/>
    </w:p>
    <w:p>
      <w:pPr>
        <w:spacing w:after="120" w:line="312"/>
        <w:ind w:firstLine="480"/>
        <w:jc w:val="both"/>
      </w:pPr>
      <w:r>
        <w:rPr>
          <w:rFonts w:ascii="SimSun" w:eastAsia="SimSun"/>
          <w:color w:val="2d3748"/>
          <w:sz w:val="24"/>
          <w:szCs w:val="24"/>
        </w:rPr>
        <w:t xml:space="preserve">The SOC platform comprises distinct functional layers, each with specific responsibilities and interfaces. Understanding these layers clarifies component placement, data flows, and integration points.</w:t>
      </w:r>
    </w:p>
    <w:p>
      <w:pPr>
        <w:pStyle w:val="Heading3"/>
        <w:spacing w:after="120" w:before="240"/>
      </w:pPr>
      <w:bookmarkStart w:id="100033" w:name="_Toc100033"/>
      <w:r>
        <w:rPr>
          <w:rFonts w:ascii="SimHei" w:eastAsia="SimHei"/>
          <w:b/>
          <w:bCs/>
          <w:color w:val="4a5568"/>
          <w:sz w:val="24"/>
          <w:szCs w:val="24"/>
        </w:rPr>
        <w:t xml:space="preserve">Layer 1: Data Collection &amp; Ingestion</w:t>
      </w:r>
      <w:bookmarkEnd w:id="100033"/>
    </w:p>
    <w:p>
      <w:pPr>
        <w:spacing w:after="120" w:line="312"/>
        <w:ind w:firstLine="480"/>
        <w:jc w:val="both"/>
      </w:pPr>
      <w:r>
        <w:rPr>
          <w:rFonts w:ascii="SimSun" w:eastAsia="SimSun"/>
          <w:color w:val="2d3748"/>
          <w:sz w:val="24"/>
          <w:szCs w:val="24"/>
        </w:rPr>
        <w:t xml:space="preserve">The foundation layer collects security-relevant data from diverse sources across monitored environments. Log collection agents deployed on endpoints, servers, and network devices transmit events to centralized collectors. Network packet capture sensors provide full packet or metadata streams for network-based detection. API integrations pull data from cloud services, identity providers, email systems, and other platforms with accessible telemetry. Vulnerability scanners, asset discovery tools, and configuration assessment systems provide context about the defended environment. This layer must handle massive throughput (targeting millions of events per second at scale) while maintaining data fidelity and timely delivery.</w:t>
      </w:r>
    </w:p>
    <w:p>
      <w:pPr>
        <w:pStyle w:val="Heading3"/>
        <w:spacing w:after="120" w:before="240"/>
      </w:pPr>
      <w:bookmarkStart w:id="100034" w:name="_Toc100034"/>
      <w:r>
        <w:rPr>
          <w:rFonts w:ascii="SimHei" w:eastAsia="SimHei"/>
          <w:b/>
          <w:bCs/>
          <w:color w:val="4a5568"/>
          <w:sz w:val="24"/>
          <w:szCs w:val="24"/>
        </w:rPr>
        <w:t xml:space="preserve">Layer 2: Processing &amp; Normalization</w:t>
      </w:r>
      <w:bookmarkEnd w:id="100034"/>
    </w:p>
    <w:p>
      <w:pPr>
        <w:spacing w:after="120" w:line="312"/>
        <w:ind w:firstLine="480"/>
        <w:jc w:val="both"/>
      </w:pPr>
      <w:r>
        <w:rPr>
          <w:rFonts w:ascii="SimSun" w:eastAsia="SimSun"/>
          <w:color w:val="2d3748"/>
          <w:sz w:val="24"/>
          <w:szCs w:val="24"/>
        </w:rPr>
        <w:t xml:space="preserve">Raw collected data requires transformation before analysis. Parsing extracts structured fields from heterogeneous log formats. Normalization maps vendor-specific fields to common schemas enabling cross-source correlation. Enrichment adds context from asset inventories, threat intelligence, user directories, and geolocation databases. Deduplication eliminates redundant events from overlapping collection sources. Quality validation flags malformed or suspicious data for review. This layer transforms raw data into analysis-ready information.</w:t>
      </w:r>
    </w:p>
    <w:p>
      <w:pPr>
        <w:pStyle w:val="Heading3"/>
        <w:spacing w:after="120" w:before="240"/>
      </w:pPr>
      <w:bookmarkStart w:id="100035" w:name="_Toc100035"/>
      <w:r>
        <w:rPr>
          <w:rFonts w:ascii="SimHei" w:eastAsia="SimHei"/>
          <w:b/>
          <w:bCs/>
          <w:color w:val="4a5568"/>
          <w:sz w:val="24"/>
          <w:szCs w:val="24"/>
        </w:rPr>
        <w:t xml:space="preserve">Layer 3: Storage &amp; Retention</w:t>
      </w:r>
      <w:bookmarkEnd w:id="100035"/>
    </w:p>
    <w:p>
      <w:pPr>
        <w:spacing w:after="120" w:line="312"/>
        <w:ind w:firstLine="480"/>
        <w:jc w:val="both"/>
      </w:pPr>
      <w:r>
        <w:rPr>
          <w:rFonts w:ascii="SimSun" w:eastAsia="SimSun"/>
          <w:color w:val="2d3748"/>
          <w:sz w:val="24"/>
          <w:szCs w:val="24"/>
        </w:rPr>
        <w:t xml:space="preserve">Processed data requires storage optimized for different access patterns. Hot storage (days to weeks) supports real-time dashboards, active investigations, and rapid search. Warm storage (months) supports trending analysis, hunting queries, and compliance reporting. Cold storage (years) supports historical analysis, legal hold requirements, and long-term retention policies. The storage architecture must balance query performance, retention duration, and cost efficiency while maintaining data integrity and access controls.</w:t>
      </w:r>
    </w:p>
    <w:p>
      <w:pPr>
        <w:pStyle w:val="Heading3"/>
        <w:spacing w:after="120" w:before="240"/>
      </w:pPr>
      <w:bookmarkStart w:id="100036" w:name="_Toc100036"/>
      <w:r>
        <w:rPr>
          <w:rFonts w:ascii="SimHei" w:eastAsia="SimHei"/>
          <w:b/>
          <w:bCs/>
          <w:color w:val="4a5568"/>
          <w:sz w:val="24"/>
          <w:szCs w:val="24"/>
        </w:rPr>
        <w:t xml:space="preserve">Layer 4: Analysis &amp; Detection</w:t>
      </w:r>
      <w:bookmarkEnd w:id="100036"/>
    </w:p>
    <w:p>
      <w:pPr>
        <w:spacing w:after="120" w:line="312"/>
        <w:ind w:firstLine="480"/>
        <w:jc w:val="both"/>
      </w:pPr>
      <w:r>
        <w:rPr>
          <w:rFonts w:ascii="SimSun" w:eastAsia="SimSun"/>
          <w:color w:val="2d3748"/>
          <w:sz w:val="24"/>
          <w:szCs w:val="24"/>
        </w:rPr>
        <w:t xml:space="preserve">The analytical engine applies various detection methodologies to stored and streaming data. Rule-based detection matches known bad patterns (signatures, indicators of compromise). Behavioral analytics establish baselines and identify anomalies deviating from normal patterns. Machine learning models classify events, score risk, and predict threats. Correlation engines relate events across sources and time to identify multi-stage attacks. Threat intelligence matching identifies known malicious indicators. User and Entity Behavior Analytics (UEBA) detects insider threats and compromised accounts through behavior modeling. This layer generates alerts for analyst review and automated response triggers.</w:t>
      </w:r>
    </w:p>
    <w:p>
      <w:pPr>
        <w:pStyle w:val="Heading3"/>
        <w:spacing w:after="120" w:before="240"/>
      </w:pPr>
      <w:bookmarkStart w:id="100037" w:name="_Toc100037"/>
      <w:r>
        <w:rPr>
          <w:rFonts w:ascii="SimHei" w:eastAsia="SimHei"/>
          <w:b/>
          <w:bCs/>
          <w:color w:val="4a5568"/>
          <w:sz w:val="24"/>
          <w:szCs w:val="24"/>
        </w:rPr>
        <w:t xml:space="preserve">Layer 5: Orchestration &amp; Response</w:t>
      </w:r>
      <w:bookmarkEnd w:id="100037"/>
    </w:p>
    <w:p>
      <w:pPr>
        <w:spacing w:after="120" w:line="312"/>
        <w:ind w:firstLine="480"/>
        <w:jc w:val="both"/>
      </w:pPr>
      <w:r>
        <w:rPr>
          <w:rFonts w:ascii="SimSun" w:eastAsia="SimSun"/>
          <w:color w:val="2d3748"/>
          <w:sz w:val="24"/>
          <w:szCs w:val="24"/>
        </w:rPr>
        <w:t xml:space="preserve">Detected threats require coordinated response actions. SOAR (Security Orchestration, Automation, and Response) platforms execute playbooks defining response procedures. Automated actions include ticket creation, user notification, account disablement, firewall blocking, endpoint isolation, and threat intelligence submission. Human tasks route to appropriate analysts with context and guidance. Case management tracks incident progression from detection through resolution. Communication templates ensure consistent stakeholder reporting. Post-incident workflows capture lessons learned for playbook improvement.</w:t>
      </w:r>
    </w:p>
    <w:p>
      <w:pPr>
        <w:pStyle w:val="Heading3"/>
        <w:spacing w:after="120" w:before="240"/>
      </w:pPr>
      <w:bookmarkStart w:id="100038" w:name="_Toc100038"/>
      <w:r>
        <w:rPr>
          <w:rFonts w:ascii="SimHei" w:eastAsia="SimHei"/>
          <w:b/>
          <w:bCs/>
          <w:color w:val="4a5568"/>
          <w:sz w:val="24"/>
          <w:szCs w:val="24"/>
        </w:rPr>
        <w:t xml:space="preserve">Layer 6: Presentation &amp; Reporting</w:t>
      </w:r>
      <w:bookmarkEnd w:id="100038"/>
    </w:p>
    <w:p>
      <w:pPr>
        <w:spacing w:after="120" w:line="312"/>
        <w:ind w:firstLine="480"/>
        <w:jc w:val="both"/>
      </w:pPr>
      <w:r>
        <w:rPr>
          <w:rFonts w:ascii="SimSun" w:eastAsia="SimSun"/>
          <w:color w:val="2d3748"/>
          <w:sz w:val="24"/>
          <w:szCs w:val="24"/>
        </w:rPr>
        <w:t xml:space="preserve">Information must be consumable by different audiences. Operational dashboards provide real-time situational awareness for analysts. Executive dashboards aggregate metrics for leadership visibility. Compliance reports satisfy regulatory and audit requirements. Custom reports address specific investigative or analytical needs. Alert consoles present prioritized work items for analyst triage. Investigation workbenches support deep-dive analysis with linked data visualization. All presentation layers enforce appropriate access controls and audit logging.</w:t>
      </w:r>
    </w:p>
    <w:p>
      <w:pPr>
        <w:pStyle w:val="Heading2"/>
        <w:spacing w:after="150" w:before="300"/>
      </w:pPr>
      <w:bookmarkStart w:id="100039" w:name="_Toc100039"/>
      <w:r>
        <w:rPr>
          <w:rFonts w:ascii="SimHei" w:eastAsia="SimHei"/>
          <w:b/>
          <w:bCs/>
          <w:color w:val="1a365d"/>
          <w:sz w:val="28"/>
          <w:szCs w:val="28"/>
        </w:rPr>
        <w:t xml:space="preserve">Integration Architecture</w:t>
      </w:r>
      <w:bookmarkEnd w:id="100039"/>
    </w:p>
    <w:p>
      <w:pPr>
        <w:spacing w:after="120" w:line="312"/>
        <w:ind w:firstLine="480"/>
        <w:jc w:val="both"/>
      </w:pPr>
      <w:r>
        <w:rPr>
          <w:rFonts w:ascii="SimSun" w:eastAsia="SimSun"/>
          <w:color w:val="2d3748"/>
          <w:sz w:val="24"/>
          <w:szCs w:val="24"/>
        </w:rPr>
        <w:t xml:space="preserve">Component integration follows hub-and-spoke patterns with the SIEM/SOC platform serving as the central hub. Native integrations leverage vendor-supported connectors for common platforms. Custom integrations handle organization-specific systems through API development. Integration middleware handles protocol translation, data transformation, and error handling. Message queues buffer high-volume data streams and enable asynchronous processing. Webhook callbacks enable real-time alerting to external systems. All integrations authenticate securely, log activity, and handle failures gracefully.</w:t>
      </w:r>
    </w:p>
    <w:p>
      <w:pPr>
        <w:pStyle w:val="Heading1"/>
        <w:spacing w:after="200" w:before="400"/>
      </w:pPr>
      <w:bookmarkStart w:id="100040" w:name="_Toc100040"/>
      <w:r>
        <w:rPr>
          <w:rFonts w:ascii="SimHei" w:eastAsia="SimHei"/>
          <w:b/>
          <w:bCs/>
          <w:color w:val="1a365d"/>
          <w:sz w:val="32"/>
          <w:szCs w:val="32"/>
        </w:rPr>
        <w:t xml:space="preserve">Technology Stack &amp; Platform Selection</w:t>
      </w:r>
      <w:bookmarkEnd w:id="100040"/>
    </w:p>
    <w:p>
      <w:pPr>
        <w:pStyle w:val="Heading2"/>
        <w:spacing w:after="150" w:before="300"/>
      </w:pPr>
      <w:bookmarkStart w:id="100041" w:name="_Toc100041"/>
      <w:r>
        <w:rPr>
          <w:rFonts w:ascii="SimHei" w:eastAsia="SimHei"/>
          <w:b/>
          <w:bCs/>
          <w:color w:val="1a365d"/>
          <w:sz w:val="28"/>
          <w:szCs w:val="28"/>
        </w:rPr>
        <w:t xml:space="preserve">Platform Evaluation Methodology</w:t>
      </w:r>
      <w:bookmarkEnd w:id="100041"/>
    </w:p>
    <w:p>
      <w:pPr>
        <w:spacing w:after="120" w:line="312"/>
        <w:ind w:firstLine="480"/>
        <w:jc w:val="both"/>
      </w:pPr>
      <w:r>
        <w:rPr>
          <w:rFonts w:ascii="SimSun" w:eastAsia="SimSun"/>
          <w:color w:val="2d3748"/>
          <w:sz w:val="24"/>
          <w:szCs w:val="24"/>
        </w:rPr>
        <w:t xml:space="preserve">Technology selection for the National SOC follows rigorous evaluation methodology balancing functional capability, operational fit, total cost of ownership, vendor viability, and strategic alignment. Each platform category undergoes structured assessment against weighted criteria reflecting national priorities and operational requirements.</w:t>
      </w:r>
    </w:p>
    <w:p>
      <w:pPr>
        <w:spacing w:after="120" w:line="312"/>
        <w:ind w:firstLine="480"/>
        <w:jc w:val="both"/>
      </w:pPr>
      <w:r>
        <w:rPr>
          <w:rFonts w:ascii="SimSun" w:eastAsia="SimSun"/>
          <w:color w:val="2d3748"/>
          <w:sz w:val="24"/>
          <w:szCs w:val="24"/>
        </w:rPr>
        <w:t xml:space="preserve">Evaluation criteria span multiple dimensions. Functional completeness assesses coverage of required capabilities against documented requirements. Integration capability evaluates native connector availability, API quality, and interoperability with other stack components. Scalability validates performance at projected data volumes and concurrent user counts. Security posture examines vendor's own security practices, certification status, and vulnerability disclosure responsiveness. TCO analysis projects five-year costs including licensing, infrastructure, personnel, and support. Vendor viability considers financial stability, market position, product roadmap, and geographic presence. Reference validation contacts existing customers at comparable scale deployments.</w:t>
      </w:r>
    </w:p>
    <w:p>
      <w:pPr>
        <w:pStyle w:val="Heading2"/>
        <w:spacing w:after="150" w:before="300"/>
      </w:pPr>
      <w:bookmarkStart w:id="100042" w:name="_Toc100042"/>
      <w:r>
        <w:rPr>
          <w:rFonts w:ascii="SimHei" w:eastAsia="SimHei"/>
          <w:b/>
          <w:bCs/>
          <w:color w:val="1a365d"/>
          <w:sz w:val="28"/>
          <w:szCs w:val="28"/>
        </w:rPr>
        <w:t xml:space="preserve">SIEM Platform Comparison</w:t>
      </w:r>
      <w:bookmarkEnd w:id="100042"/>
    </w:p>
    <w:p>
      <w:pPr>
        <w:spacing w:after="120" w:line="312"/>
        <w:ind w:firstLine="480"/>
        <w:jc w:val="both"/>
      </w:pPr>
      <w:r>
        <w:rPr>
          <w:rFonts w:ascii="SimSun" w:eastAsia="SimSun"/>
          <w:color w:val="2d3748"/>
          <w:sz w:val="24"/>
          <w:szCs w:val="24"/>
        </w:rPr>
        <w:t xml:space="preserve">Security Information and Event Management forms the analytical backbone of the SOC platform. Leading options evaluated for national-scale deployment include the following solutions, each with distinct strengths suited to different priorities.</w:t>
      </w:r>
    </w:p>
    <w:tbl>
      <w:tblPr>
        <w:tblW w:type="pct" w:w="100%"/>
        <w:tblBorders>
          <w:top w:val="single" w:color="CBD5E0" w:sz="1"/>
          <w:left w:val="single" w:color="CBD5E0" w:sz="1"/>
          <w:bottom w:val="single" w:color="CBD5E0" w:sz="1"/>
          <w:right w:val="single" w:color="CBD5E0" w:sz="1"/>
          <w:insideH w:val="single" w:color="E2E8F0" w:sz="1"/>
          <w:insideV w:val="single" w:color="E2E8F0" w:sz="1"/>
        </w:tblBorders>
      </w:tblPr>
      <w:tblGrid>
        <w:gridCol w:w="100"/>
        <w:gridCol w:w="100"/>
        <w:gridCol w:w="100"/>
        <w:gridCol w:w="100"/>
      </w:tblGrid>
      <w:tr>
        <w:trPr>
          <w:cantSplit/>
          <w:tblHeader/>
        </w:trPr>
        <w:tc>
          <w:tcPr>
            <w:tcW w:type="pct" w:w="22%"/>
            <w:shd w:fill="1a365d" w:val="clear"/>
            <w:tcMar>
              <w:top w:type="dxa" w:w="80"/>
              <w:left w:type="dxa" w:w="120"/>
              <w:bottom w:type="dxa" w:w="80"/>
              <w:right w:type="dxa" w:w="120"/>
            </w:tcMar>
          </w:tcPr>
          <w:p>
            <w:pPr>
              <w:jc w:val="center"/>
            </w:pPr>
            <w:r>
              <w:rPr>
                <w:rFonts w:ascii="SimHei" w:eastAsia="SimHei"/>
                <w:b/>
                <w:bCs/>
                <w:color w:val="FFFFFF"/>
                <w:sz w:val="21"/>
                <w:szCs w:val="21"/>
              </w:rPr>
              <w:t xml:space="preserve">Platform</w:t>
            </w:r>
          </w:p>
        </w:tc>
        <w:tc>
          <w:tcPr>
            <w:tcW w:type="pct" w:w="30%"/>
            <w:shd w:fill="1a365d" w:val="clear"/>
            <w:tcMar>
              <w:top w:type="dxa" w:w="80"/>
              <w:left w:type="dxa" w:w="120"/>
              <w:bottom w:type="dxa" w:w="80"/>
              <w:right w:type="dxa" w:w="120"/>
            </w:tcMar>
          </w:tcPr>
          <w:p>
            <w:pPr>
              <w:jc w:val="center"/>
            </w:pPr>
            <w:r>
              <w:rPr>
                <w:rFonts w:ascii="SimHei" w:eastAsia="SimHei"/>
                <w:b/>
                <w:bCs/>
                <w:color w:val="FFFFFF"/>
                <w:sz w:val="21"/>
                <w:szCs w:val="21"/>
              </w:rPr>
              <w:t xml:space="preserve">Strengths</w:t>
            </w:r>
          </w:p>
        </w:tc>
        <w:tc>
          <w:tcPr>
            <w:tcW w:type="pct" w:w="28%"/>
            <w:shd w:fill="1a365d" w:val="clear"/>
            <w:tcMar>
              <w:top w:type="dxa" w:w="80"/>
              <w:left w:type="dxa" w:w="120"/>
              <w:bottom w:type="dxa" w:w="80"/>
              <w:right w:type="dxa" w:w="120"/>
            </w:tcMar>
          </w:tcPr>
          <w:p>
            <w:pPr>
              <w:jc w:val="center"/>
            </w:pPr>
            <w:r>
              <w:rPr>
                <w:rFonts w:ascii="SimHei" w:eastAsia="SimHei"/>
                <w:b/>
                <w:bCs/>
                <w:color w:val="FFFFFF"/>
                <w:sz w:val="21"/>
                <w:szCs w:val="21"/>
              </w:rPr>
              <w:t xml:space="preserve">Considerations</w:t>
            </w:r>
          </w:p>
        </w:tc>
        <w:tc>
          <w:tcPr>
            <w:tcW w:type="pct" w:w="20%"/>
            <w:shd w:fill="1a365d" w:val="clear"/>
            <w:tcMar>
              <w:top w:type="dxa" w:w="80"/>
              <w:left w:type="dxa" w:w="120"/>
              <w:bottom w:type="dxa" w:w="80"/>
              <w:right w:type="dxa" w:w="120"/>
            </w:tcMar>
          </w:tcPr>
          <w:p>
            <w:pPr>
              <w:jc w:val="center"/>
            </w:pPr>
            <w:r>
              <w:rPr>
                <w:rFonts w:ascii="SimHei" w:eastAsia="SimHei"/>
                <w:b/>
                <w:bCs/>
                <w:color w:val="FFFFFF"/>
                <w:sz w:val="21"/>
                <w:szCs w:val="21"/>
              </w:rPr>
              <w:t xml:space="preserve">Best Fit</w:t>
            </w:r>
          </w:p>
        </w:tc>
      </w:tr>
      <w:tr>
        <w:trPr>
          <w:cantSplit/>
        </w:trPr>
        <w:tc>
          <w:tcPr>
            <w:tcW w:type="pct" w:w="22%"/>
            <w:tcMar>
              <w:top w:type="dxa" w:w="60"/>
              <w:left w:type="dxa" w:w="100"/>
              <w:bottom w:type="dxa" w:w="60"/>
              <w:right w:type="dxa" w:w="100"/>
            </w:tcMar>
          </w:tcPr>
          <w:p>
            <w:r>
              <w:rPr>
                <w:rFonts w:ascii="SimSun" w:eastAsia="SimSun"/>
                <w:color w:val="2d3748"/>
                <w:sz w:val="21"/>
                <w:szCs w:val="21"/>
              </w:rPr>
              <w:t xml:space="preserve">Splunk Enterprise Security</w:t>
            </w:r>
          </w:p>
        </w:tc>
        <w:tc>
          <w:tcPr>
            <w:tcW w:type="pct" w:w="30%"/>
            <w:tcMar>
              <w:top w:type="dxa" w:w="60"/>
              <w:left w:type="dxa" w:w="100"/>
              <w:bottom w:type="dxa" w:w="60"/>
              <w:right w:type="dxa" w:w="100"/>
            </w:tcMar>
          </w:tcPr>
          <w:p>
            <w:r>
              <w:rPr>
                <w:rFonts w:ascii="SimSun" w:eastAsia="SimSun"/>
                <w:color w:val="2d3748"/>
                <w:sz w:val="21"/>
                <w:szCs w:val="21"/>
              </w:rPr>
              <w:t xml:space="preserve">Mature platform, powerful SPL language, extensive marketplace, proven at petabyte scale</w:t>
            </w:r>
          </w:p>
        </w:tc>
        <w:tc>
          <w:tcPr>
            <w:tcW w:type="pct" w:w="28%"/>
            <w:tcMar>
              <w:top w:type="dxa" w:w="60"/>
              <w:left w:type="dxa" w:w="100"/>
              <w:bottom w:type="dxa" w:w="60"/>
              <w:right w:type="dxa" w:w="100"/>
            </w:tcMar>
          </w:tcPr>
          <w:p>
            <w:r>
              <w:rPr>
                <w:rFonts w:ascii="SimSun" w:eastAsia="SimSun"/>
                <w:color w:val="2d3748"/>
                <w:sz w:val="21"/>
                <w:szCs w:val="21"/>
              </w:rPr>
              <w:t xml:space="preserve">Higher TCO, requires significant expertise, resource-intensive</w:t>
            </w:r>
          </w:p>
        </w:tc>
        <w:tc>
          <w:tcPr>
            <w:tcW w:type="pct" w:w="20%"/>
            <w:tcMar>
              <w:top w:type="dxa" w:w="60"/>
              <w:left w:type="dxa" w:w="100"/>
              <w:bottom w:type="dxa" w:w="60"/>
              <w:right w:type="dxa" w:w="100"/>
            </w:tcMar>
          </w:tcPr>
          <w:p>
            <w:r>
              <w:rPr>
                <w:rFonts w:ascii="SimSun" w:eastAsia="SimSun"/>
                <w:color w:val="2d3748"/>
                <w:sz w:val="21"/>
                <w:szCs w:val="21"/>
              </w:rPr>
              <w:t xml:space="preserve">Complex environments needing maximum flexibility</w:t>
            </w:r>
          </w:p>
        </w:tc>
      </w:tr>
      <w:tr>
        <w:trPr>
          <w:cantSplit/>
        </w:trPr>
        <w:tc>
          <w:tcPr>
            <w:tcW w:type="pct" w:w="22%"/>
            <w:tcMar>
              <w:top w:type="dxa" w:w="60"/>
              <w:left w:type="dxa" w:w="100"/>
              <w:bottom w:type="dxa" w:w="60"/>
              <w:right w:type="dxa" w:w="100"/>
            </w:tcMar>
          </w:tcPr>
          <w:p>
            <w:r>
              <w:rPr>
                <w:rFonts w:ascii="SimSun" w:eastAsia="SimSun"/>
                <w:color w:val="2d3748"/>
                <w:sz w:val="21"/>
                <w:szCs w:val="21"/>
              </w:rPr>
              <w:t xml:space="preserve">Microsoft Sentinel</w:t>
            </w:r>
          </w:p>
        </w:tc>
        <w:tc>
          <w:tcPr>
            <w:tcW w:type="pct" w:w="30%"/>
            <w:tcMar>
              <w:top w:type="dxa" w:w="60"/>
              <w:left w:type="dxa" w:w="100"/>
              <w:bottom w:type="dxa" w:w="60"/>
              <w:right w:type="dxa" w:w="100"/>
            </w:tcMar>
          </w:tcPr>
          <w:p>
            <w:r>
              <w:rPr>
                <w:rFonts w:ascii="SimSun" w:eastAsia="SimSun"/>
                <w:color w:val="2d3748"/>
                <w:sz w:val="21"/>
                <w:szCs w:val="21"/>
              </w:rPr>
              <w:t xml:space="preserve">Native cloud, excellent Microsoft ecosystem integration, KQL querying, strong UEBA, cost-effective at scale</w:t>
            </w:r>
          </w:p>
        </w:tc>
        <w:tc>
          <w:tcPr>
            <w:tcW w:type="pct" w:w="28%"/>
            <w:tcMar>
              <w:top w:type="dxa" w:w="60"/>
              <w:left w:type="dxa" w:w="100"/>
              <w:bottom w:type="dxa" w:w="60"/>
              <w:right w:type="dxa" w:w="100"/>
            </w:tcMar>
          </w:tcPr>
          <w:p>
            <w:r>
              <w:rPr>
                <w:rFonts w:ascii="SimSun" w:eastAsia="SimSun"/>
                <w:color w:val="2d3748"/>
                <w:sz w:val="21"/>
                <w:szCs w:val="21"/>
              </w:rPr>
              <w:t xml:space="preserve">Azure-centric, some advanced features require add-ons</w:t>
            </w:r>
          </w:p>
        </w:tc>
        <w:tc>
          <w:tcPr>
            <w:tcW w:type="pct" w:w="20%"/>
            <w:tcMar>
              <w:top w:type="dxa" w:w="60"/>
              <w:left w:type="dxa" w:w="100"/>
              <w:bottom w:type="dxa" w:w="60"/>
              <w:right w:type="dxa" w:w="100"/>
            </w:tcMar>
          </w:tcPr>
          <w:p>
            <w:r>
              <w:rPr>
                <w:rFonts w:ascii="SimSun" w:eastAsia="SimSun"/>
                <w:color w:val="2d3748"/>
                <w:sz w:val="21"/>
                <w:szCs w:val="21"/>
              </w:rPr>
              <w:t xml:space="preserve">Organizations heavily invested in Microsoft/Azure</w:t>
            </w:r>
          </w:p>
        </w:tc>
      </w:tr>
      <w:tr>
        <w:trPr>
          <w:cantSplit/>
        </w:trPr>
        <w:tc>
          <w:tcPr>
            <w:tcW w:type="pct" w:w="22%"/>
            <w:tcMar>
              <w:top w:type="dxa" w:w="60"/>
              <w:left w:type="dxa" w:w="100"/>
              <w:bottom w:type="dxa" w:w="60"/>
              <w:right w:type="dxa" w:w="100"/>
            </w:tcMar>
          </w:tcPr>
          <w:p>
            <w:r>
              <w:rPr>
                <w:rFonts w:ascii="SimSun" w:eastAsia="SimSun"/>
                <w:color w:val="2d3748"/>
                <w:sz w:val="21"/>
                <w:szCs w:val="21"/>
              </w:rPr>
              <w:t xml:space="preserve">Google SecOps (Chronicle)</w:t>
            </w:r>
          </w:p>
        </w:tc>
        <w:tc>
          <w:tcPr>
            <w:tcW w:type="pct" w:w="30%"/>
            <w:tcMar>
              <w:top w:type="dxa" w:w="60"/>
              <w:left w:type="dxa" w:w="100"/>
              <w:bottom w:type="dxa" w:w="60"/>
              <w:right w:type="dxa" w:w="100"/>
            </w:tcMar>
          </w:tcPr>
          <w:p>
            <w:r>
              <w:rPr>
                <w:rFonts w:ascii="SimSun" w:eastAsia="SimSun"/>
                <w:color w:val="2d3748"/>
                <w:sz w:val="21"/>
                <w:szCs w:val="21"/>
              </w:rPr>
              <w:t xml:space="preserve">Unlimited data retention, Gemini AI integration, fast search, modern architecture</w:t>
            </w:r>
          </w:p>
        </w:tc>
        <w:tc>
          <w:tcPr>
            <w:tcW w:type="pct" w:w="28%"/>
            <w:tcMar>
              <w:top w:type="dxa" w:w="60"/>
              <w:left w:type="dxa" w:w="100"/>
              <w:bottom w:type="dxa" w:w="60"/>
              <w:right w:type="dxa" w:w="100"/>
            </w:tcMar>
          </w:tcPr>
          <w:p>
            <w:r>
              <w:rPr>
                <w:rFonts w:ascii="SimSun" w:eastAsia="SimSun"/>
                <w:color w:val="2d3748"/>
                <w:sz w:val="21"/>
                <w:szCs w:val="21"/>
              </w:rPr>
              <w:t xml:space="preserve">Newer platform, smaller partner ecosystem, Google Cloud dependency</w:t>
            </w:r>
          </w:p>
        </w:tc>
        <w:tc>
          <w:tcPr>
            <w:tcW w:type="pct" w:w="20%"/>
            <w:tcMar>
              <w:top w:type="dxa" w:w="60"/>
              <w:left w:type="dxa" w:w="100"/>
              <w:bottom w:type="dxa" w:w="60"/>
              <w:right w:type="dxa" w:w="100"/>
            </w:tcMar>
          </w:tcPr>
          <w:p>
            <w:r>
              <w:rPr>
                <w:rFonts w:ascii="SimSun" w:eastAsia="SimSun"/>
                <w:color w:val="2d3748"/>
                <w:sz w:val="21"/>
                <w:szCs w:val="21"/>
              </w:rPr>
              <w:t xml:space="preserve">Large enterprises wanting AI-first approach</w:t>
            </w:r>
          </w:p>
        </w:tc>
      </w:tr>
      <w:tr>
        <w:trPr>
          <w:cantSplit/>
        </w:trPr>
        <w:tc>
          <w:tcPr>
            <w:tcW w:type="pct" w:w="22%"/>
            <w:tcMar>
              <w:top w:type="dxa" w:w="60"/>
              <w:left w:type="dxa" w:w="100"/>
              <w:bottom w:type="dxa" w:w="60"/>
              <w:right w:type="dxa" w:w="100"/>
            </w:tcMar>
          </w:tcPr>
          <w:p>
            <w:r>
              <w:rPr>
                <w:rFonts w:ascii="SimSun" w:eastAsia="SimSun"/>
                <w:color w:val="2d3748"/>
                <w:sz w:val="21"/>
                <w:szCs w:val="21"/>
              </w:rPr>
              <w:t xml:space="preserve">IBM QRadar Suite</w:t>
            </w:r>
          </w:p>
        </w:tc>
        <w:tc>
          <w:tcPr>
            <w:tcW w:type="pct" w:w="30%"/>
            <w:tcMar>
              <w:top w:type="dxa" w:w="60"/>
              <w:left w:type="dxa" w:w="100"/>
              <w:bottom w:type="dxa" w:w="60"/>
              <w:right w:type="dxa" w:w="100"/>
            </w:tcMar>
          </w:tcPr>
          <w:p>
            <w:r>
              <w:rPr>
                <w:rFonts w:ascii="SimSun" w:eastAsia="SimSun"/>
                <w:color w:val="2d3748"/>
                <w:sz w:val="21"/>
                <w:szCs w:val="21"/>
              </w:rPr>
              <w:t xml:space="preserve">Strong hybrid support, regulatory compliance features, Watson AI assistant, established enterprise presence</w:t>
            </w:r>
          </w:p>
        </w:tc>
        <w:tc>
          <w:tcPr>
            <w:tcW w:type="pct" w:w="28%"/>
            <w:tcMar>
              <w:top w:type="dxa" w:w="60"/>
              <w:left w:type="dxa" w:w="100"/>
              <w:bottom w:type="dxa" w:w="60"/>
              <w:right w:type="dxa" w:w="100"/>
            </w:tcMar>
          </w:tcPr>
          <w:p>
            <w:r>
              <w:rPr>
                <w:rFonts w:ascii="SimSun" w:eastAsia="SimSun"/>
                <w:color w:val="2d3748"/>
                <w:sz w:val="21"/>
                <w:szCs w:val="21"/>
              </w:rPr>
              <w:t xml:space="preserve">Interface complexity, ongoing IBM transition considerations</w:t>
            </w:r>
          </w:p>
        </w:tc>
        <w:tc>
          <w:tcPr>
            <w:tcW w:type="pct" w:w="20%"/>
            <w:tcMar>
              <w:top w:type="dxa" w:w="60"/>
              <w:left w:type="dxa" w:w="100"/>
              <w:bottom w:type="dxa" w:w="60"/>
              <w:right w:type="dxa" w:w="100"/>
            </w:tcMar>
          </w:tcPr>
          <w:p>
            <w:r>
              <w:rPr>
                <w:rFonts w:ascii="SimSun" w:eastAsia="SimSun"/>
                <w:color w:val="2d3748"/>
                <w:sz w:val="21"/>
                <w:szCs w:val="21"/>
              </w:rPr>
              <w:t xml:space="preserve">Hybrid environments with compliance focus</w:t>
            </w:r>
          </w:p>
        </w:tc>
      </w:tr>
    </w:tbl>
    <w:p>
      <w:pPr>
        <w:spacing w:after="100" w:before="200"/>
      </w:pPr>
    </w:p>
    <w:p>
      <w:pPr>
        <w:pStyle w:val="Heading2"/>
        <w:spacing w:after="150" w:before="300"/>
      </w:pPr>
      <w:bookmarkStart w:id="100043" w:name="_Toc100043"/>
      <w:r>
        <w:rPr>
          <w:rFonts w:ascii="SimHei" w:eastAsia="SimHei"/>
          <w:b/>
          <w:bCs/>
          <w:color w:val="1a365d"/>
          <w:sz w:val="28"/>
          <w:szCs w:val="28"/>
        </w:rPr>
        <w:t xml:space="preserve">SOAR Platform Options</w:t>
      </w:r>
      <w:bookmarkEnd w:id="100043"/>
    </w:p>
    <w:p>
      <w:pPr>
        <w:spacing w:after="120" w:line="312"/>
        <w:ind w:firstLine="480"/>
        <w:jc w:val="both"/>
      </w:pPr>
      <w:r>
        <w:rPr>
          <w:rFonts w:ascii="SimSun" w:eastAsia="SimSun"/>
          <w:color w:val="2d3748"/>
          <w:sz w:val="24"/>
          <w:szCs w:val="24"/>
        </w:rPr>
        <w:t xml:space="preserve">Security Orchestration, Automation, and Response platforms enable consistent, scalable incident response through playbook-driven automation. Evaluation focuses on playbook library breadth, integration ecosystem, ease of customization, and community content availability.</w:t>
      </w:r>
    </w:p>
    <w:tbl>
      <w:tblPr>
        <w:tblW w:type="pct" w:w="100%"/>
        <w:tblBorders>
          <w:top w:val="single" w:color="CBD5E0" w:sz="1"/>
          <w:left w:val="single" w:color="CBD5E0" w:sz="1"/>
          <w:bottom w:val="single" w:color="CBD5E0" w:sz="1"/>
          <w:right w:val="single" w:color="CBD5E0" w:sz="1"/>
          <w:insideH w:val="single" w:color="E2E8F0" w:sz="1"/>
          <w:insideV w:val="single" w:color="E2E8F0" w:sz="1"/>
        </w:tblBorders>
      </w:tblPr>
      <w:tblGrid>
        <w:gridCol w:w="100"/>
        <w:gridCol w:w="100"/>
        <w:gridCol w:w="100"/>
        <w:gridCol w:w="100"/>
      </w:tblGrid>
      <w:tr>
        <w:trPr>
          <w:cantSplit/>
          <w:tblHeader/>
        </w:trPr>
        <w:tc>
          <w:tcPr>
            <w:tcW w:type="pct" w:w="25%"/>
            <w:shd w:fill="1a365d" w:val="clear"/>
            <w:tcMar>
              <w:top w:type="dxa" w:w="80"/>
              <w:left w:type="dxa" w:w="120"/>
              <w:bottom w:type="dxa" w:w="80"/>
              <w:right w:type="dxa" w:w="120"/>
            </w:tcMar>
          </w:tcPr>
          <w:p>
            <w:pPr>
              <w:jc w:val="center"/>
            </w:pPr>
            <w:r>
              <w:rPr>
                <w:rFonts w:ascii="SimHei" w:eastAsia="SimHei"/>
                <w:b/>
                <w:bCs/>
                <w:color w:val="FFFFFF"/>
                <w:sz w:val="21"/>
                <w:szCs w:val="21"/>
              </w:rPr>
              <w:t xml:space="preserve">Platform</w:t>
            </w:r>
          </w:p>
        </w:tc>
        <w:tc>
          <w:tcPr>
            <w:tcW w:type="pct" w:w="35%"/>
            <w:shd w:fill="1a365d" w:val="clear"/>
            <w:tcMar>
              <w:top w:type="dxa" w:w="80"/>
              <w:left w:type="dxa" w:w="120"/>
              <w:bottom w:type="dxa" w:w="80"/>
              <w:right w:type="dxa" w:w="120"/>
            </w:tcMar>
          </w:tcPr>
          <w:p>
            <w:pPr>
              <w:jc w:val="center"/>
            </w:pPr>
            <w:r>
              <w:rPr>
                <w:rFonts w:ascii="SimHei" w:eastAsia="SimHei"/>
                <w:b/>
                <w:bCs/>
                <w:color w:val="FFFFFF"/>
                <w:sz w:val="21"/>
                <w:szCs w:val="21"/>
              </w:rPr>
              <w:t xml:space="preserve">Key Capabilities</w:t>
            </w:r>
          </w:p>
        </w:tc>
        <w:tc>
          <w:tcPr>
            <w:tcW w:type="pct" w:w="18%"/>
            <w:shd w:fill="1a365d" w:val="clear"/>
            <w:tcMar>
              <w:top w:type="dxa" w:w="80"/>
              <w:left w:type="dxa" w:w="120"/>
              <w:bottom w:type="dxa" w:w="80"/>
              <w:right w:type="dxa" w:w="120"/>
            </w:tcMar>
          </w:tcPr>
          <w:p>
            <w:pPr>
              <w:jc w:val="center"/>
            </w:pPr>
            <w:r>
              <w:rPr>
                <w:rFonts w:ascii="SimHei" w:eastAsia="SimHei"/>
                <w:b/>
                <w:bCs/>
                <w:color w:val="FFFFFF"/>
                <w:sz w:val="21"/>
                <w:szCs w:val="21"/>
              </w:rPr>
              <w:t xml:space="preserve">Integration Count</w:t>
            </w:r>
          </w:p>
        </w:tc>
        <w:tc>
          <w:tcPr>
            <w:tcW w:type="pct" w:w="22%"/>
            <w:shd w:fill="1a365d" w:val="clear"/>
            <w:tcMar>
              <w:top w:type="dxa" w:w="80"/>
              <w:left w:type="dxa" w:w="120"/>
              <w:bottom w:type="dxa" w:w="80"/>
              <w:right w:type="dxa" w:w="120"/>
            </w:tcMar>
          </w:tcPr>
          <w:p>
            <w:pPr>
              <w:jc w:val="center"/>
            </w:pPr>
            <w:r>
              <w:rPr>
                <w:rFonts w:ascii="SimHei" w:eastAsia="SimHei"/>
                <w:b/>
                <w:bCs/>
                <w:color w:val="FFFFFF"/>
                <w:sz w:val="21"/>
                <w:szCs w:val="21"/>
              </w:rPr>
              <w:t xml:space="preserve">Differentiator</w:t>
            </w:r>
          </w:p>
        </w:tc>
      </w:tr>
      <w:tr>
        <w:trPr>
          <w:cantSplit/>
        </w:trPr>
        <w:tc>
          <w:tcPr>
            <w:tcW w:type="pct" w:w="25%"/>
            <w:tcMar>
              <w:top w:type="dxa" w:w="60"/>
              <w:left w:type="dxa" w:w="100"/>
              <w:bottom w:type="dxa" w:w="60"/>
              <w:right w:type="dxa" w:w="100"/>
            </w:tcMar>
          </w:tcPr>
          <w:p>
            <w:r>
              <w:rPr>
                <w:rFonts w:ascii="SimSun" w:eastAsia="SimSun"/>
                <w:color w:val="2d3748"/>
                <w:sz w:val="21"/>
                <w:szCs w:val="21"/>
              </w:rPr>
              <w:t xml:space="preserve">Palo Alto Cortex XSOAR</w:t>
            </w:r>
          </w:p>
        </w:tc>
        <w:tc>
          <w:tcPr>
            <w:tcW w:type="pct" w:w="35%"/>
            <w:tcMar>
              <w:top w:type="dxa" w:w="60"/>
              <w:left w:type="dxa" w:w="100"/>
              <w:bottom w:type="dxa" w:w="60"/>
              <w:right w:type="dxa" w:w="100"/>
            </w:tcMar>
          </w:tcPr>
          <w:p>
            <w:r>
              <w:rPr>
                <w:rFonts w:ascii="SimSun" w:eastAsia="SimSun"/>
                <w:color w:val="2d3748"/>
                <w:sz w:val="21"/>
                <w:szCs w:val="21"/>
              </w:rPr>
              <w:t xml:space="preserve">500+ integrations, community marketplace, threat intel management, case management</w:t>
            </w:r>
          </w:p>
        </w:tc>
        <w:tc>
          <w:tcPr>
            <w:tcW w:type="pct" w:w="18%"/>
            <w:tcMar>
              <w:top w:type="dxa" w:w="60"/>
              <w:left w:type="dxa" w:w="100"/>
              <w:bottom w:type="dxa" w:w="60"/>
              <w:right w:type="dxa" w:w="100"/>
            </w:tcMar>
          </w:tcPr>
          <w:p>
            <w:r>
              <w:rPr>
                <w:rFonts w:ascii="SimSun" w:eastAsia="SimSun"/>
                <w:color w:val="2d3748"/>
                <w:sz w:val="21"/>
                <w:szCs w:val="21"/>
              </w:rPr>
              <w:t xml:space="preserve">500+</w:t>
            </w:r>
          </w:p>
        </w:tc>
        <w:tc>
          <w:tcPr>
            <w:tcW w:type="pct" w:w="22%"/>
            <w:tcMar>
              <w:top w:type="dxa" w:w="60"/>
              <w:left w:type="dxa" w:w="100"/>
              <w:bottom w:type="dxa" w:w="60"/>
              <w:right w:type="dxa" w:w="100"/>
            </w:tcMar>
          </w:tcPr>
          <w:p>
            <w:r>
              <w:rPr>
                <w:rFonts w:ascii="SimSun" w:eastAsia="SimSun"/>
                <w:color w:val="2d3748"/>
                <w:sz w:val="21"/>
                <w:szCs w:val="21"/>
              </w:rPr>
              <w:t xml:space="preserve">Largest integration ecosystem, strong community</w:t>
            </w:r>
          </w:p>
        </w:tc>
      </w:tr>
      <w:tr>
        <w:trPr>
          <w:cantSplit/>
        </w:trPr>
        <w:tc>
          <w:tcPr>
            <w:tcW w:type="pct" w:w="25%"/>
            <w:tcMar>
              <w:top w:type="dxa" w:w="60"/>
              <w:left w:type="dxa" w:w="100"/>
              <w:bottom w:type="dxa" w:w="60"/>
              <w:right w:type="dxa" w:w="100"/>
            </w:tcMar>
          </w:tcPr>
          <w:p>
            <w:r>
              <w:rPr>
                <w:rFonts w:ascii="SimSun" w:eastAsia="SimSun"/>
                <w:color w:val="2d3748"/>
                <w:sz w:val="21"/>
                <w:szCs w:val="21"/>
              </w:rPr>
              <w:t xml:space="preserve">Splunk SOAR</w:t>
            </w:r>
          </w:p>
        </w:tc>
        <w:tc>
          <w:tcPr>
            <w:tcW w:type="pct" w:w="35%"/>
            <w:tcMar>
              <w:top w:type="dxa" w:w="60"/>
              <w:left w:type="dxa" w:w="100"/>
              <w:bottom w:type="dxa" w:w="60"/>
              <w:right w:type="dxa" w:w="100"/>
            </w:tcMar>
          </w:tcPr>
          <w:p>
            <w:r>
              <w:rPr>
                <w:rFonts w:ascii="SimSun" w:eastAsia="SimSun"/>
                <w:color w:val="2d3748"/>
                <w:sz w:val="21"/>
                <w:szCs w:val="21"/>
              </w:rPr>
              <w:t xml:space="preserve">Tight Splunk SIEM integration, flexible playbooks, champion/challenger mode</w:t>
            </w:r>
          </w:p>
        </w:tc>
        <w:tc>
          <w:tcPr>
            <w:tcW w:type="pct" w:w="18%"/>
            <w:tcMar>
              <w:top w:type="dxa" w:w="60"/>
              <w:left w:type="dxa" w:w="100"/>
              <w:bottom w:type="dxa" w:w="60"/>
              <w:right w:type="dxa" w:w="100"/>
            </w:tcMar>
          </w:tcPr>
          <w:p>
            <w:r>
              <w:rPr>
                <w:rFonts w:ascii="SimSun" w:eastAsia="SimSun"/>
                <w:color w:val="2d3748"/>
                <w:sz w:val="21"/>
                <w:szCs w:val="21"/>
              </w:rPr>
              <w:t xml:space="preserve">350+</w:t>
            </w:r>
          </w:p>
        </w:tc>
        <w:tc>
          <w:tcPr>
            <w:tcW w:type="pct" w:w="22%"/>
            <w:tcMar>
              <w:top w:type="dxa" w:w="60"/>
              <w:left w:type="dxa" w:w="100"/>
              <w:bottom w:type="dxa" w:w="60"/>
              <w:right w:type="dxa" w:w="100"/>
            </w:tcMar>
          </w:tcPr>
          <w:p>
            <w:r>
              <w:rPr>
                <w:rFonts w:ascii="SimSun" w:eastAsia="SimSun"/>
                <w:color w:val="2d3748"/>
                <w:sz w:val="21"/>
                <w:szCs w:val="21"/>
              </w:rPr>
              <w:t xml:space="preserve">Best for Splunk-centric environments</w:t>
            </w:r>
          </w:p>
        </w:tc>
      </w:tr>
      <w:tr>
        <w:trPr>
          <w:cantSplit/>
        </w:trPr>
        <w:tc>
          <w:tcPr>
            <w:tcW w:type="pct" w:w="25%"/>
            <w:tcMar>
              <w:top w:type="dxa" w:w="60"/>
              <w:left w:type="dxa" w:w="100"/>
              <w:bottom w:type="dxa" w:w="60"/>
              <w:right w:type="dxa" w:w="100"/>
            </w:tcMar>
          </w:tcPr>
          <w:p>
            <w:r>
              <w:rPr>
                <w:rFonts w:ascii="SimSun" w:eastAsia="SimSun"/>
                <w:color w:val="2d3748"/>
                <w:sz w:val="21"/>
                <w:szCs w:val="21"/>
              </w:rPr>
              <w:t xml:space="preserve">Microsoft Sentinel SOAR</w:t>
            </w:r>
          </w:p>
        </w:tc>
        <w:tc>
          <w:tcPr>
            <w:tcW w:type="pct" w:w="35%"/>
            <w:tcMar>
              <w:top w:type="dxa" w:w="60"/>
              <w:left w:type="dxa" w:w="100"/>
              <w:bottom w:type="dxa" w:w="60"/>
              <w:right w:type="dxa" w:w="100"/>
            </w:tcMar>
          </w:tcPr>
          <w:p>
            <w:r>
              <w:rPr>
                <w:rFonts w:ascii="SimSun" w:eastAsia="SimSun"/>
                <w:color w:val="2d3748"/>
                <w:sz w:val="21"/>
                <w:szCs w:val="21"/>
              </w:rPr>
              <w:t xml:space="preserve">Native Azure integration, logic apps foundation, low-code playbooks</w:t>
            </w:r>
          </w:p>
        </w:tc>
        <w:tc>
          <w:tcPr>
            <w:tcW w:type="pct" w:w="18%"/>
            <w:tcMar>
              <w:top w:type="dxa" w:w="60"/>
              <w:left w:type="dxa" w:w="100"/>
              <w:bottom w:type="dxa" w:w="60"/>
              <w:right w:type="dxa" w:w="100"/>
            </w:tcMar>
          </w:tcPr>
          <w:p>
            <w:r>
              <w:rPr>
                <w:rFonts w:ascii="SimSun" w:eastAsia="SimSun"/>
                <w:color w:val="2d3748"/>
                <w:sz w:val="21"/>
                <w:szCs w:val="21"/>
              </w:rPr>
              <w:t xml:space="preserve">300+</w:t>
            </w:r>
          </w:p>
        </w:tc>
        <w:tc>
          <w:tcPr>
            <w:tcW w:type="pct" w:w="22%"/>
            <w:tcMar>
              <w:top w:type="dxa" w:w="60"/>
              <w:left w:type="dxa" w:w="100"/>
              <w:bottom w:type="dxa" w:w="60"/>
              <w:right w:type="dxa" w:w="100"/>
            </w:tcMar>
          </w:tcPr>
          <w:p>
            <w:r>
              <w:rPr>
                <w:rFonts w:ascii="SimSun" w:eastAsia="SimSun"/>
                <w:color w:val="2d3748"/>
                <w:sz w:val="21"/>
                <w:szCs w:val="21"/>
              </w:rPr>
              <w:t xml:space="preserve">Cost-effective for Microsoft shops</w:t>
            </w:r>
          </w:p>
        </w:tc>
      </w:tr>
      <w:tr>
        <w:trPr>
          <w:cantSplit/>
        </w:trPr>
        <w:tc>
          <w:tcPr>
            <w:tcW w:type="pct" w:w="25%"/>
            <w:tcMar>
              <w:top w:type="dxa" w:w="60"/>
              <w:left w:type="dxa" w:w="100"/>
              <w:bottom w:type="dxa" w:w="60"/>
              <w:right w:type="dxa" w:w="100"/>
            </w:tcMar>
          </w:tcPr>
          <w:p>
            <w:r>
              <w:rPr>
                <w:rFonts w:ascii="SimSun" w:eastAsia="SimSun"/>
                <w:color w:val="2d3748"/>
                <w:sz w:val="21"/>
                <w:szCs w:val="21"/>
              </w:rPr>
              <w:t xml:space="preserve">Tines</w:t>
            </w:r>
          </w:p>
        </w:tc>
        <w:tc>
          <w:tcPr>
            <w:tcW w:type="pct" w:w="35%"/>
            <w:tcMar>
              <w:top w:type="dxa" w:w="60"/>
              <w:left w:type="dxa" w:w="100"/>
              <w:bottom w:type="dxa" w:w="60"/>
              <w:right w:type="dxa" w:w="100"/>
            </w:tcMar>
          </w:tcPr>
          <w:p>
            <w:r>
              <w:rPr>
                <w:rFonts w:ascii="SimSun" w:eastAsia="SimSun"/>
                <w:color w:val="2d3748"/>
                <w:sz w:val="21"/>
                <w:szCs w:val="21"/>
              </w:rPr>
              <w:t xml:space="preserve">Story-based workflow design, no-code interface, strong API connectivity</w:t>
            </w:r>
          </w:p>
        </w:tc>
        <w:tc>
          <w:tcPr>
            <w:tcW w:type="pct" w:w="18%"/>
            <w:tcMar>
              <w:top w:type="dxa" w:w="60"/>
              <w:left w:type="dxa" w:w="100"/>
              <w:bottom w:type="dxa" w:w="60"/>
              <w:right w:type="dxa" w:w="100"/>
            </w:tcMar>
          </w:tcPr>
          <w:p>
            <w:r>
              <w:rPr>
                <w:rFonts w:ascii="SimSun" w:eastAsia="SimSun"/>
                <w:color w:val="2d3748"/>
                <w:sz w:val="21"/>
                <w:szCs w:val="21"/>
              </w:rPr>
              <w:t xml:space="preserve">200+</w:t>
            </w:r>
          </w:p>
        </w:tc>
        <w:tc>
          <w:tcPr>
            <w:tcW w:type="pct" w:w="22%"/>
            <w:tcMar>
              <w:top w:type="dxa" w:w="60"/>
              <w:left w:type="dxa" w:w="100"/>
              <w:bottom w:type="dxa" w:w="60"/>
              <w:right w:type="dxa" w:w="100"/>
            </w:tcMar>
          </w:tcPr>
          <w:p>
            <w:r>
              <w:rPr>
                <w:rFonts w:ascii="SimSun" w:eastAsia="SimSun"/>
                <w:color w:val="2d3748"/>
                <w:sz w:val="21"/>
                <w:szCs w:val="21"/>
              </w:rPr>
              <w:t xml:space="preserve">Easiest for non-developer workflow creation</w:t>
            </w:r>
          </w:p>
        </w:tc>
      </w:tr>
    </w:tbl>
    <w:p>
      <w:pPr>
        <w:spacing w:after="100" w:before="200"/>
      </w:pPr>
    </w:p>
    <w:p>
      <w:pPr>
        <w:pStyle w:val="Heading2"/>
        <w:spacing w:after="150" w:before="300"/>
      </w:pPr>
      <w:bookmarkStart w:id="100044" w:name="_Toc100044"/>
      <w:r>
        <w:rPr>
          <w:rFonts w:ascii="SimHei" w:eastAsia="SimHei"/>
          <w:b/>
          <w:bCs/>
          <w:color w:val="1a365d"/>
          <w:sz w:val="28"/>
          <w:szCs w:val="28"/>
        </w:rPr>
        <w:t xml:space="preserve">XDR / EDR Solutions</w:t>
      </w:r>
      <w:bookmarkEnd w:id="100044"/>
    </w:p>
    <w:p>
      <w:pPr>
        <w:spacing w:after="120" w:line="312"/>
        <w:ind w:firstLine="480"/>
        <w:jc w:val="both"/>
      </w:pPr>
      <w:r>
        <w:rPr>
          <w:rFonts w:ascii="SimSun" w:eastAsia="SimSun"/>
          <w:color w:val="2d3748"/>
          <w:sz w:val="24"/>
          <w:szCs w:val="24"/>
        </w:rPr>
        <w:t xml:space="preserve">Extended Detection and Response (XDR) and Endpoint Detection and Response (EDR) provide essential visibility into endpoint activity and enable rapid response to compromised devices. For national SOC deployment, XDR capability correlating signals across security layers is preferred over point EDR solutions.</w:t>
      </w:r>
    </w:p>
    <w:tbl>
      <w:tblPr>
        <w:tblW w:type="pct" w:w="100%"/>
        <w:tblBorders>
          <w:top w:val="single" w:color="CBD5E0" w:sz="1"/>
          <w:left w:val="single" w:color="CBD5E0" w:sz="1"/>
          <w:bottom w:val="single" w:color="CBD5E0" w:sz="1"/>
          <w:right w:val="single" w:color="CBD5E0" w:sz="1"/>
          <w:insideH w:val="single" w:color="E2E8F0" w:sz="1"/>
          <w:insideV w:val="single" w:color="E2E8F0" w:sz="1"/>
        </w:tblBorders>
      </w:tblPr>
      <w:tblGrid>
        <w:gridCol w:w="100"/>
        <w:gridCol w:w="100"/>
        <w:gridCol w:w="100"/>
        <w:gridCol w:w="100"/>
      </w:tblGrid>
      <w:tr>
        <w:trPr>
          <w:cantSplit/>
          <w:tblHeader/>
        </w:trPr>
        <w:tc>
          <w:tcPr>
            <w:tcW w:type="pct" w:w="22%"/>
            <w:shd w:fill="1a365d" w:val="clear"/>
            <w:tcMar>
              <w:top w:type="dxa" w:w="80"/>
              <w:left w:type="dxa" w:w="120"/>
              <w:bottom w:type="dxa" w:w="80"/>
              <w:right w:type="dxa" w:w="120"/>
            </w:tcMar>
          </w:tcPr>
          <w:p>
            <w:pPr>
              <w:jc w:val="center"/>
            </w:pPr>
            <w:r>
              <w:rPr>
                <w:rFonts w:ascii="SimHei" w:eastAsia="SimHei"/>
                <w:b/>
                <w:bCs/>
                <w:color w:val="FFFFFF"/>
                <w:sz w:val="21"/>
                <w:szCs w:val="21"/>
              </w:rPr>
              <w:t xml:space="preserve">Solution</w:t>
            </w:r>
          </w:p>
        </w:tc>
        <w:tc>
          <w:tcPr>
            <w:tcW w:type="pct" w:w="32%"/>
            <w:shd w:fill="1a365d" w:val="clear"/>
            <w:tcMar>
              <w:top w:type="dxa" w:w="80"/>
              <w:left w:type="dxa" w:w="120"/>
              <w:bottom w:type="dxa" w:w="80"/>
              <w:right w:type="dxa" w:w="120"/>
            </w:tcMar>
          </w:tcPr>
          <w:p>
            <w:pPr>
              <w:jc w:val="center"/>
            </w:pPr>
            <w:r>
              <w:rPr>
                <w:rFonts w:ascii="SimHei" w:eastAsia="SimHei"/>
                <w:b/>
                <w:bCs/>
                <w:color w:val="FFFFFF"/>
                <w:sz w:val="21"/>
                <w:szCs w:val="21"/>
              </w:rPr>
              <w:t xml:space="preserve">Detection Capability</w:t>
            </w:r>
          </w:p>
        </w:tc>
        <w:tc>
          <w:tcPr>
            <w:tcW w:type="pct" w:w="25%"/>
            <w:shd w:fill="1a365d" w:val="clear"/>
            <w:tcMar>
              <w:top w:type="dxa" w:w="80"/>
              <w:left w:type="dxa" w:w="120"/>
              <w:bottom w:type="dxa" w:w="80"/>
              <w:right w:type="dxa" w:w="120"/>
            </w:tcMar>
          </w:tcPr>
          <w:p>
            <w:pPr>
              <w:jc w:val="center"/>
            </w:pPr>
            <w:r>
              <w:rPr>
                <w:rFonts w:ascii="SimHei" w:eastAsia="SimHei"/>
                <w:b/>
                <w:bCs/>
                <w:color w:val="FFFFFF"/>
                <w:sz w:val="21"/>
                <w:szCs w:val="21"/>
              </w:rPr>
              <w:t xml:space="preserve">Response Options</w:t>
            </w:r>
          </w:p>
        </w:tc>
        <w:tc>
          <w:tcPr>
            <w:tcW w:type="pct" w:w="21%"/>
            <w:shd w:fill="1a365d" w:val="clear"/>
            <w:tcMar>
              <w:top w:type="dxa" w:w="80"/>
              <w:left w:type="dxa" w:w="120"/>
              <w:bottom w:type="dxa" w:w="80"/>
              <w:right w:type="dxa" w:w="120"/>
            </w:tcMar>
          </w:tcPr>
          <w:p>
            <w:pPr>
              <w:jc w:val="center"/>
            </w:pPr>
            <w:r>
              <w:rPr>
                <w:rFonts w:ascii="SimHei" w:eastAsia="SimHei"/>
                <w:b/>
                <w:bCs/>
                <w:color w:val="FFFFFF"/>
                <w:sz w:val="21"/>
                <w:szCs w:val="21"/>
              </w:rPr>
              <w:t xml:space="preserve">AI Features</w:t>
            </w:r>
          </w:p>
        </w:tc>
      </w:tr>
      <w:tr>
        <w:trPr>
          <w:cantSplit/>
        </w:trPr>
        <w:tc>
          <w:tcPr>
            <w:tcW w:type="pct" w:w="22%"/>
            <w:tcMar>
              <w:top w:type="dxa" w:w="60"/>
              <w:left w:type="dxa" w:w="100"/>
              <w:bottom w:type="dxa" w:w="60"/>
              <w:right w:type="dxa" w:w="100"/>
            </w:tcMar>
          </w:tcPr>
          <w:p>
            <w:r>
              <w:rPr>
                <w:rFonts w:ascii="SimSun" w:eastAsia="SimSun"/>
                <w:color w:val="2d3748"/>
                <w:sz w:val="21"/>
                <w:szCs w:val="21"/>
              </w:rPr>
              <w:t xml:space="preserve">CrowdStrike Falcon</w:t>
            </w:r>
          </w:p>
        </w:tc>
        <w:tc>
          <w:tcPr>
            <w:tcW w:type="pct" w:w="32%"/>
            <w:tcMar>
              <w:top w:type="dxa" w:w="60"/>
              <w:left w:type="dxa" w:w="100"/>
              <w:bottom w:type="dxa" w:w="60"/>
              <w:right w:type="dxa" w:w="100"/>
            </w:tcMar>
          </w:tcPr>
          <w:p>
            <w:r>
              <w:rPr>
                <w:rFonts w:ascii="SimSun" w:eastAsia="SimSun"/>
                <w:color w:val="2d3748"/>
                <w:sz w:val="21"/>
                <w:szCs w:val="21"/>
              </w:rPr>
              <w:t xml:space="preserve">Industry-leading detection, real-time response, threat graph correlation</w:t>
            </w:r>
          </w:p>
        </w:tc>
        <w:tc>
          <w:tcPr>
            <w:tcW w:type="pct" w:w="25%"/>
            <w:tcMar>
              <w:top w:type="dxa" w:w="60"/>
              <w:left w:type="dxa" w:w="100"/>
              <w:bottom w:type="dxa" w:w="60"/>
              <w:right w:type="dxa" w:w="100"/>
            </w:tcMar>
          </w:tcPr>
          <w:p>
            <w:r>
              <w:rPr>
                <w:rFonts w:ascii="SimSun" w:eastAsia="SimSun"/>
                <w:color w:val="2d3748"/>
                <w:sz w:val="21"/>
                <w:szCs w:val="21"/>
              </w:rPr>
              <w:t xml:space="preserve">Isolate, containment, file retrieval, command shell</w:t>
            </w:r>
          </w:p>
        </w:tc>
        <w:tc>
          <w:tcPr>
            <w:tcW w:type="pct" w:w="21%"/>
            <w:tcMar>
              <w:top w:type="dxa" w:w="60"/>
              <w:left w:type="dxa" w:w="100"/>
              <w:bottom w:type="dxa" w:w="60"/>
              <w:right w:type="dxa" w:w="100"/>
            </w:tcMar>
          </w:tcPr>
          <w:p>
            <w:r>
              <w:rPr>
                <w:rFonts w:ascii="SimSun" w:eastAsia="SimSun"/>
                <w:color w:val="2d3748"/>
                <w:sz w:val="21"/>
                <w:szCs w:val="21"/>
              </w:rPr>
              <w:t xml:space="preserve">Charlotte AI for analyst assistance</w:t>
            </w:r>
          </w:p>
        </w:tc>
      </w:tr>
      <w:tr>
        <w:trPr>
          <w:cantSplit/>
        </w:trPr>
        <w:tc>
          <w:tcPr>
            <w:tcW w:type="pct" w:w="22%"/>
            <w:tcMar>
              <w:top w:type="dxa" w:w="60"/>
              <w:left w:type="dxa" w:w="100"/>
              <w:bottom w:type="dxa" w:w="60"/>
              <w:right w:type="dxa" w:w="100"/>
            </w:tcMar>
          </w:tcPr>
          <w:p>
            <w:r>
              <w:rPr>
                <w:rFonts w:ascii="SimSun" w:eastAsia="SimSun"/>
                <w:color w:val="2d3748"/>
                <w:sz w:val="21"/>
                <w:szCs w:val="21"/>
              </w:rPr>
              <w:t xml:space="preserve">SentinelOne Singularity</w:t>
            </w:r>
          </w:p>
        </w:tc>
        <w:tc>
          <w:tcPr>
            <w:tcW w:type="pct" w:w="32%"/>
            <w:tcMar>
              <w:top w:type="dxa" w:w="60"/>
              <w:left w:type="dxa" w:w="100"/>
              <w:bottom w:type="dxa" w:w="60"/>
              <w:right w:type="dxa" w:w="100"/>
            </w:tcMar>
          </w:tcPr>
          <w:p>
            <w:r>
              <w:rPr>
                <w:rFonts w:ascii="SimSun" w:eastAsia="SimSun"/>
                <w:color w:val="2d3748"/>
                <w:sz w:val="21"/>
                <w:szCs w:val="21"/>
              </w:rPr>
              <w:t xml:space="preserve">Purple AI autonomous investigation, Storyline automatic correlation</w:t>
            </w:r>
          </w:p>
        </w:tc>
        <w:tc>
          <w:tcPr>
            <w:tcW w:type="pct" w:w="25%"/>
            <w:tcMar>
              <w:top w:type="dxa" w:w="60"/>
              <w:left w:type="dxa" w:w="100"/>
              <w:bottom w:type="dxa" w:w="60"/>
              <w:right w:type="dxa" w:w="100"/>
            </w:tcMar>
          </w:tcPr>
          <w:p>
            <w:r>
              <w:rPr>
                <w:rFonts w:ascii="SimSun" w:eastAsia="SimSun"/>
                <w:color w:val="2d3748"/>
                <w:sz w:val="21"/>
                <w:szCs w:val="21"/>
              </w:rPr>
              <w:t xml:space="preserve">Remote shell, network containment, rollback</w:t>
            </w:r>
          </w:p>
        </w:tc>
        <w:tc>
          <w:tcPr>
            <w:tcW w:type="pct" w:w="21%"/>
            <w:tcMar>
              <w:top w:type="dxa" w:w="60"/>
              <w:left w:type="dxa" w:w="100"/>
              <w:bottom w:type="dxa" w:w="60"/>
              <w:right w:type="dxa" w:w="100"/>
            </w:tcMar>
          </w:tcPr>
          <w:p>
            <w:r>
              <w:rPr>
                <w:rFonts w:ascii="SimSun" w:eastAsia="SimSun"/>
                <w:color w:val="2d3748"/>
                <w:sz w:val="21"/>
                <w:szCs w:val="21"/>
              </w:rPr>
              <w:t xml:space="preserve">Autonomous SOC with hyperautomation</w:t>
            </w:r>
          </w:p>
        </w:tc>
      </w:tr>
      <w:tr>
        <w:trPr>
          <w:cantSplit/>
        </w:trPr>
        <w:tc>
          <w:tcPr>
            <w:tcW w:type="pct" w:w="22%"/>
            <w:tcMar>
              <w:top w:type="dxa" w:w="60"/>
              <w:left w:type="dxa" w:w="100"/>
              <w:bottom w:type="dxa" w:w="60"/>
              <w:right w:type="dxa" w:w="100"/>
            </w:tcMar>
          </w:tcPr>
          <w:p>
            <w:r>
              <w:rPr>
                <w:rFonts w:ascii="SimSun" w:eastAsia="SimSun"/>
                <w:color w:val="2d3748"/>
                <w:sz w:val="21"/>
                <w:szCs w:val="21"/>
              </w:rPr>
              <w:t xml:space="preserve">Microsoft Defender XDR</w:t>
            </w:r>
          </w:p>
        </w:tc>
        <w:tc>
          <w:tcPr>
            <w:tcW w:type="pct" w:w="32%"/>
            <w:tcMar>
              <w:top w:type="dxa" w:w="60"/>
              <w:left w:type="dxa" w:w="100"/>
              <w:bottom w:type="dxa" w:w="60"/>
              <w:right w:type="dxa" w:w="100"/>
            </w:tcMar>
          </w:tcPr>
          <w:p>
            <w:r>
              <w:rPr>
                <w:rFonts w:ascii="SimSun" w:eastAsia="SimSun"/>
                <w:color w:val="2d3748"/>
                <w:sz w:val="21"/>
                <w:szCs w:val="21"/>
              </w:rPr>
              <w:t xml:space="preserve">Unified XDR across endpoint, identity, email, cloud apps</w:t>
            </w:r>
          </w:p>
        </w:tc>
        <w:tc>
          <w:tcPr>
            <w:tcW w:type="pct" w:w="25%"/>
            <w:tcMar>
              <w:top w:type="dxa" w:w="60"/>
              <w:left w:type="dxa" w:w="100"/>
              <w:bottom w:type="dxa" w:w="60"/>
              <w:right w:type="dxa" w:w="100"/>
            </w:tcMar>
          </w:tcPr>
          <w:p>
            <w:r>
              <w:rPr>
                <w:rFonts w:ascii="SimSun" w:eastAsia="SimSun"/>
                <w:color w:val="2d3748"/>
                <w:sz w:val="21"/>
                <w:szCs w:val="21"/>
              </w:rPr>
              <w:t xml:space="preserve">Auto-containment, investigation graph, advanced hunting</w:t>
            </w:r>
          </w:p>
        </w:tc>
        <w:tc>
          <w:tcPr>
            <w:tcW w:type="pct" w:w="21%"/>
            <w:tcMar>
              <w:top w:type="dxa" w:w="60"/>
              <w:left w:type="dxa" w:w="100"/>
              <w:bottom w:type="dxa" w:w="60"/>
              <w:right w:type="dxa" w:w="100"/>
            </w:tcMar>
          </w:tcPr>
          <w:p>
            <w:r>
              <w:rPr>
                <w:rFonts w:ascii="SimSun" w:eastAsia="SimSun"/>
                <w:color w:val="2d3748"/>
                <w:sz w:val="21"/>
                <w:szCs w:val="21"/>
              </w:rPr>
              <w:t xml:space="preserve">Copilot integration, generative AI</w:t>
            </w:r>
          </w:p>
        </w:tc>
      </w:tr>
      <w:tr>
        <w:trPr>
          <w:cantSplit/>
        </w:trPr>
        <w:tc>
          <w:tcPr>
            <w:tcW w:type="pct" w:w="22%"/>
            <w:tcMar>
              <w:top w:type="dxa" w:w="60"/>
              <w:left w:type="dxa" w:w="100"/>
              <w:bottom w:type="dxa" w:w="60"/>
              <w:right w:type="dxa" w:w="100"/>
            </w:tcMar>
          </w:tcPr>
          <w:p>
            <w:r>
              <w:rPr>
                <w:rFonts w:ascii="SimSun" w:eastAsia="SimSun"/>
                <w:color w:val="2d3748"/>
                <w:sz w:val="21"/>
                <w:szCs w:val="21"/>
              </w:rPr>
              <w:t xml:space="preserve">Palo Alto Cortex XDR</w:t>
            </w:r>
          </w:p>
        </w:tc>
        <w:tc>
          <w:tcPr>
            <w:tcW w:type="pct" w:w="32%"/>
            <w:tcMar>
              <w:top w:type="dxa" w:w="60"/>
              <w:left w:type="dxa" w:w="100"/>
              <w:bottom w:type="dxa" w:w="60"/>
              <w:right w:type="dxa" w:w="100"/>
            </w:tcMar>
          </w:tcPr>
          <w:p>
            <w:r>
              <w:rPr>
                <w:rFonts w:ascii="SimSun" w:eastAsia="SimSun"/>
                <w:color w:val="2d3748"/>
                <w:sz w:val="21"/>
                <w:szCs w:val="21"/>
              </w:rPr>
              <w:t xml:space="preserve">Network-led XDR, agent optional, broad data sources</w:t>
            </w:r>
          </w:p>
        </w:tc>
        <w:tc>
          <w:tcPr>
            <w:tcW w:type="pct" w:w="25%"/>
            <w:tcMar>
              <w:top w:type="dxa" w:w="60"/>
              <w:left w:type="dxa" w:w="100"/>
              <w:bottom w:type="dxa" w:w="60"/>
              <w:right w:type="dxa" w:w="100"/>
            </w:tcMar>
          </w:tcPr>
          <w:p>
            <w:r>
              <w:rPr>
                <w:rFonts w:ascii="SimSun" w:eastAsia="SimSun"/>
                <w:color w:val="2d3748"/>
                <w:sz w:val="21"/>
                <w:szCs w:val="21"/>
              </w:rPr>
              <w:t xml:space="preserve">Network containment, host isolation, user notification</w:t>
            </w:r>
          </w:p>
        </w:tc>
        <w:tc>
          <w:tcPr>
            <w:tcW w:type="pct" w:w="21%"/>
            <w:tcMar>
              <w:top w:type="dxa" w:w="60"/>
              <w:left w:type="dxa" w:w="100"/>
              <w:bottom w:type="dxa" w:w="60"/>
              <w:right w:type="dxa" w:w="100"/>
            </w:tcMar>
          </w:tcPr>
          <w:p>
            <w:r>
              <w:rPr>
                <w:rFonts w:ascii="SimSun" w:eastAsia="SimSun"/>
                <w:color w:val="2d3748"/>
                <w:sz w:val="21"/>
                <w:szCs w:val="21"/>
              </w:rPr>
              <w:t xml:space="preserve">Cortex AI for attack chain analysis</w:t>
            </w:r>
          </w:p>
        </w:tc>
      </w:tr>
    </w:tbl>
    <w:p>
      <w:pPr>
        <w:spacing w:after="100" w:before="200"/>
      </w:pPr>
    </w:p>
    <w:p>
      <w:pPr>
        <w:pStyle w:val="Heading2"/>
        <w:spacing w:after="150" w:before="300"/>
      </w:pPr>
      <w:bookmarkStart w:id="100045" w:name="_Toc100045"/>
      <w:r>
        <w:rPr>
          <w:rFonts w:ascii="SimHei" w:eastAsia="SimHei"/>
          <w:b/>
          <w:bCs/>
          <w:color w:val="1a365d"/>
          <w:sz w:val="28"/>
          <w:szCs w:val="28"/>
        </w:rPr>
        <w:t xml:space="preserve">Threat Intelligence Platforms</w:t>
      </w:r>
      <w:bookmarkEnd w:id="100045"/>
    </w:p>
    <w:p>
      <w:pPr>
        <w:spacing w:after="120" w:line="312"/>
        <w:ind w:firstLine="480"/>
        <w:jc w:val="both"/>
      </w:pPr>
      <w:r>
        <w:rPr>
          <w:rFonts w:ascii="SimSun" w:eastAsia="SimSun"/>
          <w:color w:val="2d3748"/>
          <w:sz w:val="24"/>
          <w:szCs w:val="24"/>
        </w:rPr>
        <w:t xml:space="preserve">Threat Intelligence Platforms (TIP) aggregate, correlate, and operationalize threat data from diverse sources. Effective TIP implementation enables proactive defense through indicator blocking, detection rule generation, and adversary tracking.</w:t>
      </w:r>
    </w:p>
    <w:tbl>
      <w:tblPr>
        <w:tblW w:type="pct" w:w="100%"/>
        <w:tblBorders>
          <w:top w:val="single" w:color="CBD5E0" w:sz="1"/>
          <w:left w:val="single" w:color="CBD5E0" w:sz="1"/>
          <w:bottom w:val="single" w:color="CBD5E0" w:sz="1"/>
          <w:right w:val="single" w:color="CBD5E0" w:sz="1"/>
          <w:insideH w:val="single" w:color="E2E8F0" w:sz="1"/>
          <w:insideV w:val="single" w:color="E2E8F0" w:sz="1"/>
        </w:tblBorders>
      </w:tblPr>
      <w:tblGrid>
        <w:gridCol w:w="100"/>
        <w:gridCol w:w="100"/>
        <w:gridCol w:w="100"/>
        <w:gridCol w:w="100"/>
      </w:tblGrid>
      <w:tr>
        <w:trPr>
          <w:cantSplit/>
          <w:tblHeader/>
        </w:trPr>
        <w:tc>
          <w:tcPr>
            <w:tcW w:type="pct" w:w="22%"/>
            <w:shd w:fill="1a365d" w:val="clear"/>
            <w:tcMar>
              <w:top w:type="dxa" w:w="80"/>
              <w:left w:type="dxa" w:w="120"/>
              <w:bottom w:type="dxa" w:w="80"/>
              <w:right w:type="dxa" w:w="120"/>
            </w:tcMar>
          </w:tcPr>
          <w:p>
            <w:pPr>
              <w:jc w:val="center"/>
            </w:pPr>
            <w:r>
              <w:rPr>
                <w:rFonts w:ascii="SimHei" w:eastAsia="SimHei"/>
                <w:b/>
                <w:bCs/>
                <w:color w:val="FFFFFF"/>
                <w:sz w:val="21"/>
                <w:szCs w:val="21"/>
              </w:rPr>
              <w:t xml:space="preserve">Platform</w:t>
            </w:r>
          </w:p>
        </w:tc>
        <w:tc>
          <w:tcPr>
            <w:tcW w:type="pct" w:w="22%"/>
            <w:shd w:fill="1a365d" w:val="clear"/>
            <w:tcMar>
              <w:top w:type="dxa" w:w="80"/>
              <w:left w:type="dxa" w:w="120"/>
              <w:bottom w:type="dxa" w:w="80"/>
              <w:right w:type="dxa" w:w="120"/>
            </w:tcMar>
          </w:tcPr>
          <w:p>
            <w:pPr>
              <w:jc w:val="center"/>
            </w:pPr>
            <w:r>
              <w:rPr>
                <w:rFonts w:ascii="SimHei" w:eastAsia="SimHei"/>
                <w:b/>
                <w:bCs/>
                <w:color w:val="FFFFFF"/>
                <w:sz w:val="21"/>
                <w:szCs w:val="21"/>
              </w:rPr>
              <w:t xml:space="preserve">Type</w:t>
            </w:r>
          </w:p>
        </w:tc>
        <w:tc>
          <w:tcPr>
            <w:tcW w:type="pct" w:w="28%"/>
            <w:shd w:fill="1a365d" w:val="clear"/>
            <w:tcMar>
              <w:top w:type="dxa" w:w="80"/>
              <w:left w:type="dxa" w:w="120"/>
              <w:bottom w:type="dxa" w:w="80"/>
              <w:right w:type="dxa" w:w="120"/>
            </w:tcMar>
          </w:tcPr>
          <w:p>
            <w:pPr>
              <w:jc w:val="center"/>
            </w:pPr>
            <w:r>
              <w:rPr>
                <w:rFonts w:ascii="SimHei" w:eastAsia="SimHei"/>
                <w:b/>
                <w:bCs/>
                <w:color w:val="FFFFFF"/>
                <w:sz w:val="21"/>
                <w:szCs w:val="21"/>
              </w:rPr>
              <w:t xml:space="preserve">Sources</w:t>
            </w:r>
          </w:p>
        </w:tc>
        <w:tc>
          <w:tcPr>
            <w:tcW w:type="pct" w:w="28%"/>
            <w:shd w:fill="1a365d" w:val="clear"/>
            <w:tcMar>
              <w:top w:type="dxa" w:w="80"/>
              <w:left w:type="dxa" w:w="120"/>
              <w:bottom w:type="dxa" w:w="80"/>
              <w:right w:type="dxa" w:w="120"/>
            </w:tcMar>
          </w:tcPr>
          <w:p>
            <w:pPr>
              <w:jc w:val="center"/>
            </w:pPr>
            <w:r>
              <w:rPr>
                <w:rFonts w:ascii="SimHei" w:eastAsia="SimHei"/>
                <w:b/>
                <w:bCs/>
                <w:color w:val="FFFFFF"/>
                <w:sz w:val="21"/>
                <w:szCs w:val="21"/>
              </w:rPr>
              <w:t xml:space="preserve">Operationalization</w:t>
            </w:r>
          </w:p>
        </w:tc>
      </w:tr>
      <w:tr>
        <w:trPr>
          <w:cantSplit/>
        </w:trPr>
        <w:tc>
          <w:tcPr>
            <w:tcW w:type="pct" w:w="22%"/>
            <w:tcMar>
              <w:top w:type="dxa" w:w="60"/>
              <w:left w:type="dxa" w:w="100"/>
              <w:bottom w:type="dxa" w:w="60"/>
              <w:right w:type="dxa" w:w="100"/>
            </w:tcMar>
          </w:tcPr>
          <w:p>
            <w:r>
              <w:rPr>
                <w:rFonts w:ascii="SimSun" w:eastAsia="SimSun"/>
                <w:color w:val="2d3748"/>
                <w:sz w:val="21"/>
                <w:szCs w:val="21"/>
              </w:rPr>
              <w:t xml:space="preserve">Recorded Future</w:t>
            </w:r>
          </w:p>
        </w:tc>
        <w:tc>
          <w:tcPr>
            <w:tcW w:type="pct" w:w="22%"/>
            <w:tcMar>
              <w:top w:type="dxa" w:w="60"/>
              <w:left w:type="dxa" w:w="100"/>
              <w:bottom w:type="dxa" w:w="60"/>
              <w:right w:type="dxa" w:w="100"/>
            </w:tcMar>
          </w:tcPr>
          <w:p>
            <w:r>
              <w:rPr>
                <w:rFonts w:ascii="SimSun" w:eastAsia="SimSun"/>
                <w:color w:val="2d3748"/>
                <w:sz w:val="21"/>
                <w:szCs w:val="21"/>
              </w:rPr>
              <w:t xml:space="preserve">Commercial intelligence company</w:t>
            </w:r>
          </w:p>
        </w:tc>
        <w:tc>
          <w:tcPr>
            <w:tcW w:type="pct" w:w="28%"/>
            <w:tcMar>
              <w:top w:type="dxa" w:w="60"/>
              <w:left w:type="dxa" w:w="100"/>
              <w:bottom w:type="dxa" w:w="60"/>
              <w:right w:type="dxa" w:w="100"/>
            </w:tcMar>
          </w:tcPr>
          <w:p>
            <w:r>
              <w:rPr>
                <w:rFonts w:ascii="SimSun" w:eastAsia="SimSun"/>
                <w:color w:val="2d3748"/>
                <w:sz w:val="21"/>
                <w:szCs w:val="21"/>
              </w:rPr>
              <w:t xml:space="preserve">Technical, brand, fraud, physical, open source</w:t>
            </w:r>
          </w:p>
        </w:tc>
        <w:tc>
          <w:tcPr>
            <w:tcW w:type="pct" w:w="28%"/>
            <w:tcMar>
              <w:top w:type="dxa" w:w="60"/>
              <w:left w:type="dxa" w:w="100"/>
              <w:bottom w:type="dxa" w:w="60"/>
              <w:right w:type="dxa" w:w="100"/>
            </w:tcMar>
          </w:tcPr>
          <w:p>
            <w:r>
              <w:rPr>
                <w:rFonts w:ascii="SimSun" w:eastAsia="SimSun"/>
                <w:color w:val="2d3748"/>
                <w:sz w:val="21"/>
                <w:szCs w:val="21"/>
              </w:rPr>
              <w:t xml:space="preserve">Automated rule generation, risk scoring, alerting</w:t>
            </w:r>
          </w:p>
        </w:tc>
      </w:tr>
      <w:tr>
        <w:trPr>
          <w:cantSplit/>
        </w:trPr>
        <w:tc>
          <w:tcPr>
            <w:tcW w:type="pct" w:w="22%"/>
            <w:tcMar>
              <w:top w:type="dxa" w:w="60"/>
              <w:left w:type="dxa" w:w="100"/>
              <w:bottom w:type="dxa" w:w="60"/>
              <w:right w:type="dxa" w:w="100"/>
            </w:tcMar>
          </w:tcPr>
          <w:p>
            <w:r>
              <w:rPr>
                <w:rFonts w:ascii="SimSun" w:eastAsia="SimSun"/>
                <w:color w:val="2d3748"/>
                <w:sz w:val="21"/>
                <w:szCs w:val="21"/>
              </w:rPr>
              <w:t xml:space="preserve">MISP (Open Source)</w:t>
            </w:r>
          </w:p>
        </w:tc>
        <w:tc>
          <w:tcPr>
            <w:tcW w:type="pct" w:w="22%"/>
            <w:tcMar>
              <w:top w:type="dxa" w:w="60"/>
              <w:left w:type="dxa" w:w="100"/>
              <w:bottom w:type="dxa" w:w="60"/>
              <w:right w:type="dxa" w:w="100"/>
            </w:tcMar>
          </w:tcPr>
          <w:p>
            <w:r>
              <w:rPr>
                <w:rFonts w:ascii="SimSun" w:eastAsia="SimSun"/>
                <w:color w:val="2d3748"/>
                <w:sz w:val="21"/>
                <w:szCs w:val="21"/>
              </w:rPr>
              <w:t xml:space="preserve">Open-source TIP</w:t>
            </w:r>
          </w:p>
        </w:tc>
        <w:tc>
          <w:tcPr>
            <w:tcW w:type="pct" w:w="28%"/>
            <w:tcMar>
              <w:top w:type="dxa" w:w="60"/>
              <w:left w:type="dxa" w:w="100"/>
              <w:bottom w:type="dxa" w:w="60"/>
              <w:right w:type="dxa" w:w="100"/>
            </w:tcMar>
          </w:tcPr>
          <w:p>
            <w:r>
              <w:rPr>
                <w:rFonts w:ascii="SimSun" w:eastAsia="SimSun"/>
                <w:color w:val="2d3748"/>
                <w:sz w:val="21"/>
                <w:szCs w:val="21"/>
              </w:rPr>
              <w:t xml:space="preserve">Community-contributed, custom feeds, internal IoCs</w:t>
            </w:r>
          </w:p>
        </w:tc>
        <w:tc>
          <w:tcPr>
            <w:tcW w:type="pct" w:w="28%"/>
            <w:tcMar>
              <w:top w:type="dxa" w:w="60"/>
              <w:left w:type="dxa" w:w="100"/>
              <w:bottom w:type="dxa" w:w="60"/>
              <w:right w:type="dxa" w:w="100"/>
            </w:tcMar>
          </w:tcPr>
          <w:p>
            <w:r>
              <w:rPr>
                <w:rFonts w:ascii="SimSun" w:eastAsia="SimSun"/>
                <w:color w:val="2d3748"/>
                <w:sz w:val="21"/>
                <w:szCs w:val="21"/>
              </w:rPr>
              <w:t xml:space="preserve">Free, flexible, requires operational investment</w:t>
            </w:r>
          </w:p>
        </w:tc>
      </w:tr>
      <w:tr>
        <w:trPr>
          <w:cantSplit/>
        </w:trPr>
        <w:tc>
          <w:tcPr>
            <w:tcW w:type="pct" w:w="22%"/>
            <w:tcMar>
              <w:top w:type="dxa" w:w="60"/>
              <w:left w:type="dxa" w:w="100"/>
              <w:bottom w:type="dxa" w:w="60"/>
              <w:right w:type="dxa" w:w="100"/>
            </w:tcMar>
          </w:tcPr>
          <w:p>
            <w:r>
              <w:rPr>
                <w:rFonts w:ascii="SimSun" w:eastAsia="SimSun"/>
                <w:color w:val="2d3748"/>
                <w:sz w:val="21"/>
                <w:szCs w:val="21"/>
              </w:rPr>
              <w:t xml:space="preserve">Anomali ThreatStream</w:t>
            </w:r>
          </w:p>
        </w:tc>
        <w:tc>
          <w:tcPr>
            <w:tcW w:type="pct" w:w="22%"/>
            <w:tcMar>
              <w:top w:type="dxa" w:w="60"/>
              <w:left w:type="dxa" w:w="100"/>
              <w:bottom w:type="dxa" w:w="60"/>
              <w:right w:type="dxa" w:w="100"/>
            </w:tcMar>
          </w:tcPr>
          <w:p>
            <w:r>
              <w:rPr>
                <w:rFonts w:ascii="SimSun" w:eastAsia="SimSun"/>
                <w:color w:val="2d3748"/>
                <w:sz w:val="21"/>
                <w:szCs w:val="21"/>
              </w:rPr>
              <w:t xml:space="preserve">Commercial + open source aggregator</w:t>
            </w:r>
          </w:p>
        </w:tc>
        <w:tc>
          <w:tcPr>
            <w:tcW w:type="pct" w:w="28%"/>
            <w:tcMar>
              <w:top w:type="dxa" w:w="60"/>
              <w:left w:type="dxa" w:w="100"/>
              <w:bottom w:type="dxa" w:w="60"/>
              <w:right w:type="dxa" w:w="100"/>
            </w:tcMar>
          </w:tcPr>
          <w:p>
            <w:r>
              <w:rPr>
                <w:rFonts w:ascii="SimSun" w:eastAsia="SimSun"/>
                <w:color w:val="2d3748"/>
                <w:sz w:val="21"/>
                <w:szCs w:val="21"/>
              </w:rPr>
              <w:t xml:space="preserve">ISACs, commercial feeds, open source, custom</w:t>
            </w:r>
          </w:p>
        </w:tc>
        <w:tc>
          <w:tcPr>
            <w:tcW w:type="pct" w:w="28%"/>
            <w:tcMar>
              <w:top w:type="dxa" w:w="60"/>
              <w:left w:type="dxa" w:w="100"/>
              <w:bottom w:type="dxa" w:w="60"/>
              <w:right w:type="dxa" w:w="100"/>
            </w:tcMar>
          </w:tcPr>
          <w:p>
            <w:r>
              <w:rPr>
                <w:rFonts w:ascii="SimSun" w:eastAsia="SimSun"/>
                <w:color w:val="2d3748"/>
                <w:sz w:val="21"/>
                <w:szCs w:val="21"/>
              </w:rPr>
              <w:t xml:space="preserve">Strong integration, ISAC partnerships</w:t>
            </w:r>
          </w:p>
        </w:tc>
      </w:tr>
      <w:tr>
        <w:trPr>
          <w:cantSplit/>
        </w:trPr>
        <w:tc>
          <w:tcPr>
            <w:tcW w:type="pct" w:w="22%"/>
            <w:tcMar>
              <w:top w:type="dxa" w:w="60"/>
              <w:left w:type="dxa" w:w="100"/>
              <w:bottom w:type="dxa" w:w="60"/>
              <w:right w:type="dxa" w:w="100"/>
            </w:tcMar>
          </w:tcPr>
          <w:p>
            <w:r>
              <w:rPr>
                <w:rFonts w:ascii="SimSun" w:eastAsia="SimSun"/>
                <w:color w:val="2d3748"/>
                <w:sz w:val="21"/>
                <w:szCs w:val="21"/>
              </w:rPr>
              <w:t xml:space="preserve">Palo Alto AutoFocus</w:t>
            </w:r>
          </w:p>
        </w:tc>
        <w:tc>
          <w:tcPr>
            <w:tcW w:type="pct" w:w="22%"/>
            <w:tcMar>
              <w:top w:type="dxa" w:w="60"/>
              <w:left w:type="dxa" w:w="100"/>
              <w:bottom w:type="dxa" w:w="60"/>
              <w:right w:type="dxa" w:w="100"/>
            </w:tcMar>
          </w:tcPr>
          <w:p>
            <w:r>
              <w:rPr>
                <w:rFonts w:ascii="SimSun" w:eastAsia="SimSun"/>
                <w:color w:val="2d3748"/>
                <w:sz w:val="21"/>
                <w:szCs w:val="21"/>
              </w:rPr>
              <w:t xml:space="preserve">Integrated with Cortex platform</w:t>
            </w:r>
          </w:p>
        </w:tc>
        <w:tc>
          <w:tcPr>
            <w:tcW w:type="pct" w:w="28%"/>
            <w:tcMar>
              <w:top w:type="dxa" w:w="60"/>
              <w:left w:type="dxa" w:w="100"/>
              <w:bottom w:type="dxa" w:w="60"/>
              <w:right w:type="dxa" w:w="100"/>
            </w:tcMar>
          </w:tcPr>
          <w:p>
            <w:r>
              <w:rPr>
                <w:rFonts w:ascii="SimSun" w:eastAsia="SimSun"/>
                <w:color w:val="2d3748"/>
                <w:sz w:val="21"/>
                <w:szCs w:val="21"/>
              </w:rPr>
              <w:t xml:space="preserve">Unit 42 research, WildFire malware analysis</w:t>
            </w:r>
          </w:p>
        </w:tc>
        <w:tc>
          <w:tcPr>
            <w:tcW w:type="pct" w:w="28%"/>
            <w:tcMar>
              <w:top w:type="dxa" w:w="60"/>
              <w:left w:type="dxa" w:w="100"/>
              <w:bottom w:type="dxa" w:w="60"/>
              <w:right w:type="dxa" w:w="100"/>
            </w:tcMar>
          </w:tcPr>
          <w:p>
            <w:r>
              <w:rPr>
                <w:rFonts w:ascii="SimSun" w:eastAsia="SimSun"/>
                <w:color w:val="2d3748"/>
                <w:sz w:val="21"/>
                <w:szCs w:val="21"/>
              </w:rPr>
              <w:t xml:space="preserve">Seamless SOAR/XDR integration</w:t>
            </w:r>
          </w:p>
        </w:tc>
      </w:tr>
    </w:tbl>
    <w:p>
      <w:pPr>
        <w:spacing w:after="100" w:before="200"/>
      </w:pPr>
    </w:p>
    <w:p>
      <w:pPr>
        <w:pStyle w:val="Heading2"/>
        <w:spacing w:after="150" w:before="300"/>
      </w:pPr>
      <w:bookmarkStart w:id="100046" w:name="_Toc100046"/>
      <w:r>
        <w:rPr>
          <w:rFonts w:ascii="SimHei" w:eastAsia="SimHei"/>
          <w:b/>
          <w:bCs/>
          <w:color w:val="1a365d"/>
          <w:sz w:val="28"/>
          <w:szCs w:val="28"/>
        </w:rPr>
        <w:t xml:space="preserve">Recommended Technology Stack</w:t>
      </w:r>
      <w:bookmarkEnd w:id="100046"/>
    </w:p>
    <w:p>
      <w:pPr>
        <w:spacing w:after="120" w:line="312"/>
        <w:ind w:firstLine="480"/>
        <w:jc w:val="both"/>
      </w:pPr>
      <w:r>
        <w:rPr>
          <w:rFonts w:ascii="SimSun" w:eastAsia="SimSun"/>
          <w:color w:val="2d3748"/>
          <w:sz w:val="24"/>
          <w:szCs w:val="24"/>
        </w:rPr>
        <w:t xml:space="preserve">Based on evaluation analysis and considering national-scale requirements, integration complexity, and strategic objectives, the following technology stack represents the recommended configuration for optimal balance of capability, operability, and value.</w:t>
      </w:r>
    </w:p>
    <w:p>
      <w:pPr>
        <w:pStyle w:val="Heading3"/>
        <w:spacing w:after="120" w:before="240"/>
      </w:pPr>
      <w:bookmarkStart w:id="100047" w:name="_Toc100047"/>
      <w:r>
        <w:rPr>
          <w:rFonts w:ascii="SimHei" w:eastAsia="SimHei"/>
          <w:b/>
          <w:bCs/>
          <w:color w:val="4a5568"/>
          <w:sz w:val="24"/>
          <w:szCs w:val="24"/>
        </w:rPr>
        <w:t xml:space="preserve">Primary Recommendation: Best-in-Class Integrated Stack</w:t>
      </w:r>
      <w:bookmarkEnd w:id="100047"/>
    </w:p>
    <w:p>
      <w:pPr>
        <w:spacing w:after="120" w:line="312"/>
        <w:ind w:firstLine="480"/>
        <w:jc w:val="both"/>
      </w:pPr>
      <w:r>
        <w:rPr>
          <w:rFonts w:ascii="SimSun" w:eastAsia="SimSun"/>
          <w:color w:val="2d3748"/>
          <w:sz w:val="24"/>
          <w:szCs w:val="24"/>
        </w:rPr>
        <w:t xml:space="preserve">For organizations seeking maximum capability with integrated vendor ecosystem: Palo Alto Networks Cortex XSIAM as the AI-SOC platform (combining SIEM, SOAR, XDR, and case management), CrowdStrike Falcon for endpoint detection and response with Charlotte AI assistance, Recorded Future for commercial threat intelligence supplemented by MISP for community sharing, ServiceNow for enterprise ticketing and case management integration, and Elastic/OpenSearch for supplementary log analytics and custom use cases.</w:t>
      </w:r>
    </w:p>
    <w:p>
      <w:pPr>
        <w:pStyle w:val="Heading3"/>
        <w:spacing w:after="120" w:before="240"/>
      </w:pPr>
      <w:bookmarkStart w:id="100048" w:name="_Toc100048"/>
      <w:r>
        <w:rPr>
          <w:rFonts w:ascii="SimHei" w:eastAsia="SimHei"/>
          <w:b/>
          <w:bCs/>
          <w:color w:val="4a5568"/>
          <w:sz w:val="24"/>
          <w:szCs w:val="24"/>
        </w:rPr>
        <w:t xml:space="preserve">Alternative: Microsoft-Centric Stack</w:t>
      </w:r>
      <w:bookmarkEnd w:id="100048"/>
    </w:p>
    <w:p>
      <w:pPr>
        <w:spacing w:after="120" w:line="312"/>
        <w:ind w:firstLine="480"/>
        <w:jc w:val="both"/>
      </w:pPr>
      <w:r>
        <w:rPr>
          <w:rFonts w:ascii="SimSun" w:eastAsia="SimSun"/>
          <w:color w:val="2d3748"/>
          <w:sz w:val="24"/>
          <w:szCs w:val="24"/>
        </w:rPr>
        <w:t xml:space="preserve">For organizations with heavy Microsoft/Azure investment seeking cost optimization: Microsoft Sentinel as SIEM with native SOAR capabilities, Microsoft Defender XDR suite for endpoint, identity, email, and app protection, Microsoft Copilot for Security as AI assistant across security tools, Azure-based infrastructure leveraging existing agreements, and third-party threat intelligence integration via Sentinel data connectors.</w:t>
      </w:r>
    </w:p>
    <w:p>
      <w:pPr>
        <w:pStyle w:val="Heading3"/>
        <w:spacing w:after="120" w:before="240"/>
      </w:pPr>
      <w:bookmarkStart w:id="100049" w:name="_Toc100049"/>
      <w:r>
        <w:rPr>
          <w:rFonts w:ascii="SimHei" w:eastAsia="SimHei"/>
          <w:b/>
          <w:bCs/>
          <w:color w:val="4a5568"/>
          <w:sz w:val="24"/>
          <w:szCs w:val="24"/>
        </w:rPr>
        <w:t xml:space="preserve">Alternative: Open Platform Stack</w:t>
      </w:r>
      <w:bookmarkEnd w:id="100049"/>
    </w:p>
    <w:p>
      <w:pPr>
        <w:spacing w:after="120" w:line="312"/>
        <w:ind w:firstLine="480"/>
        <w:jc w:val="both"/>
      </w:pPr>
      <w:r>
        <w:rPr>
          <w:rFonts w:ascii="SimSun" w:eastAsia="SimSun"/>
          <w:color w:val="2d3748"/>
          <w:sz w:val="24"/>
          <w:szCs w:val="24"/>
        </w:rPr>
        <w:t xml:space="preserve">For organizations prioritizing flexibility and avoiding vendor lock-in: Elasticsearch/Elastic Security for SIEM and log management with Open Detections rules, TheHive for case management and collaborative analysis, Cortex SOAR (open source edition) for orchestration and automation, MISP for threat intelligence management, and best-of-breed point solutions for EDR, NDR, and other capabilities selected independently.</w:t>
      </w:r>
    </w:p>
    <w:p>
      <w:pPr>
        <w:pStyle w:val="Heading1"/>
        <w:spacing w:after="200" w:before="400"/>
      </w:pPr>
      <w:bookmarkStart w:id="100050" w:name="_Toc100050"/>
      <w:r>
        <w:rPr>
          <w:rFonts w:ascii="SimHei" w:eastAsia="SimHei"/>
          <w:b/>
          <w:bCs/>
          <w:color w:val="1a365d"/>
          <w:sz w:val="32"/>
          <w:szCs w:val="32"/>
        </w:rPr>
        <w:t xml:space="preserve">AI-Powered Capabilities</w:t>
      </w:r>
      <w:bookmarkEnd w:id="100050"/>
    </w:p>
    <w:p>
      <w:pPr>
        <w:pStyle w:val="Heading2"/>
        <w:spacing w:after="150" w:before="300"/>
      </w:pPr>
      <w:bookmarkStart w:id="100051" w:name="_Toc100051"/>
      <w:r>
        <w:rPr>
          <w:rFonts w:ascii="SimHei" w:eastAsia="SimHei"/>
          <w:b/>
          <w:bCs/>
          <w:color w:val="1a365d"/>
          <w:sz w:val="28"/>
          <w:szCs w:val="28"/>
        </w:rPr>
        <w:t xml:space="preserve">AI Strategy Overview</w:t>
      </w:r>
      <w:bookmarkEnd w:id="100051"/>
    </w:p>
    <w:p>
      <w:pPr>
        <w:spacing w:after="120" w:line="312"/>
        <w:ind w:firstLine="480"/>
        <w:jc w:val="both"/>
      </w:pPr>
      <w:r>
        <w:rPr>
          <w:rFonts w:ascii="SimSun" w:eastAsia="SimSun"/>
          <w:color w:val="2d3748"/>
          <w:sz w:val="24"/>
          <w:szCs w:val="24"/>
        </w:rPr>
        <w:t xml:space="preserve">Artificial intelligence represents the most transformative force in security operations evolution. The National SOC's AI strategy envisions progressive capability maturation from basic automation through assisted intelligence toward autonomous operation. This journey requires careful planning around data foundations, model governance, human-AI collaboration models, and continuous adaptation to adversarial AI developments.</w:t>
      </w:r>
    </w:p>
    <w:p>
      <w:pPr>
        <w:spacing w:after="120" w:line="312"/>
        <w:ind w:firstLine="480"/>
        <w:jc w:val="both"/>
      </w:pPr>
      <w:r>
        <w:rPr>
          <w:rFonts w:ascii="SimSun" w:eastAsia="SimSun"/>
          <w:color w:val="2d3748"/>
          <w:sz w:val="24"/>
          <w:szCs w:val="24"/>
        </w:rPr>
        <w:t xml:space="preserve">The AI strategy rests on three pillars. First, data foundation ensures AI models train on high-quality, representative data with proper labeling and bias mitigation. Second, human-AI collaboration defines clear boundaries where AI augments human judgment versus where humans supervise AI decisions. Third, adaptive learning enables continuous model improvement based on operational feedback and emerging threat patterns.</w:t>
      </w:r>
    </w:p>
    <w:p>
      <w:pPr>
        <w:pStyle w:val="Heading2"/>
        <w:spacing w:after="150" w:before="300"/>
      </w:pPr>
      <w:bookmarkStart w:id="100052" w:name="_Toc100052"/>
      <w:r>
        <w:rPr>
          <w:rFonts w:ascii="SimHei" w:eastAsia="SimHei"/>
          <w:b/>
          <w:bCs/>
          <w:color w:val="1a365d"/>
          <w:sz w:val="28"/>
          <w:szCs w:val="28"/>
        </w:rPr>
        <w:t xml:space="preserve">Current AI Applications in SOC Operations</w:t>
      </w:r>
      <w:bookmarkEnd w:id="100052"/>
    </w:p>
    <w:p>
      <w:pPr>
        <w:pStyle w:val="Heading3"/>
        <w:spacing w:after="120" w:before="240"/>
      </w:pPr>
      <w:bookmarkStart w:id="100053" w:name="_Toc100053"/>
      <w:r>
        <w:rPr>
          <w:rFonts w:ascii="SimHei" w:eastAsia="SimHei"/>
          <w:b/>
          <w:bCs/>
          <w:color w:val="4a5568"/>
          <w:sz w:val="24"/>
          <w:szCs w:val="24"/>
        </w:rPr>
        <w:t xml:space="preserve">AI-Assisted Detection</w:t>
      </w:r>
      <w:bookmarkEnd w:id="100053"/>
    </w:p>
    <w:p>
      <w:pPr>
        <w:spacing w:after="120" w:line="312"/>
        <w:ind w:firstLine="480"/>
        <w:jc w:val="both"/>
      </w:pPr>
      <w:r>
        <w:rPr>
          <w:rFonts w:ascii="SimSun" w:eastAsia="SimSun"/>
          <w:color w:val="2d3748"/>
          <w:sz w:val="24"/>
          <w:szCs w:val="24"/>
        </w:rPr>
        <w:t xml:space="preserve">Machine learning models enhance detection capability beyond rule-based approaches. Supervised learning models classify events as benign or malicious based on labeled training data, achieving high accuracy for known threat patterns. Unsupervised learning identifies anomalies without prior labeling, surfacing novel attack techniques. Deep learning processes complex data types including network packets, executable files, and document contents. Graph neural networks analyze relationship patterns revealing multi-stage attacks invisible to single-event analysis.</w:t>
      </w:r>
    </w:p>
    <w:p>
      <w:pPr>
        <w:pStyle w:val="Heading3"/>
        <w:spacing w:after="120" w:before="240"/>
      </w:pPr>
      <w:bookmarkStart w:id="100054" w:name="_Toc100054"/>
      <w:r>
        <w:rPr>
          <w:rFonts w:ascii="SimHei" w:eastAsia="SimHei"/>
          <w:b/>
          <w:bCs/>
          <w:color w:val="4a5568"/>
          <w:sz w:val="24"/>
          <w:szCs w:val="24"/>
        </w:rPr>
        <w:t xml:space="preserve">AI-Augmented Investigation</w:t>
      </w:r>
      <w:bookmarkEnd w:id="100054"/>
    </w:p>
    <w:p>
      <w:pPr>
        <w:spacing w:after="120" w:line="312"/>
        <w:ind w:firstLine="480"/>
        <w:jc w:val="both"/>
      </w:pPr>
      <w:r>
        <w:rPr>
          <w:rFonts w:ascii="SimSun" w:eastAsia="SimSun"/>
          <w:color w:val="2d3748"/>
          <w:sz w:val="24"/>
          <w:szCs w:val="24"/>
        </w:rPr>
        <w:t xml:space="preserve">Generative AI assistants transform analyst productivity by summarizing alert context from multiple data sources, suggesting relevant historical incidents and their resolutions, generating investigation queries in natural language, drafting incident reports and communications, explaining detection logic and recommended actions, and translating technical findings for non-technical stakeholders. Leading implementations include Microsoft Copilot for Security, Google Gemini in SecOps, CrowdStrike Charlotte AI, and SentinelOne Purple AI.</w:t>
      </w:r>
    </w:p>
    <w:p>
      <w:pPr>
        <w:pStyle w:val="Heading3"/>
        <w:spacing w:after="120" w:before="240"/>
      </w:pPr>
      <w:bookmarkStart w:id="100055" w:name="_Toc100055"/>
      <w:r>
        <w:rPr>
          <w:rFonts w:ascii="SimHei" w:eastAsia="SimHei"/>
          <w:b/>
          <w:bCs/>
          <w:color w:val="4a5568"/>
          <w:sz w:val="24"/>
          <w:szCs w:val="24"/>
        </w:rPr>
        <w:t xml:space="preserve">Automated Response</w:t>
      </w:r>
      <w:bookmarkEnd w:id="100055"/>
    </w:p>
    <w:p>
      <w:pPr>
        <w:spacing w:after="120" w:line="312"/>
        <w:ind w:firstLine="480"/>
        <w:jc w:val="both"/>
      </w:pPr>
      <w:r>
        <w:rPr>
          <w:rFonts w:ascii="SimSun" w:eastAsia="SimSun"/>
          <w:color w:val="2d3748"/>
          <w:sz w:val="24"/>
          <w:szCs w:val="24"/>
        </w:rPr>
        <w:t xml:space="preserve">AI enables more sophisticated automated response decisions. Risk-scoring models evaluate response action potential impact before execution. Context-aware playbooks adapt procedures based on affected asset criticality, user importance, and business calendar. Natural language processing extracts actionable information from phishing reports, user submissions, and external communications. Predictive models anticipate attacker next steps enabling preemptive defensive actions.</w:t>
      </w:r>
    </w:p>
    <w:p>
      <w:pPr>
        <w:pStyle w:val="Heading2"/>
        <w:spacing w:after="150" w:before="300"/>
      </w:pPr>
      <w:bookmarkStart w:id="100056" w:name="_Toc100056"/>
      <w:r>
        <w:rPr>
          <w:rFonts w:ascii="SimHei" w:eastAsia="SimHei"/>
          <w:b/>
          <w:bCs/>
          <w:color w:val="1a365d"/>
          <w:sz w:val="28"/>
          <w:szCs w:val="28"/>
        </w:rPr>
        <w:t xml:space="preserve">Roadmap to Autonomous SOC</w:t>
      </w:r>
      <w:bookmarkEnd w:id="100056"/>
    </w:p>
    <w:p>
      <w:pPr>
        <w:pStyle w:val="Heading3"/>
        <w:spacing w:after="120" w:before="240"/>
      </w:pPr>
      <w:bookmarkStart w:id="100057" w:name="_Toc100057"/>
      <w:r>
        <w:rPr>
          <w:rFonts w:ascii="SimHei" w:eastAsia="SimHei"/>
          <w:b/>
          <w:bCs/>
          <w:color w:val="4a5568"/>
          <w:sz w:val="24"/>
          <w:szCs w:val="24"/>
        </w:rPr>
        <w:t xml:space="preserve">Phase 1: AI-Assisted (Year 1-2)</w:t>
      </w:r>
      <w:bookmarkEnd w:id="100057"/>
    </w:p>
    <w:p>
      <w:pPr>
        <w:spacing w:after="120" w:line="312"/>
        <w:ind w:firstLine="480"/>
        <w:jc w:val="both"/>
      </w:pPr>
      <w:r>
        <w:rPr>
          <w:rFonts w:ascii="SimSun" w:eastAsia="SimSun"/>
          <w:color w:val="2d3748"/>
          <w:sz w:val="24"/>
          <w:szCs w:val="24"/>
        </w:rPr>
        <w:t xml:space="preserve">Initial AI deployment focuses on augmenting human analysts without autonomous decision authority. Implement AI-powered alert prioritization reducing analyst triage burden. Deploy natural language investigation assistants accelerating case analysis. Automate routine enrichment tasks currently consuming analyst time. Establish ML-based anomaly detection supplementing rule-based detection. Build data pipelines and model governance foundations for future expansion.</w:t>
      </w:r>
    </w:p>
    <w:p>
      <w:pPr>
        <w:pStyle w:val="Heading3"/>
        <w:spacing w:after="120" w:before="240"/>
      </w:pPr>
      <w:bookmarkStart w:id="100058" w:name="_Toc100058"/>
      <w:r>
        <w:rPr>
          <w:rFonts w:ascii="SimHei" w:eastAsia="SimHei"/>
          <w:b/>
          <w:bCs/>
          <w:color w:val="4a5568"/>
          <w:sz w:val="24"/>
          <w:szCs w:val="24"/>
        </w:rPr>
        <w:t xml:space="preserve">Phase 2: Semi-Autonomous (Year 2-3)</w:t>
      </w:r>
      <w:bookmarkEnd w:id="100058"/>
    </w:p>
    <w:p>
      <w:pPr>
        <w:spacing w:after="120" w:line="312"/>
        <w:ind w:firstLine="480"/>
        <w:jc w:val="both"/>
      </w:pPr>
      <w:r>
        <w:rPr>
          <w:rFonts w:ascii="SimSun" w:eastAsia="SimSun"/>
          <w:color w:val="2d3748"/>
          <w:sz w:val="24"/>
          <w:szCs w:val="24"/>
        </w:rPr>
        <w:t xml:space="preserve">AI assumes limited autonomous authority for well-defined scenarios with human oversight. Enable automatic containment of clearly malicious activity meeting confidence thresholds. Implement auto-closure of false positive alerts with analyst spot-checking. Deploy AI-driven threat hunting generating hypotheses for human validation. Introduce predictive analytics forecasting likely attack vectors. Expand UEBA coverage with refined behavioral models.</w:t>
      </w:r>
    </w:p>
    <w:p>
      <w:pPr>
        <w:pStyle w:val="Heading3"/>
        <w:spacing w:after="120" w:before="240"/>
      </w:pPr>
      <w:bookmarkStart w:id="100059" w:name="_Toc100059"/>
      <w:r>
        <w:rPr>
          <w:rFonts w:ascii="SimHei" w:eastAsia="SimHei"/>
          <w:b/>
          <w:bCs/>
          <w:color w:val="4a5568"/>
          <w:sz w:val="24"/>
          <w:szCs w:val="24"/>
        </w:rPr>
        <w:t xml:space="preserve">Phase 3: Autonomous Operations (Year 3-5)</w:t>
      </w:r>
      <w:bookmarkEnd w:id="100059"/>
    </w:p>
    <w:p>
      <w:pPr>
        <w:spacing w:after="120" w:line="312"/>
        <w:ind w:firstLine="480"/>
        <w:jc w:val="both"/>
      </w:pPr>
      <w:r>
        <w:rPr>
          <w:rFonts w:ascii="SimSun" w:eastAsia="SimSun"/>
          <w:color w:val="2d3748"/>
          <w:sz w:val="24"/>
          <w:szCs w:val="24"/>
        </w:rPr>
        <w:t xml:space="preserve">AI manages majority of security events with human focus on edge cases and strategic matters. Autonomous investigation and resolution of routine alert categories. AI agents coordinate multi-step response procedures across integrated systems. Continuous red teaming validates AI decision-making through adversarial testing. Predictive security operations anticipate and prevent attacks before execution. Human analysts evolve to AI supervisor and complex investigator roles.</w:t>
      </w:r>
    </w:p>
    <w:p>
      <w:pPr>
        <w:pStyle w:val="Heading2"/>
        <w:spacing w:after="150" w:before="300"/>
      </w:pPr>
      <w:bookmarkStart w:id="100060" w:name="_Toc100060"/>
      <w:r>
        <w:rPr>
          <w:rFonts w:ascii="SimHei" w:eastAsia="SimHei"/>
          <w:b/>
          <w:bCs/>
          <w:color w:val="1a365d"/>
          <w:sz w:val="28"/>
          <w:szCs w:val="28"/>
        </w:rPr>
        <w:t xml:space="preserve">Implementation Considerations</w:t>
      </w:r>
      <w:bookmarkEnd w:id="100060"/>
    </w:p>
    <w:p>
      <w:pPr>
        <w:pStyle w:val="Heading3"/>
        <w:spacing w:after="120" w:before="240"/>
      </w:pPr>
      <w:bookmarkStart w:id="100061" w:name="_Toc100061"/>
      <w:r>
        <w:rPr>
          <w:rFonts w:ascii="SimHei" w:eastAsia="SimHei"/>
          <w:b/>
          <w:bCs/>
          <w:color w:val="4a5568"/>
          <w:sz w:val="24"/>
          <w:szCs w:val="24"/>
        </w:rPr>
        <w:t xml:space="preserve">Data Requirements</w:t>
      </w:r>
      <w:bookmarkEnd w:id="100061"/>
    </w:p>
    <w:p>
      <w:pPr>
        <w:spacing w:after="120" w:line="312"/>
        <w:ind w:firstLine="480"/>
        <w:jc w:val="both"/>
      </w:pPr>
      <w:r>
        <w:rPr>
          <w:rFonts w:ascii="SimSun" w:eastAsia="SimSun"/>
          <w:color w:val="2d3748"/>
          <w:sz w:val="24"/>
          <w:szCs w:val="24"/>
        </w:rPr>
        <w:t xml:space="preserve">AI effectiveness depends critically on data quality and availability. Ensure comprehensive data collection covering all relevant attack surfaces before model training. Maintain labeled datasets for supervised learning with regular updates reflecting new threat patterns. Preserve privacy and comply with data protection regulations when training on production data. Implement data lineage tracking connecting model predictions to input features for explainability.</w:t>
      </w:r>
    </w:p>
    <w:p>
      <w:pPr>
        <w:pStyle w:val="Heading3"/>
        <w:spacing w:after="120" w:before="240"/>
      </w:pPr>
      <w:bookmarkStart w:id="100062" w:name="_Toc100062"/>
      <w:r>
        <w:rPr>
          <w:rFonts w:ascii="SimHei" w:eastAsia="SimHei"/>
          <w:b/>
          <w:bCs/>
          <w:color w:val="4a5568"/>
          <w:sz w:val="24"/>
          <w:szCs w:val="24"/>
        </w:rPr>
        <w:t xml:space="preserve">Model Governance</w:t>
      </w:r>
      <w:bookmarkEnd w:id="100062"/>
    </w:p>
    <w:p>
      <w:pPr>
        <w:spacing w:after="120" w:line="312"/>
        <w:ind w:firstLine="480"/>
        <w:jc w:val="both"/>
      </w:pPr>
      <w:r>
        <w:rPr>
          <w:rFonts w:ascii="SimSun" w:eastAsia="SimSun"/>
          <w:color w:val="2d3748"/>
          <w:sz w:val="24"/>
          <w:szCs w:val="24"/>
        </w:rPr>
        <w:t xml:space="preserve">AI in security operations demands rigorous governance frameworks. Establish model validation procedures ensuring accuracy before production deployment. Define confidence thresholds for autonomous actions with conservative initial settings. Implement monitoring detecting model drift and performance degradation. Create feedback loops incorporating analyst corrections into model retraining. Document model decisions for audit and accountability purposes.</w:t>
      </w:r>
    </w:p>
    <w:p>
      <w:pPr>
        <w:pStyle w:val="Heading3"/>
        <w:spacing w:after="120" w:before="240"/>
      </w:pPr>
      <w:bookmarkStart w:id="100063" w:name="_Toc100063"/>
      <w:r>
        <w:rPr>
          <w:rFonts w:ascii="SimHei" w:eastAsia="SimHei"/>
          <w:b/>
          <w:bCs/>
          <w:color w:val="4a5568"/>
          <w:sz w:val="24"/>
          <w:szCs w:val="24"/>
        </w:rPr>
        <w:t xml:space="preserve">Adversarial AI Defense</w:t>
      </w:r>
      <w:bookmarkEnd w:id="100063"/>
    </w:p>
    <w:p>
      <w:pPr>
        <w:spacing w:after="120" w:line="312"/>
        <w:ind w:firstLine="480"/>
        <w:jc w:val="both"/>
      </w:pPr>
      <w:r>
        <w:rPr>
          <w:rFonts w:ascii="SimSun" w:eastAsia="SimSun"/>
          <w:color w:val="2d3748"/>
          <w:sz w:val="24"/>
          <w:szCs w:val="24"/>
        </w:rPr>
        <w:t xml:space="preserve">As AI becomes central to defense, adversaries will target AI systems directly. Defend against adversarial inputs designed to manipulate model outputs. Detect poisoning attempts corrupting training data or feedback channels. Monitor for model extraction attempts reverse-engineering proprietary capabilities. Maintain fallback procedures when AI systems are compromised or unavailable. Participate in information sharing regarding adversarial AI threats and defenses.</w:t>
      </w:r>
    </w:p>
    <w:p>
      <w:pPr>
        <w:pStyle w:val="Heading1"/>
        <w:spacing w:after="200" w:before="400"/>
      </w:pPr>
      <w:bookmarkStart w:id="100064" w:name="_Toc100064"/>
      <w:r>
        <w:rPr>
          <w:rFonts w:ascii="SimHei" w:eastAsia="SimHei"/>
          <w:b/>
          <w:bCs/>
          <w:color w:val="1a365d"/>
          <w:sz w:val="32"/>
          <w:szCs w:val="32"/>
        </w:rPr>
        <w:t xml:space="preserve">Implementation Roadmap (2026-2030)</w:t>
      </w:r>
      <w:bookmarkEnd w:id="100064"/>
    </w:p>
    <w:p>
      <w:pPr>
        <w:pStyle w:val="Heading2"/>
        <w:spacing w:after="150" w:before="300"/>
      </w:pPr>
      <w:bookmarkStart w:id="100065" w:name="_Toc100065"/>
      <w:r>
        <w:rPr>
          <w:rFonts w:ascii="SimHei" w:eastAsia="SimHei"/>
          <w:b/>
          <w:bCs/>
          <w:color w:val="1a365d"/>
          <w:sz w:val="28"/>
          <w:szCs w:val="28"/>
        </w:rPr>
        <w:t xml:space="preserve">Phased Implementation Approach</w:t>
      </w:r>
      <w:bookmarkEnd w:id="100065"/>
    </w:p>
    <w:p>
      <w:pPr>
        <w:spacing w:after="120" w:line="312"/>
        <w:ind w:firstLine="480"/>
        <w:jc w:val="both"/>
      </w:pPr>
      <w:r>
        <w:rPr>
          <w:rFonts w:ascii="SimSun" w:eastAsia="SimSun"/>
          <w:color w:val="2d3748"/>
          <w:sz w:val="24"/>
          <w:szCs w:val="24"/>
        </w:rPr>
        <w:t xml:space="preserve">The five-year implementation plan organizes into distinct phases, each delivering incremental capability while building toward the ultimate vision. Phasing enables early value demonstration, reduces implementation risk, allows course correction based on experience, and aligns investment with budget cycles and organizational readiness.</w:t>
      </w:r>
    </w:p>
    <w:p>
      <w:pPr>
        <w:pStyle w:val="Heading2"/>
        <w:spacing w:after="150" w:before="300"/>
      </w:pPr>
      <w:bookmarkStart w:id="100066" w:name="_Toc100066"/>
      <w:r>
        <w:rPr>
          <w:rFonts w:ascii="SimHei" w:eastAsia="SimHei"/>
          <w:b/>
          <w:bCs/>
          <w:color w:val="1a365d"/>
          <w:sz w:val="28"/>
          <w:szCs w:val="28"/>
        </w:rPr>
        <w:t xml:space="preserve">Phase 1: Foundation (Months 1-18)</w:t>
      </w:r>
      <w:bookmarkEnd w:id="100066"/>
    </w:p>
    <w:p>
      <w:pPr>
        <w:pStyle w:val="Heading3"/>
        <w:spacing w:after="120" w:before="240"/>
      </w:pPr>
      <w:bookmarkStart w:id="100067" w:name="_Toc100067"/>
      <w:r>
        <w:rPr>
          <w:rFonts w:ascii="SimHei" w:eastAsia="SimHei"/>
          <w:b/>
          <w:bCs/>
          <w:color w:val="4a5568"/>
          <w:sz w:val="24"/>
          <w:szCs w:val="24"/>
        </w:rPr>
        <w:t xml:space="preserve">Objectives</w:t>
      </w:r>
      <w:bookmarkEnd w:id="100067"/>
    </w:p>
    <w:p>
      <w:pPr>
        <w:spacing w:after="120" w:line="312"/>
        <w:ind w:firstLine="480"/>
        <w:jc w:val="both"/>
      </w:pPr>
      <w:r>
        <w:rPr>
          <w:rFonts w:ascii="SimSun" w:eastAsia="SimSun"/>
          <w:color w:val="2d3748"/>
          <w:sz w:val="24"/>
          <w:szCs w:val="24"/>
        </w:rPr>
        <w:t xml:space="preserve">Phase 1 establishes the foundational infrastructure, core platforms, and initial team necessary for basic SOC operations. By phase conclusion, the SOC should be capable of monitoring pilot organizations, responding to straightforward security events, and demonstrating value to stakeholders justifying continued investment.</w:t>
      </w:r>
    </w:p>
    <w:p>
      <w:pPr>
        <w:pStyle w:val="Heading3"/>
        <w:spacing w:after="120" w:before="240"/>
      </w:pPr>
      <w:bookmarkStart w:id="100068" w:name="_Toc100068"/>
      <w:r>
        <w:rPr>
          <w:rFonts w:ascii="SimHei" w:eastAsia="SimHei"/>
          <w:b/>
          <w:bCs/>
          <w:color w:val="4a5568"/>
          <w:sz w:val="24"/>
          <w:szCs w:val="24"/>
        </w:rPr>
        <w:t xml:space="preserve">Key Deliverables</w:t>
      </w:r>
      <w:bookmarkEnd w:id="100068"/>
    </w:p>
    <w:p>
      <w:pPr>
        <w:spacing w:after="120" w:line="312"/>
        <w:ind w:firstLine="480"/>
        <w:jc w:val="both"/>
      </w:pPr>
      <w:r>
        <w:rPr>
          <w:rFonts w:ascii="SimSun" w:eastAsia="SimSun"/>
          <w:color w:val="2d3748"/>
          <w:sz w:val="24"/>
          <w:szCs w:val="24"/>
        </w:rPr>
        <w:t xml:space="preserve">Infrastructure deployment includes primary data center build-out with power, cooling, and physical security, compute and storage infrastructure for SOC platforms, network connectivity to constituent organizations and internet exchanges, security operations workspace including video wall and analyst stations, and disaster recovery site identification and initial preparation.</w:t>
      </w:r>
    </w:p>
    <w:p>
      <w:pPr>
        <w:spacing w:after="120" w:line="312"/>
        <w:ind w:firstLine="480"/>
        <w:jc w:val="both"/>
      </w:pPr>
      <w:r>
        <w:rPr>
          <w:rFonts w:ascii="SimSun" w:eastAsia="SimSun"/>
          <w:color w:val="2d3748"/>
          <w:sz w:val="24"/>
          <w:szCs w:val="24"/>
        </w:rPr>
        <w:t xml:space="preserve">Platform implementation encompasses SIEM platform deployment and initial data source integration, SOAR platform installation with foundational playbooks, EDR/XDR deployment across pilot endpoint population, basic threat intelligence feed integration, and ticketing system integration for incident tracking.</w:t>
      </w:r>
    </w:p>
    <w:p>
      <w:pPr>
        <w:spacing w:after="120" w:line="312"/>
        <w:ind w:firstLine="480"/>
        <w:jc w:val="both"/>
      </w:pPr>
      <w:r>
        <w:rPr>
          <w:rFonts w:ascii="SimSun" w:eastAsia="SimSun"/>
          <w:color w:val="2d3748"/>
          <w:sz w:val="24"/>
          <w:szCs w:val="24"/>
        </w:rPr>
        <w:t xml:space="preserve">Team establishment involves hiring SOC leadership (Director, Manager), recruiting initial analyst cohort (8-12 L1/L2 analysts), contracting specialized resources (threat hunter, DFIR consultant), establishing training program and certification pathways, and developing initial standard operating procedures.</w:t>
      </w:r>
    </w:p>
    <w:p>
      <w:pPr>
        <w:pStyle w:val="Heading3"/>
        <w:spacing w:after="120" w:before="240"/>
      </w:pPr>
      <w:bookmarkStart w:id="100069" w:name="_Toc100069"/>
      <w:r>
        <w:rPr>
          <w:rFonts w:ascii="SimHei" w:eastAsia="SimHei"/>
          <w:b/>
          <w:bCs/>
          <w:color w:val="4a5568"/>
          <w:sz w:val="24"/>
          <w:szCs w:val="24"/>
        </w:rPr>
        <w:t xml:space="preserve">Milestone: Minimum Viable SOC (Month 12)</w:t>
      </w:r>
      <w:bookmarkEnd w:id="100069"/>
    </w:p>
    <w:p>
      <w:pPr>
        <w:spacing w:after="120" w:line="312"/>
        <w:ind w:firstLine="480"/>
        <w:jc w:val="both"/>
      </w:pPr>
      <w:r>
        <w:rPr>
          <w:rFonts w:ascii="SimSun" w:eastAsia="SimSun"/>
          <w:color w:val="2d3748"/>
          <w:sz w:val="24"/>
          <w:szCs w:val="24"/>
        </w:rPr>
        <w:t xml:space="preserve">Achieve capability to monitor 50+ pilot sites, process 100K+ EPS, investigate and respond to security alerts with documented procedures, generate basic compliance and operational reports, and provide 16/7 coverage with on-call extension to 24/7.</w:t>
      </w:r>
    </w:p>
    <w:p>
      <w:pPr>
        <w:pStyle w:val="Heading2"/>
        <w:spacing w:after="150" w:before="300"/>
      </w:pPr>
      <w:bookmarkStart w:id="100070" w:name="_Toc100070"/>
      <w:r>
        <w:rPr>
          <w:rFonts w:ascii="SimHei" w:eastAsia="SimHei"/>
          <w:b/>
          <w:bCs/>
          <w:color w:val="1a365d"/>
          <w:sz w:val="28"/>
          <w:szCs w:val="28"/>
        </w:rPr>
        <w:t xml:space="preserve">Phase 2: Expansion (Months 19-36)</w:t>
      </w:r>
      <w:bookmarkEnd w:id="100070"/>
    </w:p>
    <w:p>
      <w:pPr>
        <w:pStyle w:val="Heading3"/>
        <w:spacing w:after="120" w:before="240"/>
      </w:pPr>
      <w:bookmarkStart w:id="100071" w:name="_Toc100071"/>
      <w:r>
        <w:rPr>
          <w:rFonts w:ascii="SimHei" w:eastAsia="SimHei"/>
          <w:b/>
          <w:bCs/>
          <w:color w:val="4a5568"/>
          <w:sz w:val="24"/>
          <w:szCs w:val="24"/>
        </w:rPr>
        <w:t xml:space="preserve">Objectives</w:t>
      </w:r>
      <w:bookmarkEnd w:id="100071"/>
    </w:p>
    <w:p>
      <w:pPr>
        <w:spacing w:after="120" w:line="312"/>
        <w:ind w:firstLine="480"/>
        <w:jc w:val="both"/>
      </w:pPr>
      <w:r>
        <w:rPr>
          <w:rFonts w:ascii="SimSun" w:eastAsia="SimSun"/>
          <w:color w:val="2d3748"/>
          <w:sz w:val="24"/>
          <w:szCs w:val="24"/>
        </w:rPr>
        <w:t xml:space="preserve">Phase 2 expands coverage, matures capabilities, and introduces advanced features. The SOC transitions from pilot operation to production service delivery for priority constituents.</w:t>
      </w:r>
    </w:p>
    <w:p>
      <w:pPr>
        <w:pStyle w:val="Heading3"/>
        <w:spacing w:after="120" w:before="240"/>
      </w:pPr>
      <w:bookmarkStart w:id="100072" w:name="_Toc100072"/>
      <w:r>
        <w:rPr>
          <w:rFonts w:ascii="SimHei" w:eastAsia="SimHei"/>
          <w:b/>
          <w:bCs/>
          <w:color w:val="4a5568"/>
          <w:sz w:val="24"/>
          <w:szCs w:val="24"/>
        </w:rPr>
        <w:t xml:space="preserve">Key Deliverables</w:t>
      </w:r>
      <w:bookmarkEnd w:id="100072"/>
    </w:p>
    <w:p>
      <w:pPr>
        <w:spacing w:after="120" w:line="312"/>
        <w:ind w:firstLine="480"/>
        <w:jc w:val="both"/>
      </w:pPr>
      <w:r>
        <w:rPr>
          <w:rFonts w:ascii="SimSun" w:eastAsia="SimSun"/>
          <w:color w:val="2d3748"/>
          <w:sz w:val="24"/>
          <w:szCs w:val="24"/>
        </w:rPr>
        <w:t xml:space="preserve">Coverage expansion scales monitored sites to 300+, achieves 500K+ EPS processing, onboard priority government agencies and critical infrastructure, establishes data collection from cloud environments, and deploys network detection sensors at key network points.</w:t>
      </w:r>
    </w:p>
    <w:p>
      <w:pPr>
        <w:spacing w:after="120" w:line="312"/>
        <w:ind w:firstLine="480"/>
        <w:jc w:val="both"/>
      </w:pPr>
      <w:r>
        <w:rPr>
          <w:rFonts w:ascii="SimSun" w:eastAsia="SimSun"/>
          <w:color w:val="2d3748"/>
          <w:sz w:val="24"/>
          <w:szCs w:val="24"/>
        </w:rPr>
        <w:t xml:space="preserve">Capability maturation implements UEBA for insider threat and compromised account detection, launches threat hunting program with dedicated analysts, establishes malware analysis sandbox and capabilities, develops advanced detection content based on observed threats, and achieves initial compliance certifications (ISO 27001).</w:t>
      </w:r>
    </w:p>
    <w:p>
      <w:pPr>
        <w:spacing w:after="120" w:line="312"/>
        <w:ind w:firstLine="480"/>
        <w:jc w:val="both"/>
      </w:pPr>
      <w:r>
        <w:rPr>
          <w:rFonts w:ascii="SimSun" w:eastAsia="SimSun"/>
          <w:color w:val="2d3748"/>
          <w:sz w:val="24"/>
          <w:szCs w:val="24"/>
        </w:rPr>
        <w:t xml:space="preserve">Service delivery defines service tiers and SLAs for different customer segments, establishes customer portal for self-service and communication, implements billing/invoicing for paid services, creates customer success and account management function, and begins marketing and outreach to Phase 3 prospects.</w:t>
      </w:r>
    </w:p>
    <w:p>
      <w:pPr>
        <w:pStyle w:val="Heading3"/>
        <w:spacing w:after="120" w:before="240"/>
      </w:pPr>
      <w:bookmarkStart w:id="100073" w:name="_Toc100073"/>
      <w:r>
        <w:rPr>
          <w:rFonts w:ascii="SimHei" w:eastAsia="SimHei"/>
          <w:b/>
          <w:bCs/>
          <w:color w:val="4a5568"/>
          <w:sz w:val="24"/>
          <w:szCs w:val="24"/>
        </w:rPr>
        <w:t xml:space="preserve">Milestone: Production SOC (Month 30)</w:t>
      </w:r>
      <w:bookmarkEnd w:id="100073"/>
    </w:p>
    <w:p>
      <w:pPr>
        <w:spacing w:after="120" w:line="312"/>
        <w:ind w:firstLine="480"/>
        <w:jc w:val="both"/>
      </w:pPr>
      <w:r>
        <w:rPr>
          <w:rFonts w:ascii="SimSun" w:eastAsia="SimSun"/>
          <w:color w:val="2d3748"/>
          <w:sz w:val="24"/>
          <w:szCs w:val="24"/>
        </w:rPr>
        <w:t xml:space="preserve">Deliver 24/7 monitoring for 200+ constituent organizations, achieve MTTD &lt; 15 minutes for high-severity alerts, maintain MTTR &lt; 4 hours for standard incidents, reach 40% automation rate for routine alerts, and employ 50+ security professionals across all tiers.</w:t>
      </w:r>
    </w:p>
    <w:p>
      <w:pPr>
        <w:pStyle w:val="Heading2"/>
        <w:spacing w:after="150" w:before="300"/>
      </w:pPr>
      <w:bookmarkStart w:id="100074" w:name="_Toc100074"/>
      <w:r>
        <w:rPr>
          <w:rFonts w:ascii="SimHei" w:eastAsia="SimHei"/>
          <w:b/>
          <w:bCs/>
          <w:color w:val="1a365d"/>
          <w:sz w:val="28"/>
          <w:szCs w:val="28"/>
        </w:rPr>
        <w:t xml:space="preserve">Phase 3: Advanced Capabilities (Months 37-48)</w:t>
      </w:r>
      <w:bookmarkEnd w:id="100074"/>
    </w:p>
    <w:p>
      <w:pPr>
        <w:pStyle w:val="Heading3"/>
        <w:spacing w:after="120" w:before="240"/>
      </w:pPr>
      <w:bookmarkStart w:id="100075" w:name="_Toc100075"/>
      <w:r>
        <w:rPr>
          <w:rFonts w:ascii="SimHei" w:eastAsia="SimHei"/>
          <w:b/>
          <w:bCs/>
          <w:color w:val="4a5568"/>
          <w:sz w:val="24"/>
          <w:szCs w:val="24"/>
        </w:rPr>
        <w:t xml:space="preserve">Objectives</w:t>
      </w:r>
      <w:bookmarkEnd w:id="100075"/>
    </w:p>
    <w:p>
      <w:pPr>
        <w:spacing w:after="120" w:line="312"/>
        <w:ind w:firstLine="480"/>
        <w:jc w:val="both"/>
      </w:pPr>
      <w:r>
        <w:rPr>
          <w:rFonts w:ascii="SimSun" w:eastAsia="SimSun"/>
          <w:color w:val="2d3748"/>
          <w:sz w:val="24"/>
          <w:szCs w:val="24"/>
        </w:rPr>
        <w:t xml:space="preserve">Phase 3 introduces AI-powered capabilities, achieves full operational maturity, and positions for autonomous operation trajectory.</w:t>
      </w:r>
    </w:p>
    <w:p>
      <w:pPr>
        <w:pStyle w:val="Heading3"/>
        <w:spacing w:after="120" w:before="240"/>
      </w:pPr>
      <w:bookmarkStart w:id="100076" w:name="_Toc100076"/>
      <w:r>
        <w:rPr>
          <w:rFonts w:ascii="SimHei" w:eastAsia="SimHei"/>
          <w:b/>
          <w:bCs/>
          <w:color w:val="4a5568"/>
          <w:sz w:val="24"/>
          <w:szCs w:val="24"/>
        </w:rPr>
        <w:t xml:space="preserve">Key Deliverables</w:t>
      </w:r>
      <w:bookmarkEnd w:id="100076"/>
    </w:p>
    <w:p>
      <w:pPr>
        <w:spacing w:after="120" w:line="312"/>
        <w:ind w:firstLine="480"/>
        <w:jc w:val="both"/>
      </w:pPr>
      <w:r>
        <w:rPr>
          <w:rFonts w:ascii="SimSun" w:eastAsia="SimSun"/>
          <w:color w:val="2d3748"/>
          <w:sz w:val="24"/>
          <w:szCs w:val="24"/>
        </w:rPr>
        <w:t xml:space="preserve">AI deployment implements AI assistant for analyst investigation support, deploys ML-based detection models supplementing rules, enables automated response for high-confidence scenarios, establishes AI model governance and monitoring framework, and begins measuring AI impact on analyst productivity.</w:t>
      </w:r>
    </w:p>
    <w:p>
      <w:pPr>
        <w:spacing w:after="120" w:line="312"/>
        <w:ind w:firstLine="480"/>
        <w:jc w:val="both"/>
      </w:pPr>
      <w:r>
        <w:rPr>
          <w:rFonts w:ascii="SimSun" w:eastAsia="SimSun"/>
          <w:color w:val="2d3748"/>
          <w:sz w:val="24"/>
          <w:szCs w:val="24"/>
        </w:rPr>
        <w:t xml:space="preserve">Advanced services launch proactive threat hunting service for premium customers, establish digital forensics lab for deep investigation support, develop custom threat intelligence products, create security advisory and consulting offerings, and implement attack surface management service.</w:t>
      </w:r>
    </w:p>
    <w:p>
      <w:pPr>
        <w:spacing w:after="120" w:line="312"/>
        <w:ind w:firstLine="480"/>
        <w:jc w:val="both"/>
      </w:pPr>
      <w:r>
        <w:rPr>
          <w:rFonts w:ascii="SimSun" w:eastAsia="SimSun"/>
          <w:color w:val="2d3748"/>
          <w:sz w:val="24"/>
          <w:szCs w:val="24"/>
        </w:rPr>
        <w:t xml:space="preserve">Operational excellence achieves MTTD &lt; 5 minutes target, reaches 60% automation rate, implements continuous improvement program based on metrics, passes independent maturity assessment, and receives industry recognition or certification.</w:t>
      </w:r>
    </w:p>
    <w:p>
      <w:pPr>
        <w:pStyle w:val="Heading2"/>
        <w:spacing w:after="150" w:before="300"/>
      </w:pPr>
      <w:bookmarkStart w:id="100077" w:name="_Toc100077"/>
      <w:r>
        <w:rPr>
          <w:rFonts w:ascii="SimHei" w:eastAsia="SimHei"/>
          <w:b/>
          <w:bCs/>
          <w:color w:val="1a365d"/>
          <w:sz w:val="28"/>
          <w:szCs w:val="28"/>
        </w:rPr>
        <w:t xml:space="preserve">Phase 4: Scale &amp; Optimization (Months 49-60)</w:t>
      </w:r>
      <w:bookmarkEnd w:id="100077"/>
    </w:p>
    <w:p>
      <w:pPr>
        <w:pStyle w:val="Heading3"/>
        <w:spacing w:after="120" w:before="240"/>
      </w:pPr>
      <w:bookmarkStart w:id="100078" w:name="_Toc100078"/>
      <w:r>
        <w:rPr>
          <w:rFonts w:ascii="SimHei" w:eastAsia="SimHei"/>
          <w:b/>
          <w:bCs/>
          <w:color w:val="4a5568"/>
          <w:sz w:val="24"/>
          <w:szCs w:val="24"/>
        </w:rPr>
        <w:t xml:space="preserve">Objectives</w:t>
      </w:r>
      <w:bookmarkEnd w:id="100078"/>
    </w:p>
    <w:p>
      <w:pPr>
        <w:spacing w:after="120" w:line="312"/>
        <w:ind w:firstLine="480"/>
        <w:jc w:val="both"/>
      </w:pPr>
      <w:r>
        <w:rPr>
          <w:rFonts w:ascii="SimSun" w:eastAsia="SimSun"/>
          <w:color w:val="2d3748"/>
          <w:sz w:val="24"/>
          <w:szCs w:val="24"/>
        </w:rPr>
        <w:t xml:space="preserve">Phase 4 achieves target scale, optimizes operations for efficiency, and prepares for future evolution.</w:t>
      </w:r>
    </w:p>
    <w:p>
      <w:pPr>
        <w:pStyle w:val="Heading3"/>
        <w:spacing w:after="120" w:before="240"/>
      </w:pPr>
      <w:bookmarkStart w:id="100079" w:name="_Toc100079"/>
      <w:r>
        <w:rPr>
          <w:rFonts w:ascii="SimHei" w:eastAsia="SimHei"/>
          <w:b/>
          <w:bCs/>
          <w:color w:val="4a5568"/>
          <w:sz w:val="24"/>
          <w:szCs w:val="24"/>
        </w:rPr>
        <w:t xml:space="preserve">Key Deliverables</w:t>
      </w:r>
      <w:bookmarkEnd w:id="100079"/>
    </w:p>
    <w:p>
      <w:pPr>
        <w:spacing w:after="120" w:line="312"/>
        <w:ind w:firstLine="480"/>
        <w:jc w:val="both"/>
      </w:pPr>
      <w:r>
        <w:rPr>
          <w:rFonts w:ascii="SimSun" w:eastAsia="SimSun"/>
          <w:color w:val="2d3748"/>
          <w:sz w:val="24"/>
          <w:szCs w:val="24"/>
        </w:rPr>
        <w:t xml:space="preserve">Scale achievement reaches 1000+ monitored sites, processes 1M+ EPS at peak, serves 500+ constituent organizations, employs 75-100 professionals, and operates across primary, secondary, and DR sites.</w:t>
      </w:r>
    </w:p>
    <w:p>
      <w:pPr>
        <w:spacing w:after="120" w:line="312"/>
        <w:ind w:firstLine="480"/>
        <w:jc w:val="both"/>
      </w:pPr>
      <w:r>
        <w:rPr>
          <w:rFonts w:ascii="SimSun" w:eastAsia="SimSun"/>
          <w:color w:val="2d3748"/>
          <w:sz w:val="24"/>
          <w:szCs w:val="24"/>
        </w:rPr>
        <w:t xml:space="preserve">Optimization initiatives implement cloud cost optimization and resource right-sizing, automate platform operations reducing engineering overhead, consolidate tools eliminating redundancy, optimize detection content reducing false positives, and streamline customer onboarding reducing time-to-value.</w:t>
      </w:r>
    </w:p>
    <w:p>
      <w:pPr>
        <w:spacing w:after="120" w:line="312"/>
        <w:ind w:firstLine="480"/>
        <w:jc w:val="both"/>
      </w:pPr>
      <w:r>
        <w:rPr>
          <w:rFonts w:ascii="SimSun" w:eastAsia="SimSun"/>
          <w:color w:val="2d3748"/>
          <w:sz w:val="24"/>
          <w:szCs w:val="24"/>
        </w:rPr>
        <w:t xml:space="preserve">Future preparation evaluates quantum-resistant cryptography migration path, assesses emerging technology adoption opportunities, develops 5-year refresh and evolution plan, explores international partnership and service export possibilities, and documents lessons learned for knowledge transfer.</w:t>
      </w:r>
    </w:p>
    <w:p>
      <w:pPr>
        <w:pStyle w:val="Heading2"/>
        <w:spacing w:after="150" w:before="300"/>
      </w:pPr>
      <w:bookmarkStart w:id="100080" w:name="_Toc100080"/>
      <w:r>
        <w:rPr>
          <w:rFonts w:ascii="SimHei" w:eastAsia="SimHei"/>
          <w:b/>
          <w:bCs/>
          <w:color w:val="1a365d"/>
          <w:sz w:val="28"/>
          <w:szCs w:val="28"/>
        </w:rPr>
        <w:t xml:space="preserve">Phase 5: Autonomous SOC Evolution (Years 5+)</w:t>
      </w:r>
      <w:bookmarkEnd w:id="100080"/>
    </w:p>
    <w:p>
      <w:pPr>
        <w:pStyle w:val="Heading3"/>
        <w:spacing w:after="120" w:before="240"/>
      </w:pPr>
      <w:bookmarkStart w:id="100081" w:name="_Toc100081"/>
      <w:r>
        <w:rPr>
          <w:rFonts w:ascii="SimHei" w:eastAsia="SimHei"/>
          <w:b/>
          <w:bCs/>
          <w:color w:val="4a5568"/>
          <w:sz w:val="24"/>
          <w:szCs w:val="24"/>
        </w:rPr>
        <w:t xml:space="preserve">Objectives</w:t>
      </w:r>
      <w:bookmarkEnd w:id="100081"/>
    </w:p>
    <w:p>
      <w:pPr>
        <w:spacing w:after="120" w:line="312"/>
        <w:ind w:firstLine="480"/>
        <w:jc w:val="both"/>
      </w:pPr>
      <w:r>
        <w:rPr>
          <w:rFonts w:ascii="SimSun" w:eastAsia="SimSun"/>
          <w:color w:val="2d3748"/>
          <w:sz w:val="24"/>
          <w:szCs w:val="24"/>
        </w:rPr>
        <w:t xml:space="preserve">Phase 5 continues capability evolution toward increasingly autonomous operations while maintaining human oversight for critical decisions.</w:t>
      </w:r>
    </w:p>
    <w:p>
      <w:pPr>
        <w:pStyle w:val="Heading3"/>
        <w:spacing w:after="120" w:before="240"/>
      </w:pPr>
      <w:bookmarkStart w:id="100082" w:name="_Toc100082"/>
      <w:r>
        <w:rPr>
          <w:rFonts w:ascii="SimHei" w:eastAsia="SimHei"/>
          <w:b/>
          <w:bCs/>
          <w:color w:val="4a5568"/>
          <w:sz w:val="24"/>
          <w:szCs w:val="24"/>
        </w:rPr>
        <w:t xml:space="preserve">Vision State Characteristics</w:t>
      </w:r>
      <w:bookmarkEnd w:id="100082"/>
    </w:p>
    <w:p>
      <w:pPr>
        <w:spacing w:after="120" w:line="312"/>
        <w:ind w:firstLine="480"/>
        <w:jc w:val="both"/>
      </w:pPr>
      <w:r>
        <w:rPr>
          <w:rFonts w:ascii="SimSun" w:eastAsia="SimSun"/>
          <w:color w:val="2d3748"/>
          <w:sz w:val="24"/>
          <w:szCs w:val="24"/>
        </w:rPr>
        <w:t xml:space="preserve">The mature autonomous SOC demonstrates 80%+ automation rate for all alerts, AI-managed investigation for routine incidents, predictive blocking preventing most known attack patterns, continuous automated red teaming validating defenses, self-healing systems automatically remediating detected vulnerabilities, and human analysts focused on strategic threat research, complex investigations, and AI supervision.</w:t>
      </w:r>
    </w:p>
    <w:p>
      <w:pPr>
        <w:pStyle w:val="Heading1"/>
        <w:spacing w:after="200" w:before="400"/>
      </w:pPr>
      <w:bookmarkStart w:id="100083" w:name="_Toc100083"/>
      <w:r>
        <w:rPr>
          <w:rFonts w:ascii="SimHei" w:eastAsia="SimHei"/>
          <w:b/>
          <w:bCs/>
          <w:color w:val="1a365d"/>
          <w:sz w:val="32"/>
          <w:szCs w:val="32"/>
        </w:rPr>
        <w:t xml:space="preserve">Organizational Model &amp; Team Structure</w:t>
      </w:r>
      <w:bookmarkEnd w:id="100083"/>
    </w:p>
    <w:p>
      <w:pPr>
        <w:pStyle w:val="Heading2"/>
        <w:spacing w:after="150" w:before="300"/>
      </w:pPr>
      <w:bookmarkStart w:id="100084" w:name="_Toc100084"/>
      <w:r>
        <w:rPr>
          <w:rFonts w:ascii="SimHei" w:eastAsia="SimHei"/>
          <w:b/>
          <w:bCs/>
          <w:color w:val="1a365d"/>
          <w:sz w:val="28"/>
          <w:szCs w:val="28"/>
        </w:rPr>
        <w:t xml:space="preserve">Organizational Design Principles</w:t>
      </w:r>
      <w:bookmarkEnd w:id="100084"/>
    </w:p>
    <w:p>
      <w:pPr>
        <w:spacing w:after="120" w:line="312"/>
        <w:ind w:firstLine="480"/>
        <w:jc w:val="both"/>
      </w:pPr>
      <w:r>
        <w:rPr>
          <w:rFonts w:ascii="SimSun" w:eastAsia="SimSun"/>
          <w:color w:val="2d3748"/>
          <w:sz w:val="24"/>
          <w:szCs w:val="24"/>
        </w:rPr>
        <w:t xml:space="preserve">The SOC organizational structure balances operational efficiency, career development, resilience, and scalability. Design principles guiding organizational decisions emphasize clear role definitions with documented responsibilities, tiered escalation paths matching issue complexity to appropriate expertise, span of control enabling effective supervision without bottlenecks, rotation programs building broad skills and preventing burnout, and growth pathways from entry-level to senior specialist or management tracks.</w:t>
      </w:r>
    </w:p>
    <w:p>
      <w:pPr>
        <w:pStyle w:val="Heading2"/>
        <w:spacing w:after="150" w:before="300"/>
      </w:pPr>
      <w:bookmarkStart w:id="100085" w:name="_Toc100085"/>
      <w:r>
        <w:rPr>
          <w:rFonts w:ascii="SimHei" w:eastAsia="SimHei"/>
          <w:b/>
          <w:bCs/>
          <w:color w:val="1a365d"/>
          <w:sz w:val="28"/>
          <w:szCs w:val="28"/>
        </w:rPr>
        <w:t xml:space="preserve">SOC Leadership Structure</w:t>
      </w:r>
      <w:bookmarkEnd w:id="100085"/>
    </w:p>
    <w:p>
      <w:pPr>
        <w:pStyle w:val="Heading3"/>
        <w:spacing w:after="120" w:before="240"/>
      </w:pPr>
      <w:bookmarkStart w:id="100086" w:name="_Toc100086"/>
      <w:r>
        <w:rPr>
          <w:rFonts w:ascii="SimHei" w:eastAsia="SimHei"/>
          <w:b/>
          <w:bCs/>
          <w:color w:val="4a5568"/>
          <w:sz w:val="24"/>
          <w:szCs w:val="24"/>
        </w:rPr>
        <w:t xml:space="preserve">SOC Director</w:t>
      </w:r>
      <w:bookmarkEnd w:id="100086"/>
    </w:p>
    <w:p>
      <w:pPr>
        <w:spacing w:after="120" w:line="312"/>
        <w:ind w:firstLine="480"/>
        <w:jc w:val="both"/>
      </w:pPr>
      <w:r>
        <w:rPr>
          <w:rFonts w:ascii="SimSun" w:eastAsia="SimSun"/>
          <w:color w:val="2d3748"/>
          <w:sz w:val="24"/>
          <w:szCs w:val="24"/>
        </w:rPr>
        <w:t xml:space="preserve">The SOC Director provides executive leadership for the entire security operations function. Responsibilities include strategic planning and roadmap development, budget management and resource allocation, executive stakeholder communication and reporting, representation in national cybersecurity forums, vendor relationship management at strategic level, hiring and retention strategy for senior talent, and overall accountability for SOC performance metrics. The Director typically reports to CISO or equivalent senior cybersecurity leadership.</w:t>
      </w:r>
    </w:p>
    <w:p>
      <w:pPr>
        <w:pStyle w:val="Heading3"/>
        <w:spacing w:after="120" w:before="240"/>
      </w:pPr>
      <w:bookmarkStart w:id="100087" w:name="_Toc100087"/>
      <w:r>
        <w:rPr>
          <w:rFonts w:ascii="SimHei" w:eastAsia="SimHei"/>
          <w:b/>
          <w:bCs/>
          <w:color w:val="4a5568"/>
          <w:sz w:val="24"/>
          <w:szCs w:val="24"/>
        </w:rPr>
        <w:t xml:space="preserve">SOC Manager</w:t>
      </w:r>
      <w:bookmarkEnd w:id="100087"/>
    </w:p>
    <w:p>
      <w:pPr>
        <w:spacing w:after="120" w:line="312"/>
        <w:ind w:firstLine="480"/>
        <w:jc w:val="both"/>
      </w:pPr>
      <w:r>
        <w:rPr>
          <w:rFonts w:ascii="SimSun" w:eastAsia="SimSun"/>
          <w:color w:val="2d3748"/>
          <w:sz w:val="24"/>
          <w:szCs w:val="24"/>
        </w:rPr>
        <w:t xml:space="preserve">SOC Managers oversee day-to-day operations within specific shifts or functional areas. Responsibilities encompass shift scheduling and coverage management, operational performance monitoring and reporting, analyst coaching and performance management, incident escalation and resource mobilization, procedure development and maintenance, inter-team coordination and communication, and handling of escalated customer issues. Multiple managers may cover different shifts or functional specializations.</w:t>
      </w:r>
    </w:p>
    <w:p>
      <w:pPr>
        <w:pStyle w:val="Heading2"/>
        <w:spacing w:after="150" w:before="300"/>
      </w:pPr>
      <w:bookmarkStart w:id="100088" w:name="_Toc100088"/>
      <w:r>
        <w:rPr>
          <w:rFonts w:ascii="SimHei" w:eastAsia="SimHei"/>
          <w:b/>
          <w:bCs/>
          <w:color w:val="1a365d"/>
          <w:sz w:val="28"/>
          <w:szCs w:val="28"/>
        </w:rPr>
        <w:t xml:space="preserve">Analyst Tier Structure</w:t>
      </w:r>
      <w:bookmarkEnd w:id="100088"/>
    </w:p>
    <w:p>
      <w:pPr>
        <w:pStyle w:val="Heading3"/>
        <w:spacing w:after="120" w:before="240"/>
      </w:pPr>
      <w:bookmarkStart w:id="100089" w:name="_Toc100089"/>
      <w:r>
        <w:rPr>
          <w:rFonts w:ascii="SimHei" w:eastAsia="SimHei"/>
          <w:b/>
          <w:bCs/>
          <w:color w:val="4a5568"/>
          <w:sz w:val="24"/>
          <w:szCs w:val="24"/>
        </w:rPr>
        <w:t xml:space="preserve">Tier 1: Security Analyst (Triage)</w:t>
      </w:r>
      <w:bookmarkEnd w:id="100089"/>
    </w:p>
    <w:p>
      <w:pPr>
        <w:spacing w:after="120" w:line="312"/>
        <w:ind w:firstLine="480"/>
        <w:jc w:val="both"/>
      </w:pPr>
      <w:r>
        <w:rPr>
          <w:rFonts w:ascii="SimSun" w:eastAsia="SimSun"/>
          <w:color w:val="2d3748"/>
          <w:sz w:val="24"/>
          <w:szCs w:val="24"/>
        </w:rPr>
        <w:t xml:space="preserve">Tier 1 analysts form the first line of defense, handling incoming alerts at highest volume. Core responsibilities include initial alert triage and prioritization, basic investigation using documented procedures, first-response actions for straightforward issues, escalation to Tier 2 for complex cases, ticket documentation and status updates, and shift handoff communication. Typical staffing: 8-12 analysts per shift for 24/7 coverage with overlap. Required skills include security fundamentals, SIEM navigation, basic networking, and strong attention to detail. Certifications: Security+, CySA+, or equivalent.</w:t>
      </w:r>
    </w:p>
    <w:p>
      <w:pPr>
        <w:pStyle w:val="Heading3"/>
        <w:spacing w:after="120" w:before="240"/>
      </w:pPr>
      <w:bookmarkStart w:id="100090" w:name="_Toc100090"/>
      <w:r>
        <w:rPr>
          <w:rFonts w:ascii="SimHei" w:eastAsia="SimHei"/>
          <w:b/>
          <w:bCs/>
          <w:color w:val="4a5568"/>
          <w:sz w:val="24"/>
          <w:szCs w:val="24"/>
        </w:rPr>
        <w:t xml:space="preserve">Tier 2: Security Analyst (Investigation)</w:t>
      </w:r>
      <w:bookmarkEnd w:id="100090"/>
    </w:p>
    <w:p>
      <w:pPr>
        <w:spacing w:after="120" w:line="312"/>
        <w:ind w:firstLine="480"/>
        <w:jc w:val="both"/>
      </w:pPr>
      <w:r>
        <w:rPr>
          <w:rFonts w:ascii="SimSun" w:eastAsia="SimSun"/>
          <w:color w:val="2d3748"/>
          <w:sz w:val="24"/>
          <w:szCs w:val="24"/>
        </w:rPr>
        <w:t xml:space="preserve">Tier 2 analysts conduct deeper investigation of escalated alerts and manage incident response. Responsibilities encompass detailed investigation across multiple data sources, incident response execution following playbooks, malware analysis triage and sandbox operation, threat intelligence research and correlation, coordination with constituent organization contacts, and Tier 1 mentoring and guidance. Typical staffing: 4-6 analysts per shift. Required skills include strong investigation methodology, attack technique knowledge, scripting ability, and communication skills. Certifications: GCIH, GNFA, or equivalent.</w:t>
      </w:r>
    </w:p>
    <w:p>
      <w:pPr>
        <w:pStyle w:val="Heading3"/>
        <w:spacing w:after="120" w:before="240"/>
      </w:pPr>
      <w:bookmarkStart w:id="100091" w:name="_Toc100091"/>
      <w:r>
        <w:rPr>
          <w:rFonts w:ascii="SimHei" w:eastAsia="SimHei"/>
          <w:b/>
          <w:bCs/>
          <w:color w:val="4a5568"/>
          <w:sz w:val="24"/>
          <w:szCs w:val="24"/>
        </w:rPr>
        <w:t xml:space="preserve">Tier 3: Senior Security Analyst / Incident Commander</w:t>
      </w:r>
      <w:bookmarkEnd w:id="100091"/>
    </w:p>
    <w:p>
      <w:pPr>
        <w:spacing w:after="120" w:line="312"/>
        <w:ind w:firstLine="480"/>
        <w:jc w:val="both"/>
      </w:pPr>
      <w:r>
        <w:rPr>
          <w:rFonts w:ascii="SimSun" w:eastAsia="SimSun"/>
          <w:color w:val="2d3748"/>
          <w:sz w:val="24"/>
          <w:szCs w:val="24"/>
        </w:rPr>
        <w:t xml:space="preserve">Tier 3 analysts handle the most complex investigations and lead major incident response. Responsibilities include leading major incident response efforts, complex multi-vector attack investigation, detection content development and tuning, advanced threat research and analysis, procedure and playbook development, and Tier 2 mentoring and technical leadership. Typical staffing: 2-4 senior analysts. Required skills include deep expertise across security domains, reverse engineering basics, threat intelligence proficiency, and leadership abilities. Certifications: GCIA, GCFE, OSCP, or equivalent.</w:t>
      </w:r>
    </w:p>
    <w:p>
      <w:pPr>
        <w:pStyle w:val="Heading2"/>
        <w:spacing w:after="150" w:before="300"/>
      </w:pPr>
      <w:bookmarkStart w:id="100092" w:name="_Toc100092"/>
      <w:r>
        <w:rPr>
          <w:rFonts w:ascii="SimHei" w:eastAsia="SimHei"/>
          <w:b/>
          <w:bCs/>
          <w:color w:val="1a365d"/>
          <w:sz w:val="28"/>
          <w:szCs w:val="28"/>
        </w:rPr>
        <w:t xml:space="preserve">Specialized Functions</w:t>
      </w:r>
      <w:bookmarkEnd w:id="100092"/>
    </w:p>
    <w:p>
      <w:pPr>
        <w:pStyle w:val="Heading3"/>
        <w:spacing w:after="120" w:before="240"/>
      </w:pPr>
      <w:bookmarkStart w:id="100093" w:name="_Toc100093"/>
      <w:r>
        <w:rPr>
          <w:rFonts w:ascii="SimHei" w:eastAsia="SimHei"/>
          <w:b/>
          <w:bCs/>
          <w:color w:val="4a5568"/>
          <w:sz w:val="24"/>
          <w:szCs w:val="24"/>
        </w:rPr>
        <w:t xml:space="preserve">Threat Hunting Team</w:t>
      </w:r>
      <w:bookmarkEnd w:id="100093"/>
    </w:p>
    <w:p>
      <w:pPr>
        <w:spacing w:after="120" w:line="312"/>
        <w:ind w:firstLine="480"/>
        <w:jc w:val="both"/>
      </w:pPr>
      <w:r>
        <w:rPr>
          <w:rFonts w:ascii="SimSun" w:eastAsia="SimSun"/>
          <w:color w:val="2d3748"/>
          <w:sz w:val="24"/>
          <w:szCs w:val="24"/>
        </w:rPr>
        <w:t xml:space="preserve">Thunt hunters proactively search for threats that evaded automated detection. Activities include hypothesis-driven investigation of suspected compromise, threat actor TTP-based hunting campaigns, analysis of new detection opportunities, development of hunting queries and procedures, and contribution of findings to detection content. Team size: 2-4 hunters depending on scope. Required skills include adversary emulation, advanced analysis tools, creativity, and persistence. Certifications: GTHN, CTIA, or equivalent.</w:t>
      </w:r>
    </w:p>
    <w:p>
      <w:pPr>
        <w:pStyle w:val="Heading3"/>
        <w:spacing w:after="120" w:before="240"/>
      </w:pPr>
      <w:bookmarkStart w:id="100094" w:name="_Toc100094"/>
      <w:r>
        <w:rPr>
          <w:rFonts w:ascii="SimHei" w:eastAsia="SimHei"/>
          <w:b/>
          <w:bCs/>
          <w:color w:val="4a5568"/>
          <w:sz w:val="24"/>
          <w:szCs w:val="24"/>
        </w:rPr>
        <w:t xml:space="preserve">Digital Forensics &amp; Incident Response (DFIR)</w:t>
      </w:r>
      <w:bookmarkEnd w:id="100094"/>
    </w:p>
    <w:p>
      <w:pPr>
        <w:spacing w:after="120" w:line="312"/>
        <w:ind w:firstLine="480"/>
        <w:jc w:val="both"/>
      </w:pPr>
      <w:r>
        <w:rPr>
          <w:rFonts w:ascii="SimSun" w:eastAsia="SimSun"/>
          <w:color w:val="2d3748"/>
          <w:sz w:val="24"/>
          <w:szCs w:val="24"/>
        </w:rPr>
        <w:t xml:space="preserve">DFIR specialists conduct deep-dive investigation and evidence preservation. Services include forensic imaging and preservation, deep-dive analysis of compromised systems, evidence chain of custody management, litigation support and expert testimony preparation, and root cause analysis for major incidents. Team size: 2-3 DFIR specialists. Required skills include forensic tools mastery, evidence handling procedures, report writing, and court demeanor. Certifications: GCFE, EnCE, or equivalent.</w:t>
      </w:r>
    </w:p>
    <w:p>
      <w:pPr>
        <w:pStyle w:val="Heading3"/>
        <w:spacing w:after="120" w:before="240"/>
      </w:pPr>
      <w:bookmarkStart w:id="100095" w:name="_Toc100095"/>
      <w:r>
        <w:rPr>
          <w:rFonts w:ascii="SimHei" w:eastAsia="SimHei"/>
          <w:b/>
          <w:bCs/>
          <w:color w:val="4a5568"/>
          <w:sz w:val="24"/>
          <w:szCs w:val="24"/>
        </w:rPr>
        <w:t xml:space="preserve">Malware Analysis</w:t>
      </w:r>
      <w:bookmarkEnd w:id="100095"/>
    </w:p>
    <w:p>
      <w:pPr>
        <w:spacing w:after="120" w:line="312"/>
        <w:ind w:firstLine="480"/>
        <w:jc w:val="both"/>
      </w:pPr>
      <w:r>
        <w:rPr>
          <w:rFonts w:ascii="SimSun" w:eastAsia="SimSun"/>
          <w:color w:val="2d3748"/>
          <w:sz w:val="24"/>
          <w:szCs w:val="24"/>
        </w:rPr>
        <w:t xml:space="preserve">Malware analysts reverse-engineer malicious software to understand functionality and extract indicators. Tasks include static and dynamic malware analysis, IOC extraction for detection integration, vulnerability research related to malware techniques, tool development for analysis automation, and threat intelligence report production. Team size: 1-2 analysts (may be combined with DFIR in smaller teams). Required skills include assembly language, debugging, sandbox operation, and IDA Pro/Ghidra proficiency. Certifications: GREM, or equivalent.</w:t>
      </w:r>
    </w:p>
    <w:p>
      <w:pPr>
        <w:pStyle w:val="Heading3"/>
        <w:spacing w:after="120" w:before="240"/>
      </w:pPr>
      <w:bookmarkStart w:id="100096" w:name="_Toc100096"/>
      <w:r>
        <w:rPr>
          <w:rFonts w:ascii="SimHei" w:eastAsia="SimHei"/>
          <w:b/>
          <w:bCs/>
          <w:color w:val="4a5568"/>
          <w:sz w:val="24"/>
          <w:szCs w:val="24"/>
        </w:rPr>
        <w:t xml:space="preserve">Threat Intelligence</w:t>
      </w:r>
      <w:bookmarkEnd w:id="100096"/>
    </w:p>
    <w:p>
      <w:pPr>
        <w:spacing w:after="120" w:line="312"/>
        <w:ind w:firstLine="480"/>
        <w:jc w:val="both"/>
      </w:pPr>
      <w:r>
        <w:rPr>
          <w:rFonts w:ascii="SimSun" w:eastAsia="SimSun"/>
          <w:color w:val="2d3748"/>
          <w:sz w:val="24"/>
          <w:szCs w:val="24"/>
        </w:rPr>
        <w:t xml:space="preserve">Threat intelligence analysts collect, analyze, and operationalize threat information. Activities include monitoring intelligence sources for relevant threats, analyzing adversary campaigns and TTPs, producing intelligence products for various audiences, operationalizing intelligence into detection rules, and managing threat intelligence platform(s). Team size: 2 analysts. Required skills include intelligence analysis methodologies, writing and presentation, foreign language (valuable), and geopolitical awareness. Certifications: CTIA, GTIH, or equivalent.</w:t>
      </w:r>
    </w:p>
    <w:p>
      <w:pPr>
        <w:pStyle w:val="Heading3"/>
        <w:spacing w:after="120" w:before="240"/>
      </w:pPr>
      <w:bookmarkStart w:id="100097" w:name="_Toc100097"/>
      <w:r>
        <w:rPr>
          <w:rFonts w:ascii="SimHei" w:eastAsia="SimHei"/>
          <w:b/>
          <w:bCs/>
          <w:color w:val="4a5568"/>
          <w:sz w:val="24"/>
          <w:szCs w:val="24"/>
        </w:rPr>
        <w:t xml:space="preserve">DevSecOps / Engineering</w:t>
      </w:r>
      <w:bookmarkEnd w:id="100097"/>
    </w:p>
    <w:p>
      <w:pPr>
        <w:spacing w:after="120" w:line="312"/>
        <w:ind w:firstLine="480"/>
        <w:jc w:val="both"/>
      </w:pPr>
      <w:r>
        <w:rPr>
          <w:rFonts w:ascii="SimSun" w:eastAsia="SimSun"/>
          <w:color w:val="2d3748"/>
          <w:sz w:val="24"/>
          <w:szCs w:val="24"/>
        </w:rPr>
        <w:t xml:space="preserve">Engineers build and maintain the SOC platform and detection capabilities. Responsibilities include SIEM/SOAR/XDR platform administration, detection rule development and tuning, integration development and maintenance, automation script and playbook development, and infrastructure as code management. Team size: 3-4 engineers. Required skills include coding (Python, YAML, SQL), cloud platforms, APIs, and security tooling. Certifications: Vendor-specific plus cloud certifications.</w:t>
      </w:r>
    </w:p>
    <w:p>
      <w:pPr>
        <w:pStyle w:val="Heading2"/>
        <w:spacing w:after="150" w:before="300"/>
      </w:pPr>
      <w:bookmarkStart w:id="100098" w:name="_Toc100098"/>
      <w:r>
        <w:rPr>
          <w:rFonts w:ascii="SimHei" w:eastAsia="SimHei"/>
          <w:b/>
          <w:bCs/>
          <w:color w:val="1a365d"/>
          <w:sz w:val="28"/>
          <w:szCs w:val="28"/>
        </w:rPr>
        <w:t xml:space="preserve">Staffing Plan Summary</w:t>
      </w:r>
      <w:bookmarkEnd w:id="100098"/>
    </w:p>
    <w:tbl>
      <w:tblPr>
        <w:tblW w:type="pct" w:w="100%"/>
        <w:tblBorders>
          <w:top w:val="single" w:color="CBD5E0" w:sz="1"/>
          <w:left w:val="single" w:color="CBD5E0" w:sz="1"/>
          <w:bottom w:val="single" w:color="CBD5E0" w:sz="1"/>
          <w:right w:val="single" w:color="CBD5E0" w:sz="1"/>
          <w:insideH w:val="single" w:color="E2E8F0" w:sz="1"/>
          <w:insideV w:val="single" w:color="E2E8F0" w:sz="1"/>
        </w:tblBorders>
      </w:tblPr>
      <w:tblGrid>
        <w:gridCol w:w="100"/>
        <w:gridCol w:w="100"/>
        <w:gridCol w:w="100"/>
        <w:gridCol w:w="100"/>
        <w:gridCol w:w="100"/>
        <w:gridCol w:w="100"/>
      </w:tblGrid>
      <w:tr>
        <w:trPr>
          <w:cantSplit/>
          <w:tblHeader/>
        </w:trPr>
        <w:tc>
          <w:tcPr>
            <w:tcW w:type="pct" w:w="25%"/>
            <w:shd w:fill="1a365d" w:val="clear"/>
            <w:tcMar>
              <w:top w:type="dxa" w:w="80"/>
              <w:left w:type="dxa" w:w="120"/>
              <w:bottom w:type="dxa" w:w="80"/>
              <w:right w:type="dxa" w:w="120"/>
            </w:tcMar>
          </w:tcPr>
          <w:p>
            <w:pPr>
              <w:jc w:val="center"/>
            </w:pPr>
            <w:r>
              <w:rPr>
                <w:rFonts w:ascii="SimHei" w:eastAsia="SimHei"/>
                <w:b/>
                <w:bCs/>
                <w:color w:val="FFFFFF"/>
                <w:sz w:val="21"/>
                <w:szCs w:val="21"/>
              </w:rPr>
              <w:t xml:space="preserve">Role</w:t>
            </w:r>
          </w:p>
        </w:tc>
        <w:tc>
          <w:tcPr>
            <w:tcW w:type="pct" w:w="13%"/>
            <w:shd w:fill="1a365d" w:val="clear"/>
            <w:tcMar>
              <w:top w:type="dxa" w:w="80"/>
              <w:left w:type="dxa" w:w="120"/>
              <w:bottom w:type="dxa" w:w="80"/>
              <w:right w:type="dxa" w:w="120"/>
            </w:tcMar>
          </w:tcPr>
          <w:p>
            <w:pPr>
              <w:jc w:val="center"/>
            </w:pPr>
            <w:r>
              <w:rPr>
                <w:rFonts w:ascii="SimHei" w:eastAsia="SimHei"/>
                <w:b/>
                <w:bCs/>
                <w:color w:val="FFFFFF"/>
                <w:sz w:val="21"/>
                <w:szCs w:val="21"/>
              </w:rPr>
              <w:t xml:space="preserve">Phase 1</w:t>
            </w:r>
          </w:p>
        </w:tc>
        <w:tc>
          <w:tcPr>
            <w:tcW w:type="pct" w:w="13%"/>
            <w:shd w:fill="1a365d" w:val="clear"/>
            <w:tcMar>
              <w:top w:type="dxa" w:w="80"/>
              <w:left w:type="dxa" w:w="120"/>
              <w:bottom w:type="dxa" w:w="80"/>
              <w:right w:type="dxa" w:w="120"/>
            </w:tcMar>
          </w:tcPr>
          <w:p>
            <w:pPr>
              <w:jc w:val="center"/>
            </w:pPr>
            <w:r>
              <w:rPr>
                <w:rFonts w:ascii="SimHei" w:eastAsia="SimHei"/>
                <w:b/>
                <w:bCs/>
                <w:color w:val="FFFFFF"/>
                <w:sz w:val="21"/>
                <w:szCs w:val="21"/>
              </w:rPr>
              <w:t xml:space="preserve">Phase 2</w:t>
            </w:r>
          </w:p>
        </w:tc>
        <w:tc>
          <w:tcPr>
            <w:tcW w:type="pct" w:w="13%"/>
            <w:shd w:fill="1a365d" w:val="clear"/>
            <w:tcMar>
              <w:top w:type="dxa" w:w="80"/>
              <w:left w:type="dxa" w:w="120"/>
              <w:bottom w:type="dxa" w:w="80"/>
              <w:right w:type="dxa" w:w="120"/>
            </w:tcMar>
          </w:tcPr>
          <w:p>
            <w:pPr>
              <w:jc w:val="center"/>
            </w:pPr>
            <w:r>
              <w:rPr>
                <w:rFonts w:ascii="SimHei" w:eastAsia="SimHei"/>
                <w:b/>
                <w:bCs/>
                <w:color w:val="FFFFFF"/>
                <w:sz w:val="21"/>
                <w:szCs w:val="21"/>
              </w:rPr>
              <w:t xml:space="preserve">Phase 3</w:t>
            </w:r>
          </w:p>
        </w:tc>
        <w:tc>
          <w:tcPr>
            <w:tcW w:type="pct" w:w="16%"/>
            <w:shd w:fill="1a365d" w:val="clear"/>
            <w:tcMar>
              <w:top w:type="dxa" w:w="80"/>
              <w:left w:type="dxa" w:w="120"/>
              <w:bottom w:type="dxa" w:w="80"/>
              <w:right w:type="dxa" w:w="120"/>
            </w:tcMar>
          </w:tcPr>
          <w:p>
            <w:pPr>
              <w:jc w:val="center"/>
            </w:pPr>
            <w:r>
              <w:rPr>
                <w:rFonts w:ascii="SimHei" w:eastAsia="SimHei"/>
                <w:b/>
                <w:bCs/>
                <w:color w:val="FFFFFF"/>
                <w:sz w:val="21"/>
                <w:szCs w:val="21"/>
              </w:rPr>
              <w:t xml:space="preserve">Phase 4+</w:t>
            </w:r>
          </w:p>
        </w:tc>
        <w:tc>
          <w:tcPr>
            <w:tcW w:type="pct" w:w="20%"/>
            <w:shd w:fill="1a365d" w:val="clear"/>
            <w:tcMar>
              <w:top w:type="dxa" w:w="80"/>
              <w:left w:type="dxa" w:w="120"/>
              <w:bottom w:type="dxa" w:w="80"/>
              <w:right w:type="dxa" w:w="120"/>
            </w:tcMar>
          </w:tcPr>
          <w:p>
            <w:pPr>
              <w:jc w:val="center"/>
            </w:pPr>
            <w:r>
              <w:rPr>
                <w:rFonts w:ascii="SimHei" w:eastAsia="SimHei"/>
                <w:b/>
                <w:bCs/>
                <w:color w:val="FFFFFF"/>
                <w:sz w:val="21"/>
                <w:szCs w:val="21"/>
              </w:rPr>
              <w:t xml:space="preserve">Total at Scale</w:t>
            </w:r>
          </w:p>
        </w:tc>
      </w:tr>
      <w:tr>
        <w:trPr>
          <w:cantSplit/>
        </w:trPr>
        <w:tc>
          <w:tcPr>
            <w:tcW w:type="pct" w:w="25%"/>
            <w:tcMar>
              <w:top w:type="dxa" w:w="60"/>
              <w:left w:type="dxa" w:w="100"/>
              <w:bottom w:type="dxa" w:w="60"/>
              <w:right w:type="dxa" w:w="100"/>
            </w:tcMar>
          </w:tcPr>
          <w:p>
            <w:r>
              <w:rPr>
                <w:rFonts w:ascii="SimSun" w:eastAsia="SimSun"/>
                <w:color w:val="2d3748"/>
                <w:sz w:val="21"/>
                <w:szCs w:val="21"/>
              </w:rPr>
              <w:t xml:space="preserve">SOC Director</w:t>
            </w:r>
          </w:p>
        </w:tc>
        <w:tc>
          <w:tcPr>
            <w:tcW w:type="pct" w:w="13%"/>
            <w:tcMar>
              <w:top w:type="dxa" w:w="60"/>
              <w:left w:type="dxa" w:w="100"/>
              <w:bottom w:type="dxa" w:w="60"/>
              <w:right w:type="dxa" w:w="100"/>
            </w:tcMar>
          </w:tcPr>
          <w:p>
            <w:r>
              <w:rPr>
                <w:rFonts w:ascii="SimSun" w:eastAsia="SimSun"/>
                <w:color w:val="2d3748"/>
                <w:sz w:val="21"/>
                <w:szCs w:val="21"/>
              </w:rPr>
              <w:t xml:space="preserve">1</w:t>
            </w:r>
          </w:p>
        </w:tc>
        <w:tc>
          <w:tcPr>
            <w:tcW w:type="pct" w:w="13%"/>
            <w:tcMar>
              <w:top w:type="dxa" w:w="60"/>
              <w:left w:type="dxa" w:w="100"/>
              <w:bottom w:type="dxa" w:w="60"/>
              <w:right w:type="dxa" w:w="100"/>
            </w:tcMar>
          </w:tcPr>
          <w:p>
            <w:r>
              <w:rPr>
                <w:rFonts w:ascii="SimSun" w:eastAsia="SimSun"/>
                <w:color w:val="2d3748"/>
                <w:sz w:val="21"/>
                <w:szCs w:val="21"/>
              </w:rPr>
              <w:t xml:space="preserve">1</w:t>
            </w:r>
          </w:p>
        </w:tc>
        <w:tc>
          <w:tcPr>
            <w:tcW w:type="pct" w:w="13%"/>
            <w:tcMar>
              <w:top w:type="dxa" w:w="60"/>
              <w:left w:type="dxa" w:w="100"/>
              <w:bottom w:type="dxa" w:w="60"/>
              <w:right w:type="dxa" w:w="100"/>
            </w:tcMar>
          </w:tcPr>
          <w:p>
            <w:r>
              <w:rPr>
                <w:rFonts w:ascii="SimSun" w:eastAsia="SimSun"/>
                <w:color w:val="2d3748"/>
                <w:sz w:val="21"/>
                <w:szCs w:val="21"/>
              </w:rPr>
              <w:t xml:space="preserve">1</w:t>
            </w:r>
          </w:p>
        </w:tc>
        <w:tc>
          <w:tcPr>
            <w:tcW w:type="pct" w:w="16%"/>
            <w:tcMar>
              <w:top w:type="dxa" w:w="60"/>
              <w:left w:type="dxa" w:w="100"/>
              <w:bottom w:type="dxa" w:w="60"/>
              <w:right w:type="dxa" w:w="100"/>
            </w:tcMar>
          </w:tcPr>
          <w:p>
            <w:r>
              <w:rPr>
                <w:rFonts w:ascii="SimSun" w:eastAsia="SimSun"/>
                <w:color w:val="2d3748"/>
                <w:sz w:val="21"/>
                <w:szCs w:val="21"/>
              </w:rPr>
              <w:t xml:space="preserve">1</w:t>
            </w:r>
          </w:p>
        </w:tc>
        <w:tc>
          <w:tcPr>
            <w:tcW w:type="pct" w:w="20%"/>
            <w:tcMar>
              <w:top w:type="dxa" w:w="60"/>
              <w:left w:type="dxa" w:w="100"/>
              <w:bottom w:type="dxa" w:w="60"/>
              <w:right w:type="dxa" w:w="100"/>
            </w:tcMar>
          </w:tcPr>
          <w:p>
            <w:r>
              <w:rPr>
                <w:rFonts w:ascii="SimSun" w:eastAsia="SimSun"/>
                <w:color w:val="2d3748"/>
                <w:sz w:val="21"/>
                <w:szCs w:val="21"/>
              </w:rPr>
              <w:t xml:space="preserve">1</w:t>
            </w:r>
          </w:p>
        </w:tc>
      </w:tr>
      <w:tr>
        <w:trPr>
          <w:cantSplit/>
        </w:trPr>
        <w:tc>
          <w:tcPr>
            <w:tcW w:type="pct" w:w="25%"/>
            <w:tcMar>
              <w:top w:type="dxa" w:w="60"/>
              <w:left w:type="dxa" w:w="100"/>
              <w:bottom w:type="dxa" w:w="60"/>
              <w:right w:type="dxa" w:w="100"/>
            </w:tcMar>
          </w:tcPr>
          <w:p>
            <w:r>
              <w:rPr>
                <w:rFonts w:ascii="SimSun" w:eastAsia="SimSun"/>
                <w:color w:val="2d3748"/>
                <w:sz w:val="21"/>
                <w:szCs w:val="21"/>
              </w:rPr>
              <w:t xml:space="preserve">SOC Manager</w:t>
            </w:r>
          </w:p>
        </w:tc>
        <w:tc>
          <w:tcPr>
            <w:tcW w:type="pct" w:w="13%"/>
            <w:tcMar>
              <w:top w:type="dxa" w:w="60"/>
              <w:left w:type="dxa" w:w="100"/>
              <w:bottom w:type="dxa" w:w="60"/>
              <w:right w:type="dxa" w:w="100"/>
            </w:tcMar>
          </w:tcPr>
          <w:p>
            <w:r>
              <w:rPr>
                <w:rFonts w:ascii="SimSun" w:eastAsia="SimSun"/>
                <w:color w:val="2d3748"/>
                <w:sz w:val="21"/>
                <w:szCs w:val="21"/>
              </w:rPr>
              <w:t xml:space="preserve">1</w:t>
            </w:r>
          </w:p>
        </w:tc>
        <w:tc>
          <w:tcPr>
            <w:tcW w:type="pct" w:w="13%"/>
            <w:tcMar>
              <w:top w:type="dxa" w:w="60"/>
              <w:left w:type="dxa" w:w="100"/>
              <w:bottom w:type="dxa" w:w="60"/>
              <w:right w:type="dxa" w:w="100"/>
            </w:tcMar>
          </w:tcPr>
          <w:p>
            <w:r>
              <w:rPr>
                <w:rFonts w:ascii="SimSun" w:eastAsia="SimSun"/>
                <w:color w:val="2d3748"/>
                <w:sz w:val="21"/>
                <w:szCs w:val="21"/>
              </w:rPr>
              <w:t xml:space="preserve">2</w:t>
            </w:r>
          </w:p>
        </w:tc>
        <w:tc>
          <w:tcPr>
            <w:tcW w:type="pct" w:w="13%"/>
            <w:tcMar>
              <w:top w:type="dxa" w:w="60"/>
              <w:left w:type="dxa" w:w="100"/>
              <w:bottom w:type="dxa" w:w="60"/>
              <w:right w:type="dxa" w:w="100"/>
            </w:tcMar>
          </w:tcPr>
          <w:p>
            <w:r>
              <w:rPr>
                <w:rFonts w:ascii="SimSun" w:eastAsia="SimSun"/>
                <w:color w:val="2d3748"/>
                <w:sz w:val="21"/>
                <w:szCs w:val="21"/>
              </w:rPr>
              <w:t xml:space="preserve">3</w:t>
            </w:r>
          </w:p>
        </w:tc>
        <w:tc>
          <w:tcPr>
            <w:tcW w:type="pct" w:w="16%"/>
            <w:tcMar>
              <w:top w:type="dxa" w:w="60"/>
              <w:left w:type="dxa" w:w="100"/>
              <w:bottom w:type="dxa" w:w="60"/>
              <w:right w:type="dxa" w:w="100"/>
            </w:tcMar>
          </w:tcPr>
          <w:p>
            <w:r>
              <w:rPr>
                <w:rFonts w:ascii="SimSun" w:eastAsia="SimSun"/>
                <w:color w:val="2d3748"/>
                <w:sz w:val="21"/>
                <w:szCs w:val="21"/>
              </w:rPr>
              <w:t xml:space="preserve">4</w:t>
            </w:r>
          </w:p>
        </w:tc>
        <w:tc>
          <w:tcPr>
            <w:tcW w:type="pct" w:w="20%"/>
            <w:tcMar>
              <w:top w:type="dxa" w:w="60"/>
              <w:left w:type="dxa" w:w="100"/>
              <w:bottom w:type="dxa" w:w="60"/>
              <w:right w:type="dxa" w:w="100"/>
            </w:tcMar>
          </w:tcPr>
          <w:p>
            <w:r>
              <w:rPr>
                <w:rFonts w:ascii="SimSun" w:eastAsia="SimSun"/>
                <w:color w:val="2d3748"/>
                <w:sz w:val="21"/>
                <w:szCs w:val="21"/>
              </w:rPr>
              <w:t xml:space="preserve">4</w:t>
            </w:r>
          </w:p>
        </w:tc>
      </w:tr>
      <w:tr>
        <w:trPr>
          <w:cantSplit/>
        </w:trPr>
        <w:tc>
          <w:tcPr>
            <w:tcW w:type="pct" w:w="25%"/>
            <w:tcMar>
              <w:top w:type="dxa" w:w="60"/>
              <w:left w:type="dxa" w:w="100"/>
              <w:bottom w:type="dxa" w:w="60"/>
              <w:right w:type="dxa" w:w="100"/>
            </w:tcMar>
          </w:tcPr>
          <w:p>
            <w:r>
              <w:rPr>
                <w:rFonts w:ascii="SimSun" w:eastAsia="SimSun"/>
                <w:color w:val="2d3748"/>
                <w:sz w:val="21"/>
                <w:szCs w:val="21"/>
              </w:rPr>
              <w:t xml:space="preserve">Tier 1 Analysts</w:t>
            </w:r>
          </w:p>
        </w:tc>
        <w:tc>
          <w:tcPr>
            <w:tcW w:type="pct" w:w="13%"/>
            <w:tcMar>
              <w:top w:type="dxa" w:w="60"/>
              <w:left w:type="dxa" w:w="100"/>
              <w:bottom w:type="dxa" w:w="60"/>
              <w:right w:type="dxa" w:w="100"/>
            </w:tcMar>
          </w:tcPr>
          <w:p>
            <w:r>
              <w:rPr>
                <w:rFonts w:ascii="SimSun" w:eastAsia="SimSun"/>
                <w:color w:val="2d3748"/>
                <w:sz w:val="21"/>
                <w:szCs w:val="21"/>
              </w:rPr>
              <w:t xml:space="preserve">8</w:t>
            </w:r>
          </w:p>
        </w:tc>
        <w:tc>
          <w:tcPr>
            <w:tcW w:type="pct" w:w="13%"/>
            <w:tcMar>
              <w:top w:type="dxa" w:w="60"/>
              <w:left w:type="dxa" w:w="100"/>
              <w:bottom w:type="dxa" w:w="60"/>
              <w:right w:type="dxa" w:w="100"/>
            </w:tcMar>
          </w:tcPr>
          <w:p>
            <w:r>
              <w:rPr>
                <w:rFonts w:ascii="SimSun" w:eastAsia="SimSun"/>
                <w:color w:val="2d3748"/>
                <w:sz w:val="21"/>
                <w:szCs w:val="21"/>
              </w:rPr>
              <w:t xml:space="preserve">16</w:t>
            </w:r>
          </w:p>
        </w:tc>
        <w:tc>
          <w:tcPr>
            <w:tcW w:type="pct" w:w="13%"/>
            <w:tcMar>
              <w:top w:type="dxa" w:w="60"/>
              <w:left w:type="dxa" w:w="100"/>
              <w:bottom w:type="dxa" w:w="60"/>
              <w:right w:type="dxa" w:w="100"/>
            </w:tcMar>
          </w:tcPr>
          <w:p>
            <w:r>
              <w:rPr>
                <w:rFonts w:ascii="SimSun" w:eastAsia="SimSun"/>
                <w:color w:val="2d3748"/>
                <w:sz w:val="21"/>
                <w:szCs w:val="21"/>
              </w:rPr>
              <w:t xml:space="preserve">24</w:t>
            </w:r>
          </w:p>
        </w:tc>
        <w:tc>
          <w:tcPr>
            <w:tcW w:type="pct" w:w="16%"/>
            <w:tcMar>
              <w:top w:type="dxa" w:w="60"/>
              <w:left w:type="dxa" w:w="100"/>
              <w:bottom w:type="dxa" w:w="60"/>
              <w:right w:type="dxa" w:w="100"/>
            </w:tcMar>
          </w:tcPr>
          <w:p>
            <w:r>
              <w:rPr>
                <w:rFonts w:ascii="SimSun" w:eastAsia="SimSun"/>
                <w:color w:val="2d3748"/>
                <w:sz w:val="21"/>
                <w:szCs w:val="21"/>
              </w:rPr>
              <w:t xml:space="preserve">30</w:t>
            </w:r>
          </w:p>
        </w:tc>
        <w:tc>
          <w:tcPr>
            <w:tcW w:type="pct" w:w="20%"/>
            <w:tcMar>
              <w:top w:type="dxa" w:w="60"/>
              <w:left w:type="dxa" w:w="100"/>
              <w:bottom w:type="dxa" w:w="60"/>
              <w:right w:type="dxa" w:w="100"/>
            </w:tcMar>
          </w:tcPr>
          <w:p>
            <w:r>
              <w:rPr>
                <w:rFonts w:ascii="SimSun" w:eastAsia="SimSun"/>
                <w:color w:val="2d3748"/>
                <w:sz w:val="21"/>
                <w:szCs w:val="21"/>
              </w:rPr>
              <w:t xml:space="preserve">35</w:t>
            </w:r>
          </w:p>
        </w:tc>
      </w:tr>
      <w:tr>
        <w:trPr>
          <w:cantSplit/>
        </w:trPr>
        <w:tc>
          <w:tcPr>
            <w:tcW w:type="pct" w:w="25%"/>
            <w:tcMar>
              <w:top w:type="dxa" w:w="60"/>
              <w:left w:type="dxa" w:w="100"/>
              <w:bottom w:type="dxa" w:w="60"/>
              <w:right w:type="dxa" w:w="100"/>
            </w:tcMar>
          </w:tcPr>
          <w:p>
            <w:r>
              <w:rPr>
                <w:rFonts w:ascii="SimSun" w:eastAsia="SimSun"/>
                <w:color w:val="2d3748"/>
                <w:sz w:val="21"/>
                <w:szCs w:val="21"/>
              </w:rPr>
              <w:t xml:space="preserve">Tier 2 Analysts</w:t>
            </w:r>
          </w:p>
        </w:tc>
        <w:tc>
          <w:tcPr>
            <w:tcW w:type="pct" w:w="13%"/>
            <w:tcMar>
              <w:top w:type="dxa" w:w="60"/>
              <w:left w:type="dxa" w:w="100"/>
              <w:bottom w:type="dxa" w:w="60"/>
              <w:right w:type="dxa" w:w="100"/>
            </w:tcMar>
          </w:tcPr>
          <w:p>
            <w:r>
              <w:rPr>
                <w:rFonts w:ascii="SimSun" w:eastAsia="SimSun"/>
                <w:color w:val="2d3748"/>
                <w:sz w:val="21"/>
                <w:szCs w:val="21"/>
              </w:rPr>
              <w:t xml:space="preserve">4</w:t>
            </w:r>
          </w:p>
        </w:tc>
        <w:tc>
          <w:tcPr>
            <w:tcW w:type="pct" w:w="13%"/>
            <w:tcMar>
              <w:top w:type="dxa" w:w="60"/>
              <w:left w:type="dxa" w:w="100"/>
              <w:bottom w:type="dxa" w:w="60"/>
              <w:right w:type="dxa" w:w="100"/>
            </w:tcMar>
          </w:tcPr>
          <w:p>
            <w:r>
              <w:rPr>
                <w:rFonts w:ascii="SimSun" w:eastAsia="SimSun"/>
                <w:color w:val="2d3748"/>
                <w:sz w:val="21"/>
                <w:szCs w:val="21"/>
              </w:rPr>
              <w:t xml:space="preserve">8</w:t>
            </w:r>
          </w:p>
        </w:tc>
        <w:tc>
          <w:tcPr>
            <w:tcW w:type="pct" w:w="13%"/>
            <w:tcMar>
              <w:top w:type="dxa" w:w="60"/>
              <w:left w:type="dxa" w:w="100"/>
              <w:bottom w:type="dxa" w:w="60"/>
              <w:right w:type="dxa" w:w="100"/>
            </w:tcMar>
          </w:tcPr>
          <w:p>
            <w:r>
              <w:rPr>
                <w:rFonts w:ascii="SimSun" w:eastAsia="SimSun"/>
                <w:color w:val="2d3748"/>
                <w:sz w:val="21"/>
                <w:szCs w:val="21"/>
              </w:rPr>
              <w:t xml:space="preserve">12</w:t>
            </w:r>
          </w:p>
        </w:tc>
        <w:tc>
          <w:tcPr>
            <w:tcW w:type="pct" w:w="16%"/>
            <w:tcMar>
              <w:top w:type="dxa" w:w="60"/>
              <w:left w:type="dxa" w:w="100"/>
              <w:bottom w:type="dxa" w:w="60"/>
              <w:right w:type="dxa" w:w="100"/>
            </w:tcMar>
          </w:tcPr>
          <w:p>
            <w:r>
              <w:rPr>
                <w:rFonts w:ascii="SimSun" w:eastAsia="SimSun"/>
                <w:color w:val="2d3748"/>
                <w:sz w:val="21"/>
                <w:szCs w:val="21"/>
              </w:rPr>
              <w:t xml:space="preserve">15</w:t>
            </w:r>
          </w:p>
        </w:tc>
        <w:tc>
          <w:tcPr>
            <w:tcW w:type="pct" w:w="20%"/>
            <w:tcMar>
              <w:top w:type="dxa" w:w="60"/>
              <w:left w:type="dxa" w:w="100"/>
              <w:bottom w:type="dxa" w:w="60"/>
              <w:right w:type="dxa" w:w="100"/>
            </w:tcMar>
          </w:tcPr>
          <w:p>
            <w:r>
              <w:rPr>
                <w:rFonts w:ascii="SimSun" w:eastAsia="SimSun"/>
                <w:color w:val="2d3748"/>
                <w:sz w:val="21"/>
                <w:szCs w:val="21"/>
              </w:rPr>
              <w:t xml:space="preserve">18</w:t>
            </w:r>
          </w:p>
        </w:tc>
      </w:tr>
      <w:tr>
        <w:trPr>
          <w:cantSplit/>
        </w:trPr>
        <w:tc>
          <w:tcPr>
            <w:tcW w:type="pct" w:w="25%"/>
            <w:tcMar>
              <w:top w:type="dxa" w:w="60"/>
              <w:left w:type="dxa" w:w="100"/>
              <w:bottom w:type="dxa" w:w="60"/>
              <w:right w:type="dxa" w:w="100"/>
            </w:tcMar>
          </w:tcPr>
          <w:p>
            <w:r>
              <w:rPr>
                <w:rFonts w:ascii="SimSun" w:eastAsia="SimSun"/>
                <w:color w:val="2d3748"/>
                <w:sz w:val="21"/>
                <w:szCs w:val="21"/>
              </w:rPr>
              <w:t xml:space="preserve">Tier 3 Analysts</w:t>
            </w:r>
          </w:p>
        </w:tc>
        <w:tc>
          <w:tcPr>
            <w:tcW w:type="pct" w:w="13%"/>
            <w:tcMar>
              <w:top w:type="dxa" w:w="60"/>
              <w:left w:type="dxa" w:w="100"/>
              <w:bottom w:type="dxa" w:w="60"/>
              <w:right w:type="dxa" w:w="100"/>
            </w:tcMar>
          </w:tcPr>
          <w:p>
            <w:r>
              <w:rPr>
                <w:rFonts w:ascii="SimSun" w:eastAsia="SimSun"/>
                <w:color w:val="2d3748"/>
                <w:sz w:val="21"/>
                <w:szCs w:val="21"/>
              </w:rPr>
              <w:t xml:space="preserve">2</w:t>
            </w:r>
          </w:p>
        </w:tc>
        <w:tc>
          <w:tcPr>
            <w:tcW w:type="pct" w:w="13%"/>
            <w:tcMar>
              <w:top w:type="dxa" w:w="60"/>
              <w:left w:type="dxa" w:w="100"/>
              <w:bottom w:type="dxa" w:w="60"/>
              <w:right w:type="dxa" w:w="100"/>
            </w:tcMar>
          </w:tcPr>
          <w:p>
            <w:r>
              <w:rPr>
                <w:rFonts w:ascii="SimSun" w:eastAsia="SimSun"/>
                <w:color w:val="2d3748"/>
                <w:sz w:val="21"/>
                <w:szCs w:val="21"/>
              </w:rPr>
              <w:t xml:space="preserve">3</w:t>
            </w:r>
          </w:p>
        </w:tc>
        <w:tc>
          <w:tcPr>
            <w:tcW w:type="pct" w:w="13%"/>
            <w:tcMar>
              <w:top w:type="dxa" w:w="60"/>
              <w:left w:type="dxa" w:w="100"/>
              <w:bottom w:type="dxa" w:w="60"/>
              <w:right w:type="dxa" w:w="100"/>
            </w:tcMar>
          </w:tcPr>
          <w:p>
            <w:r>
              <w:rPr>
                <w:rFonts w:ascii="SimSun" w:eastAsia="SimSun"/>
                <w:color w:val="2d3748"/>
                <w:sz w:val="21"/>
                <w:szCs w:val="21"/>
              </w:rPr>
              <w:t xml:space="preserve">4</w:t>
            </w:r>
          </w:p>
        </w:tc>
        <w:tc>
          <w:tcPr>
            <w:tcW w:type="pct" w:w="16%"/>
            <w:tcMar>
              <w:top w:type="dxa" w:w="60"/>
              <w:left w:type="dxa" w:w="100"/>
              <w:bottom w:type="dxa" w:w="60"/>
              <w:right w:type="dxa" w:w="100"/>
            </w:tcMar>
          </w:tcPr>
          <w:p>
            <w:r>
              <w:rPr>
                <w:rFonts w:ascii="SimSun" w:eastAsia="SimSun"/>
                <w:color w:val="2d3748"/>
                <w:sz w:val="21"/>
                <w:szCs w:val="21"/>
              </w:rPr>
              <w:t xml:space="preserve">4</w:t>
            </w:r>
          </w:p>
        </w:tc>
        <w:tc>
          <w:tcPr>
            <w:tcW w:type="pct" w:w="20%"/>
            <w:tcMar>
              <w:top w:type="dxa" w:w="60"/>
              <w:left w:type="dxa" w:w="100"/>
              <w:bottom w:type="dxa" w:w="60"/>
              <w:right w:type="dxa" w:w="100"/>
            </w:tcMar>
          </w:tcPr>
          <w:p>
            <w:r>
              <w:rPr>
                <w:rFonts w:ascii="SimSun" w:eastAsia="SimSun"/>
                <w:color w:val="2d3748"/>
                <w:sz w:val="21"/>
                <w:szCs w:val="21"/>
              </w:rPr>
              <w:t xml:space="preserve">4</w:t>
            </w:r>
          </w:p>
        </w:tc>
      </w:tr>
      <w:tr>
        <w:trPr>
          <w:cantSplit/>
        </w:trPr>
        <w:tc>
          <w:tcPr>
            <w:tcW w:type="pct" w:w="25%"/>
            <w:tcMar>
              <w:top w:type="dxa" w:w="60"/>
              <w:left w:type="dxa" w:w="100"/>
              <w:bottom w:type="dxa" w:w="60"/>
              <w:right w:type="dxa" w:w="100"/>
            </w:tcMar>
          </w:tcPr>
          <w:p>
            <w:r>
              <w:rPr>
                <w:rFonts w:ascii="SimSun" w:eastAsia="SimSun"/>
                <w:color w:val="2d3748"/>
                <w:sz w:val="21"/>
                <w:szCs w:val="21"/>
              </w:rPr>
              <w:t xml:space="preserve">Threat Hunters</w:t>
            </w:r>
          </w:p>
        </w:tc>
        <w:tc>
          <w:tcPr>
            <w:tcW w:type="pct" w:w="13%"/>
            <w:tcMar>
              <w:top w:type="dxa" w:w="60"/>
              <w:left w:type="dxa" w:w="100"/>
              <w:bottom w:type="dxa" w:w="60"/>
              <w:right w:type="dxa" w:w="100"/>
            </w:tcMar>
          </w:tcPr>
          <w:p>
            <w:r>
              <w:rPr>
                <w:rFonts w:ascii="SimSun" w:eastAsia="SimSun"/>
                <w:color w:val="2d3748"/>
                <w:sz w:val="21"/>
                <w:szCs w:val="21"/>
              </w:rPr>
              <w:t xml:space="preserve">1</w:t>
            </w:r>
          </w:p>
        </w:tc>
        <w:tc>
          <w:tcPr>
            <w:tcW w:type="pct" w:w="13%"/>
            <w:tcMar>
              <w:top w:type="dxa" w:w="60"/>
              <w:left w:type="dxa" w:w="100"/>
              <w:bottom w:type="dxa" w:w="60"/>
              <w:right w:type="dxa" w:w="100"/>
            </w:tcMar>
          </w:tcPr>
          <w:p>
            <w:r>
              <w:rPr>
                <w:rFonts w:ascii="SimSun" w:eastAsia="SimSun"/>
                <w:color w:val="2d3748"/>
                <w:sz w:val="21"/>
                <w:szCs w:val="21"/>
              </w:rPr>
              <w:t xml:space="preserve">2</w:t>
            </w:r>
          </w:p>
        </w:tc>
        <w:tc>
          <w:tcPr>
            <w:tcW w:type="pct" w:w="13%"/>
            <w:tcMar>
              <w:top w:type="dxa" w:w="60"/>
              <w:left w:type="dxa" w:w="100"/>
              <w:bottom w:type="dxa" w:w="60"/>
              <w:right w:type="dxa" w:w="100"/>
            </w:tcMar>
          </w:tcPr>
          <w:p>
            <w:r>
              <w:rPr>
                <w:rFonts w:ascii="SimSun" w:eastAsia="SimSun"/>
                <w:color w:val="2d3748"/>
                <w:sz w:val="21"/>
                <w:szCs w:val="21"/>
              </w:rPr>
              <w:t xml:space="preserve">3</w:t>
            </w:r>
          </w:p>
        </w:tc>
        <w:tc>
          <w:tcPr>
            <w:tcW w:type="pct" w:w="16%"/>
            <w:tcMar>
              <w:top w:type="dxa" w:w="60"/>
              <w:left w:type="dxa" w:w="100"/>
              <w:bottom w:type="dxa" w:w="60"/>
              <w:right w:type="dxa" w:w="100"/>
            </w:tcMar>
          </w:tcPr>
          <w:p>
            <w:r>
              <w:rPr>
                <w:rFonts w:ascii="SimSun" w:eastAsia="SimSun"/>
                <w:color w:val="2d3748"/>
                <w:sz w:val="21"/>
                <w:szCs w:val="21"/>
              </w:rPr>
              <w:t xml:space="preserve">3</w:t>
            </w:r>
          </w:p>
        </w:tc>
        <w:tc>
          <w:tcPr>
            <w:tcW w:type="pct" w:w="20%"/>
            <w:tcMar>
              <w:top w:type="dxa" w:w="60"/>
              <w:left w:type="dxa" w:w="100"/>
              <w:bottom w:type="dxa" w:w="60"/>
              <w:right w:type="dxa" w:w="100"/>
            </w:tcMar>
          </w:tcPr>
          <w:p>
            <w:r>
              <w:rPr>
                <w:rFonts w:ascii="SimSun" w:eastAsia="SimSun"/>
                <w:color w:val="2d3748"/>
                <w:sz w:val="21"/>
                <w:szCs w:val="21"/>
              </w:rPr>
              <w:t xml:space="preserve">4</w:t>
            </w:r>
          </w:p>
        </w:tc>
      </w:tr>
      <w:tr>
        <w:trPr>
          <w:cantSplit/>
        </w:trPr>
        <w:tc>
          <w:tcPr>
            <w:tcW w:type="pct" w:w="25%"/>
            <w:tcMar>
              <w:top w:type="dxa" w:w="60"/>
              <w:left w:type="dxa" w:w="100"/>
              <w:bottom w:type="dxa" w:w="60"/>
              <w:right w:type="dxa" w:w="100"/>
            </w:tcMar>
          </w:tcPr>
          <w:p>
            <w:r>
              <w:rPr>
                <w:rFonts w:ascii="SimSun" w:eastAsia="SimSun"/>
                <w:color w:val="2d3748"/>
                <w:sz w:val="21"/>
                <w:szCs w:val="21"/>
              </w:rPr>
              <w:t xml:space="preserve">DFIR Specialists</w:t>
            </w:r>
          </w:p>
        </w:tc>
        <w:tc>
          <w:tcPr>
            <w:tcW w:type="pct" w:w="13%"/>
            <w:tcMar>
              <w:top w:type="dxa" w:w="60"/>
              <w:left w:type="dxa" w:w="100"/>
              <w:bottom w:type="dxa" w:w="60"/>
              <w:right w:type="dxa" w:w="100"/>
            </w:tcMar>
          </w:tcPr>
          <w:p>
            <w:r>
              <w:rPr>
                <w:rFonts w:ascii="SimSun" w:eastAsia="SimSun"/>
                <w:color w:val="2d3748"/>
                <w:sz w:val="21"/>
                <w:szCs w:val="21"/>
              </w:rPr>
              <w:t xml:space="preserve">1</w:t>
            </w:r>
          </w:p>
        </w:tc>
        <w:tc>
          <w:tcPr>
            <w:tcW w:type="pct" w:w="13%"/>
            <w:tcMar>
              <w:top w:type="dxa" w:w="60"/>
              <w:left w:type="dxa" w:w="100"/>
              <w:bottom w:type="dxa" w:w="60"/>
              <w:right w:type="dxa" w:w="100"/>
            </w:tcMar>
          </w:tcPr>
          <w:p>
            <w:r>
              <w:rPr>
                <w:rFonts w:ascii="SimSun" w:eastAsia="SimSun"/>
                <w:color w:val="2d3748"/>
                <w:sz w:val="21"/>
                <w:szCs w:val="21"/>
              </w:rPr>
              <w:t xml:space="preserve">2</w:t>
            </w:r>
          </w:p>
        </w:tc>
        <w:tc>
          <w:tcPr>
            <w:tcW w:type="pct" w:w="13%"/>
            <w:tcMar>
              <w:top w:type="dxa" w:w="60"/>
              <w:left w:type="dxa" w:w="100"/>
              <w:bottom w:type="dxa" w:w="60"/>
              <w:right w:type="dxa" w:w="100"/>
            </w:tcMar>
          </w:tcPr>
          <w:p>
            <w:r>
              <w:rPr>
                <w:rFonts w:ascii="SimSun" w:eastAsia="SimSun"/>
                <w:color w:val="2d3748"/>
                <w:sz w:val="21"/>
                <w:szCs w:val="21"/>
              </w:rPr>
              <w:t xml:space="preserve">2</w:t>
            </w:r>
          </w:p>
        </w:tc>
        <w:tc>
          <w:tcPr>
            <w:tcW w:type="pct" w:w="16%"/>
            <w:tcMar>
              <w:top w:type="dxa" w:w="60"/>
              <w:left w:type="dxa" w:w="100"/>
              <w:bottom w:type="dxa" w:w="60"/>
              <w:right w:type="dxa" w:w="100"/>
            </w:tcMar>
          </w:tcPr>
          <w:p>
            <w:r>
              <w:rPr>
                <w:rFonts w:ascii="SimSun" w:eastAsia="SimSun"/>
                <w:color w:val="2d3748"/>
                <w:sz w:val="21"/>
                <w:szCs w:val="21"/>
              </w:rPr>
              <w:t xml:space="preserve">3</w:t>
            </w:r>
          </w:p>
        </w:tc>
        <w:tc>
          <w:tcPr>
            <w:tcW w:type="pct" w:w="20%"/>
            <w:tcMar>
              <w:top w:type="dxa" w:w="60"/>
              <w:left w:type="dxa" w:w="100"/>
              <w:bottom w:type="dxa" w:w="60"/>
              <w:right w:type="dxa" w:w="100"/>
            </w:tcMar>
          </w:tcPr>
          <w:p>
            <w:r>
              <w:rPr>
                <w:rFonts w:ascii="SimSun" w:eastAsia="SimSun"/>
                <w:color w:val="2d3748"/>
                <w:sz w:val="21"/>
                <w:szCs w:val="21"/>
              </w:rPr>
              <w:t xml:space="preserve">3</w:t>
            </w:r>
          </w:p>
        </w:tc>
      </w:tr>
      <w:tr>
        <w:trPr>
          <w:cantSplit/>
        </w:trPr>
        <w:tc>
          <w:tcPr>
            <w:tcW w:type="pct" w:w="25%"/>
            <w:tcMar>
              <w:top w:type="dxa" w:w="60"/>
              <w:left w:type="dxa" w:w="100"/>
              <w:bottom w:type="dxa" w:w="60"/>
              <w:right w:type="dxa" w:w="100"/>
            </w:tcMar>
          </w:tcPr>
          <w:p>
            <w:r>
              <w:rPr>
                <w:rFonts w:ascii="SimSun" w:eastAsia="SimSun"/>
                <w:color w:val="2d3748"/>
                <w:sz w:val="21"/>
                <w:szCs w:val="21"/>
              </w:rPr>
              <w:t xml:space="preserve">Malware Analysts</w:t>
            </w:r>
          </w:p>
        </w:tc>
        <w:tc>
          <w:tcPr>
            <w:tcW w:type="pct" w:w="13%"/>
            <w:tcMar>
              <w:top w:type="dxa" w:w="60"/>
              <w:left w:type="dxa" w:w="100"/>
              <w:bottom w:type="dxa" w:w="60"/>
              <w:right w:type="dxa" w:w="100"/>
            </w:tcMar>
          </w:tcPr>
          <w:p>
            <w:r>
              <w:rPr>
                <w:rFonts w:ascii="SimSun" w:eastAsia="SimSun"/>
                <w:color w:val="2d3748"/>
                <w:sz w:val="21"/>
                <w:szCs w:val="21"/>
              </w:rPr>
              <w:t xml:space="preserve">0</w:t>
            </w:r>
          </w:p>
        </w:tc>
        <w:tc>
          <w:tcPr>
            <w:tcW w:type="pct" w:w="13%"/>
            <w:tcMar>
              <w:top w:type="dxa" w:w="60"/>
              <w:left w:type="dxa" w:w="100"/>
              <w:bottom w:type="dxa" w:w="60"/>
              <w:right w:type="dxa" w:w="100"/>
            </w:tcMar>
          </w:tcPr>
          <w:p>
            <w:r>
              <w:rPr>
                <w:rFonts w:ascii="SimSun" w:eastAsia="SimSun"/>
                <w:color w:val="2d3748"/>
                <w:sz w:val="21"/>
                <w:szCs w:val="21"/>
              </w:rPr>
              <w:t xml:space="preserve">1</w:t>
            </w:r>
          </w:p>
        </w:tc>
        <w:tc>
          <w:tcPr>
            <w:tcW w:type="pct" w:w="13%"/>
            <w:tcMar>
              <w:top w:type="dxa" w:w="60"/>
              <w:left w:type="dxa" w:w="100"/>
              <w:bottom w:type="dxa" w:w="60"/>
              <w:right w:type="dxa" w:w="100"/>
            </w:tcMar>
          </w:tcPr>
          <w:p>
            <w:r>
              <w:rPr>
                <w:rFonts w:ascii="SimSun" w:eastAsia="SimSun"/>
                <w:color w:val="2d3748"/>
                <w:sz w:val="21"/>
                <w:szCs w:val="21"/>
              </w:rPr>
              <w:t xml:space="preserve">1</w:t>
            </w:r>
          </w:p>
        </w:tc>
        <w:tc>
          <w:tcPr>
            <w:tcW w:type="pct" w:w="16%"/>
            <w:tcMar>
              <w:top w:type="dxa" w:w="60"/>
              <w:left w:type="dxa" w:w="100"/>
              <w:bottom w:type="dxa" w:w="60"/>
              <w:right w:type="dxa" w:w="100"/>
            </w:tcMar>
          </w:tcPr>
          <w:p>
            <w:r>
              <w:rPr>
                <w:rFonts w:ascii="SimSun" w:eastAsia="SimSun"/>
                <w:color w:val="2d3748"/>
                <w:sz w:val="21"/>
                <w:szCs w:val="21"/>
              </w:rPr>
              <w:t xml:space="preserve">2</w:t>
            </w:r>
          </w:p>
        </w:tc>
        <w:tc>
          <w:tcPr>
            <w:tcW w:type="pct" w:w="20%"/>
            <w:tcMar>
              <w:top w:type="dxa" w:w="60"/>
              <w:left w:type="dxa" w:w="100"/>
              <w:bottom w:type="dxa" w:w="60"/>
              <w:right w:type="dxa" w:w="100"/>
            </w:tcMar>
          </w:tcPr>
          <w:p>
            <w:r>
              <w:rPr>
                <w:rFonts w:ascii="SimSun" w:eastAsia="SimSun"/>
                <w:color w:val="2d3748"/>
                <w:sz w:val="21"/>
                <w:szCs w:val="21"/>
              </w:rPr>
              <w:t xml:space="preserve">2</w:t>
            </w:r>
          </w:p>
        </w:tc>
      </w:tr>
      <w:tr>
        <w:trPr>
          <w:cantSplit/>
        </w:trPr>
        <w:tc>
          <w:tcPr>
            <w:tcW w:type="pct" w:w="25%"/>
            <w:tcMar>
              <w:top w:type="dxa" w:w="60"/>
              <w:left w:type="dxa" w:w="100"/>
              <w:bottom w:type="dxa" w:w="60"/>
              <w:right w:type="dxa" w:w="100"/>
            </w:tcMar>
          </w:tcPr>
          <w:p>
            <w:r>
              <w:rPr>
                <w:rFonts w:ascii="SimSun" w:eastAsia="SimSun"/>
                <w:color w:val="2d3748"/>
                <w:sz w:val="21"/>
                <w:szCs w:val="21"/>
              </w:rPr>
              <w:t xml:space="preserve">Threat Intel Analysts</w:t>
            </w:r>
          </w:p>
        </w:tc>
        <w:tc>
          <w:tcPr>
            <w:tcW w:type="pct" w:w="13%"/>
            <w:tcMar>
              <w:top w:type="dxa" w:w="60"/>
              <w:left w:type="dxa" w:w="100"/>
              <w:bottom w:type="dxa" w:w="60"/>
              <w:right w:type="dxa" w:w="100"/>
            </w:tcMar>
          </w:tcPr>
          <w:p>
            <w:r>
              <w:rPr>
                <w:rFonts w:ascii="SimSun" w:eastAsia="SimSun"/>
                <w:color w:val="2d3748"/>
                <w:sz w:val="21"/>
                <w:szCs w:val="21"/>
              </w:rPr>
              <w:t xml:space="preserve">1</w:t>
            </w:r>
          </w:p>
        </w:tc>
        <w:tc>
          <w:tcPr>
            <w:tcW w:type="pct" w:w="13%"/>
            <w:tcMar>
              <w:top w:type="dxa" w:w="60"/>
              <w:left w:type="dxa" w:w="100"/>
              <w:bottom w:type="dxa" w:w="60"/>
              <w:right w:type="dxa" w:w="100"/>
            </w:tcMar>
          </w:tcPr>
          <w:p>
            <w:r>
              <w:rPr>
                <w:rFonts w:ascii="SimSun" w:eastAsia="SimSun"/>
                <w:color w:val="2d3748"/>
                <w:sz w:val="21"/>
                <w:szCs w:val="21"/>
              </w:rPr>
              <w:t xml:space="preserve">2</w:t>
            </w:r>
          </w:p>
        </w:tc>
        <w:tc>
          <w:tcPr>
            <w:tcW w:type="pct" w:w="13%"/>
            <w:tcMar>
              <w:top w:type="dxa" w:w="60"/>
              <w:left w:type="dxa" w:w="100"/>
              <w:bottom w:type="dxa" w:w="60"/>
              <w:right w:type="dxa" w:w="100"/>
            </w:tcMar>
          </w:tcPr>
          <w:p>
            <w:r>
              <w:rPr>
                <w:rFonts w:ascii="SimSun" w:eastAsia="SimSun"/>
                <w:color w:val="2d3748"/>
                <w:sz w:val="21"/>
                <w:szCs w:val="21"/>
              </w:rPr>
              <w:t xml:space="preserve">2</w:t>
            </w:r>
          </w:p>
        </w:tc>
        <w:tc>
          <w:tcPr>
            <w:tcW w:type="pct" w:w="16%"/>
            <w:tcMar>
              <w:top w:type="dxa" w:w="60"/>
              <w:left w:type="dxa" w:w="100"/>
              <w:bottom w:type="dxa" w:w="60"/>
              <w:right w:type="dxa" w:w="100"/>
            </w:tcMar>
          </w:tcPr>
          <w:p>
            <w:r>
              <w:rPr>
                <w:rFonts w:ascii="SimSun" w:eastAsia="SimSun"/>
                <w:color w:val="2d3748"/>
                <w:sz w:val="21"/>
                <w:szCs w:val="21"/>
              </w:rPr>
              <w:t xml:space="preserve">2</w:t>
            </w:r>
          </w:p>
        </w:tc>
        <w:tc>
          <w:tcPr>
            <w:tcW w:type="pct" w:w="20%"/>
            <w:tcMar>
              <w:top w:type="dxa" w:w="60"/>
              <w:left w:type="dxa" w:w="100"/>
              <w:bottom w:type="dxa" w:w="60"/>
              <w:right w:type="dxa" w:w="100"/>
            </w:tcMar>
          </w:tcPr>
          <w:p>
            <w:r>
              <w:rPr>
                <w:rFonts w:ascii="SimSun" w:eastAsia="SimSun"/>
                <w:color w:val="2d3748"/>
                <w:sz w:val="21"/>
                <w:szCs w:val="21"/>
              </w:rPr>
              <w:t xml:space="preserve">2</w:t>
            </w:r>
          </w:p>
        </w:tc>
      </w:tr>
      <w:tr>
        <w:trPr>
          <w:cantSplit/>
        </w:trPr>
        <w:tc>
          <w:tcPr>
            <w:tcW w:type="pct" w:w="25%"/>
            <w:tcMar>
              <w:top w:type="dxa" w:w="60"/>
              <w:left w:type="dxa" w:w="100"/>
              <w:bottom w:type="dxa" w:w="60"/>
              <w:right w:type="dxa" w:w="100"/>
            </w:tcMar>
          </w:tcPr>
          <w:p>
            <w:r>
              <w:rPr>
                <w:rFonts w:ascii="SimSun" w:eastAsia="SimSun"/>
                <w:color w:val="2d3748"/>
                <w:sz w:val="21"/>
                <w:szCs w:val="21"/>
              </w:rPr>
              <w:t xml:space="preserve">DevSecOps Engineers</w:t>
            </w:r>
          </w:p>
        </w:tc>
        <w:tc>
          <w:tcPr>
            <w:tcW w:type="pct" w:w="13%"/>
            <w:tcMar>
              <w:top w:type="dxa" w:w="60"/>
              <w:left w:type="dxa" w:w="100"/>
              <w:bottom w:type="dxa" w:w="60"/>
              <w:right w:type="dxa" w:w="100"/>
            </w:tcMar>
          </w:tcPr>
          <w:p>
            <w:r>
              <w:rPr>
                <w:rFonts w:ascii="SimSun" w:eastAsia="SimSun"/>
                <w:color w:val="2d3748"/>
                <w:sz w:val="21"/>
                <w:szCs w:val="21"/>
              </w:rPr>
              <w:t xml:space="preserve">2</w:t>
            </w:r>
          </w:p>
        </w:tc>
        <w:tc>
          <w:tcPr>
            <w:tcW w:type="pct" w:w="13%"/>
            <w:tcMar>
              <w:top w:type="dxa" w:w="60"/>
              <w:left w:type="dxa" w:w="100"/>
              <w:bottom w:type="dxa" w:w="60"/>
              <w:right w:type="dxa" w:w="100"/>
            </w:tcMar>
          </w:tcPr>
          <w:p>
            <w:r>
              <w:rPr>
                <w:rFonts w:ascii="SimSun" w:eastAsia="SimSun"/>
                <w:color w:val="2d3748"/>
                <w:sz w:val="21"/>
                <w:szCs w:val="21"/>
              </w:rPr>
              <w:t xml:space="preserve">3</w:t>
            </w:r>
          </w:p>
        </w:tc>
        <w:tc>
          <w:tcPr>
            <w:tcW w:type="pct" w:w="13%"/>
            <w:tcMar>
              <w:top w:type="dxa" w:w="60"/>
              <w:left w:type="dxa" w:w="100"/>
              <w:bottom w:type="dxa" w:w="60"/>
              <w:right w:type="dxa" w:w="100"/>
            </w:tcMar>
          </w:tcPr>
          <w:p>
            <w:r>
              <w:rPr>
                <w:rFonts w:ascii="SimSun" w:eastAsia="SimSun"/>
                <w:color w:val="2d3748"/>
                <w:sz w:val="21"/>
                <w:szCs w:val="21"/>
              </w:rPr>
              <w:t xml:space="preserve">4</w:t>
            </w:r>
          </w:p>
        </w:tc>
        <w:tc>
          <w:tcPr>
            <w:tcW w:type="pct" w:w="16%"/>
            <w:tcMar>
              <w:top w:type="dxa" w:w="60"/>
              <w:left w:type="dxa" w:w="100"/>
              <w:bottom w:type="dxa" w:w="60"/>
              <w:right w:type="dxa" w:w="100"/>
            </w:tcMar>
          </w:tcPr>
          <w:p>
            <w:r>
              <w:rPr>
                <w:rFonts w:ascii="SimSun" w:eastAsia="SimSun"/>
                <w:color w:val="2d3748"/>
                <w:sz w:val="21"/>
                <w:szCs w:val="21"/>
              </w:rPr>
              <w:t xml:space="preserve">4</w:t>
            </w:r>
          </w:p>
        </w:tc>
        <w:tc>
          <w:tcPr>
            <w:tcW w:type="pct" w:w="20%"/>
            <w:tcMar>
              <w:top w:type="dxa" w:w="60"/>
              <w:left w:type="dxa" w:w="100"/>
              <w:bottom w:type="dxa" w:w="60"/>
              <w:right w:type="dxa" w:w="100"/>
            </w:tcMar>
          </w:tcPr>
          <w:p>
            <w:r>
              <w:rPr>
                <w:rFonts w:ascii="SimSun" w:eastAsia="SimSun"/>
                <w:color w:val="2d3748"/>
                <w:sz w:val="21"/>
                <w:szCs w:val="21"/>
              </w:rPr>
              <w:t xml:space="preserve">4</w:t>
            </w:r>
          </w:p>
        </w:tc>
      </w:tr>
      <w:tr>
        <w:trPr>
          <w:cantSplit/>
        </w:trPr>
        <w:tc>
          <w:tcPr>
            <w:tcW w:type="pct" w:w="25%"/>
            <w:tcMar>
              <w:top w:type="dxa" w:w="60"/>
              <w:left w:type="dxa" w:w="100"/>
              <w:bottom w:type="dxa" w:w="60"/>
              <w:right w:type="dxa" w:w="100"/>
            </w:tcMar>
          </w:tcPr>
          <w:p>
            <w:r>
              <w:rPr>
                <w:rFonts w:ascii="SimSun" w:eastAsia="SimSun"/>
                <w:color w:val="2d3748"/>
                <w:sz w:val="21"/>
                <w:szCs w:val="21"/>
              </w:rPr>
              <w:t xml:space="preserve">TOTAL</w:t>
            </w:r>
          </w:p>
        </w:tc>
        <w:tc>
          <w:tcPr>
            <w:tcW w:type="pct" w:w="13%"/>
            <w:tcMar>
              <w:top w:type="dxa" w:w="60"/>
              <w:left w:type="dxa" w:w="100"/>
              <w:bottom w:type="dxa" w:w="60"/>
              <w:right w:type="dxa" w:w="100"/>
            </w:tcMar>
          </w:tcPr>
          <w:p>
            <w:r>
              <w:rPr>
                <w:rFonts w:ascii="SimSun" w:eastAsia="SimSun"/>
                <w:color w:val="2d3748"/>
                <w:sz w:val="21"/>
                <w:szCs w:val="21"/>
              </w:rPr>
              <w:t xml:space="preserve">21</w:t>
            </w:r>
          </w:p>
        </w:tc>
        <w:tc>
          <w:tcPr>
            <w:tcW w:type="pct" w:w="13%"/>
            <w:tcMar>
              <w:top w:type="dxa" w:w="60"/>
              <w:left w:type="dxa" w:w="100"/>
              <w:bottom w:type="dxa" w:w="60"/>
              <w:right w:type="dxa" w:w="100"/>
            </w:tcMar>
          </w:tcPr>
          <w:p>
            <w:r>
              <w:rPr>
                <w:rFonts w:ascii="SimSun" w:eastAsia="SimSun"/>
                <w:color w:val="2d3748"/>
                <w:sz w:val="21"/>
                <w:szCs w:val="21"/>
              </w:rPr>
              <w:t xml:space="preserve">40</w:t>
            </w:r>
          </w:p>
        </w:tc>
        <w:tc>
          <w:tcPr>
            <w:tcW w:type="pct" w:w="13%"/>
            <w:tcMar>
              <w:top w:type="dxa" w:w="60"/>
              <w:left w:type="dxa" w:w="100"/>
              <w:bottom w:type="dxa" w:w="60"/>
              <w:right w:type="dxa" w:w="100"/>
            </w:tcMar>
          </w:tcPr>
          <w:p>
            <w:r>
              <w:rPr>
                <w:rFonts w:ascii="SimSun" w:eastAsia="SimSun"/>
                <w:color w:val="2d3748"/>
                <w:sz w:val="21"/>
                <w:szCs w:val="21"/>
              </w:rPr>
              <w:t xml:space="preserve">56</w:t>
            </w:r>
          </w:p>
        </w:tc>
        <w:tc>
          <w:tcPr>
            <w:tcW w:type="pct" w:w="16%"/>
            <w:tcMar>
              <w:top w:type="dxa" w:w="60"/>
              <w:left w:type="dxa" w:w="100"/>
              <w:bottom w:type="dxa" w:w="60"/>
              <w:right w:type="dxa" w:w="100"/>
            </w:tcMar>
          </w:tcPr>
          <w:p>
            <w:r>
              <w:rPr>
                <w:rFonts w:ascii="SimSun" w:eastAsia="SimSun"/>
                <w:color w:val="2d3748"/>
                <w:sz w:val="21"/>
                <w:szCs w:val="21"/>
              </w:rPr>
              <w:t xml:space="preserve">68</w:t>
            </w:r>
          </w:p>
        </w:tc>
        <w:tc>
          <w:tcPr>
            <w:tcW w:type="pct" w:w="20%"/>
            <w:tcMar>
              <w:top w:type="dxa" w:w="60"/>
              <w:left w:type="dxa" w:w="100"/>
              <w:bottom w:type="dxa" w:w="60"/>
              <w:right w:type="dxa" w:w="100"/>
            </w:tcMar>
          </w:tcPr>
          <w:p>
            <w:r>
              <w:rPr>
                <w:rFonts w:ascii="SimSun" w:eastAsia="SimSun"/>
                <w:color w:val="2d3748"/>
                <w:sz w:val="21"/>
                <w:szCs w:val="21"/>
              </w:rPr>
              <w:t xml:space="preserve">77</w:t>
            </w:r>
          </w:p>
        </w:tc>
      </w:tr>
    </w:tbl>
    <w:p>
      <w:pPr>
        <w:spacing w:after="100" w:before="200"/>
      </w:pPr>
    </w:p>
    <w:p>
      <w:pPr>
        <w:pStyle w:val="Heading2"/>
        <w:spacing w:after="150" w:before="300"/>
      </w:pPr>
      <w:bookmarkStart w:id="100099" w:name="_Toc100099"/>
      <w:r>
        <w:rPr>
          <w:rFonts w:ascii="SimHei" w:eastAsia="SimHei"/>
          <w:b/>
          <w:bCs/>
          <w:color w:val="1a365d"/>
          <w:sz w:val="28"/>
          <w:szCs w:val="28"/>
        </w:rPr>
        <w:t xml:space="preserve">Training &amp; Development</w:t>
      </w:r>
      <w:bookmarkEnd w:id="100099"/>
    </w:p>
    <w:p>
      <w:pPr>
        <w:spacing w:after="120" w:line="312"/>
        <w:ind w:firstLine="480"/>
        <w:jc w:val="both"/>
      </w:pPr>
      <w:r>
        <w:rPr>
          <w:rFonts w:ascii="SimSun" w:eastAsia="SimSun"/>
          <w:color w:val="2d3748"/>
          <w:sz w:val="24"/>
          <w:szCs w:val="24"/>
        </w:rPr>
        <w:t xml:space="preserve">Continuous learning is essential in rapidly evolving cybersecurity field. Training program components include initial onboarding curriculum covering tools, procedures, and organizational context, certification support with exam fees and study time, weekly technical training sessions led by team members or external speakers, monthly hands-on exercises in cyber range environment, annual conference attendance for industry exposure, and clear certification requirements tied to role progression.</w:t>
      </w:r>
    </w:p>
    <w:p>
      <w:pPr>
        <w:pStyle w:val="Heading1"/>
        <w:spacing w:after="200" w:before="400"/>
      </w:pPr>
      <w:bookmarkStart w:id="100100" w:name="_Toc100100"/>
      <w:r>
        <w:rPr>
          <w:rFonts w:ascii="SimHei" w:eastAsia="SimHei"/>
          <w:b/>
          <w:bCs/>
          <w:color w:val="1a365d"/>
          <w:sz w:val="32"/>
          <w:szCs w:val="32"/>
        </w:rPr>
        <w:t xml:space="preserve">Physical Infrastructure Requirements</w:t>
      </w:r>
      <w:bookmarkEnd w:id="100100"/>
    </w:p>
    <w:p>
      <w:pPr>
        <w:pStyle w:val="Heading2"/>
        <w:spacing w:after="150" w:before="300"/>
      </w:pPr>
      <w:bookmarkStart w:id="100101" w:name="_Toc100101"/>
      <w:r>
        <w:rPr>
          <w:rFonts w:ascii="SimHei" w:eastAsia="SimHei"/>
          <w:b/>
          <w:bCs/>
          <w:color w:val="1a365d"/>
          <w:sz w:val="28"/>
          <w:szCs w:val="28"/>
        </w:rPr>
        <w:t xml:space="preserve">Site Strategy</w:t>
      </w:r>
      <w:bookmarkEnd w:id="100101"/>
    </w:p>
    <w:p>
      <w:pPr>
        <w:spacing w:after="120" w:line="312"/>
        <w:ind w:firstLine="480"/>
        <w:jc w:val="both"/>
      </w:pPr>
      <w:r>
        <w:rPr>
          <w:rFonts w:ascii="SimSun" w:eastAsia="SimSun"/>
          <w:color w:val="2d3748"/>
          <w:sz w:val="24"/>
          <w:szCs w:val="24"/>
        </w:rPr>
        <w:t xml:space="preserve">The National SOC requires physically secure, highly available facilities designed for 24/7 operations with appropriate redundancy. Site strategy balances operational requirements, cost efficiency, and resilience against localized disruptions.</w:t>
      </w:r>
    </w:p>
    <w:p>
      <w:pPr>
        <w:pStyle w:val="Heading3"/>
        <w:spacing w:after="120" w:before="240"/>
      </w:pPr>
      <w:bookmarkStart w:id="100102" w:name="_Toc100102"/>
      <w:r>
        <w:rPr>
          <w:rFonts w:ascii="SimHei" w:eastAsia="SimHei"/>
          <w:b/>
          <w:bCs/>
          <w:color w:val="4a5568"/>
          <w:sz w:val="24"/>
          <w:szCs w:val="24"/>
        </w:rPr>
        <w:t xml:space="preserve">Primary SOC Facility (Algiers)</w:t>
      </w:r>
      <w:bookmarkEnd w:id="100102"/>
    </w:p>
    <w:p>
      <w:pPr>
        <w:spacing w:after="120" w:line="312"/>
        <w:ind w:firstLine="480"/>
        <w:jc w:val="both"/>
      </w:pPr>
      <w:r>
        <w:rPr>
          <w:rFonts w:ascii="SimSun" w:eastAsia="SimSun"/>
          <w:color w:val="2d3748"/>
          <w:sz w:val="24"/>
          <w:szCs w:val="24"/>
        </w:rPr>
        <w:t xml:space="preserve">The primary facility houses main SOC operations, hosting the majority of staff and primary technology infrastructure. Location should offer reliable power utilities, diverse network connectivity options, reasonable proximity to constituent organizations for in-person collaboration, physical security commensurate with national security facility standards, and space for growth over 5-year planning horizon. Facility requirements include minimum 1,500 square meters of usable space, raised floor or equivalent cable management, redundant power with UPS and generator backup, precision environmental control (temperature, humidity), physical access control with biometric authentication, and secure loading/receiving area for equipment.</w:t>
      </w:r>
    </w:p>
    <w:p>
      <w:pPr>
        <w:pStyle w:val="Heading3"/>
        <w:spacing w:after="120" w:before="240"/>
      </w:pPr>
      <w:bookmarkStart w:id="100103" w:name="_Toc100103"/>
      <w:r>
        <w:rPr>
          <w:rFonts w:ascii="SimHei" w:eastAsia="SimHei"/>
          <w:b/>
          <w:bCs/>
          <w:color w:val="4a5568"/>
          <w:sz w:val="24"/>
          <w:szCs w:val="24"/>
        </w:rPr>
        <w:t xml:space="preserve">Secondary SOC Facility (Laghouat)</w:t>
      </w:r>
      <w:bookmarkEnd w:id="100103"/>
    </w:p>
    <w:p>
      <w:pPr>
        <w:spacing w:after="120" w:line="312"/>
        <w:ind w:firstLine="480"/>
        <w:jc w:val="both"/>
      </w:pPr>
      <w:r>
        <w:rPr>
          <w:rFonts w:ascii="SimSun" w:eastAsia="SimSun"/>
          <w:color w:val="2d3748"/>
          <w:sz w:val="24"/>
          <w:szCs w:val="24"/>
        </w:rPr>
        <w:t xml:space="preserve">The secondary facility provides geographic diversity for disaster recovery and load distribution. It maintains warm standby capability able to assume primary operations within defined RTO. Reduced staffing during normal operations with surge capacity for emergencies. Synchronized data replication from primary site. Independent power, cooling, and network infrastructure. Space for 30+ analysts if primary facility unavailable.</w:t>
      </w:r>
    </w:p>
    <w:p>
      <w:pPr>
        <w:pStyle w:val="Heading3"/>
        <w:spacing w:after="120" w:before="240"/>
      </w:pPr>
      <w:bookmarkStart w:id="100104" w:name="_Toc100104"/>
      <w:r>
        <w:rPr>
          <w:rFonts w:ascii="SimHei" w:eastAsia="SimHei"/>
          <w:b/>
          <w:bCs/>
          <w:color w:val="4a5568"/>
          <w:sz w:val="24"/>
          <w:szCs w:val="24"/>
        </w:rPr>
        <w:t xml:space="preserve">Disaster Recovery Site</w:t>
      </w:r>
      <w:bookmarkEnd w:id="100104"/>
    </w:p>
    <w:p>
      <w:pPr>
        <w:spacing w:after="120" w:line="312"/>
        <w:ind w:firstLine="480"/>
        <w:jc w:val="both"/>
      </w:pPr>
      <w:r>
        <w:rPr>
          <w:rFonts w:ascii="SimSun" w:eastAsia="SimSun"/>
          <w:color w:val="2d3748"/>
          <w:sz w:val="24"/>
          <w:szCs w:val="24"/>
        </w:rPr>
        <w:t xml:space="preserve">DR site provides cold/warm standby for catastrophic scenarios affecting both primary facilities. Focuses on data preservation and minimal operational capability rather than full operations. May be collocated with secondary facility or separate location depending on risk tolerance and budget. Tested quarterly through failover exercises.</w:t>
      </w:r>
    </w:p>
    <w:p>
      <w:pPr>
        <w:pStyle w:val="Heading2"/>
        <w:spacing w:after="150" w:before="300"/>
      </w:pPr>
      <w:bookmarkStart w:id="100105" w:name="_Toc100105"/>
      <w:r>
        <w:rPr>
          <w:rFonts w:ascii="SimHei" w:eastAsia="SimHei"/>
          <w:b/>
          <w:bCs/>
          <w:color w:val="1a365d"/>
          <w:sz w:val="28"/>
          <w:szCs w:val="28"/>
        </w:rPr>
        <w:t xml:space="preserve">Data Center Requirements</w:t>
      </w:r>
      <w:bookmarkEnd w:id="100105"/>
    </w:p>
    <w:p>
      <w:pPr>
        <w:pStyle w:val="Heading3"/>
        <w:spacing w:after="120" w:before="240"/>
      </w:pPr>
      <w:bookmarkStart w:id="100106" w:name="_Toc100106"/>
      <w:r>
        <w:rPr>
          <w:rFonts w:ascii="SimHei" w:eastAsia="SimHei"/>
          <w:b/>
          <w:bCs/>
          <w:color w:val="4a5568"/>
          <w:sz w:val="24"/>
          <w:szCs w:val="24"/>
        </w:rPr>
        <w:t xml:space="preserve">Compute Infrastructure</w:t>
      </w:r>
      <w:bookmarkEnd w:id="100106"/>
    </w:p>
    <w:p>
      <w:pPr>
        <w:spacing w:after="120" w:line="312"/>
        <w:ind w:firstLine="480"/>
        <w:jc w:val="both"/>
      </w:pPr>
      <w:r>
        <w:rPr>
          <w:rFonts w:ascii="SimSun" w:eastAsia="SimSun"/>
          <w:color w:val="2d3748"/>
          <w:sz w:val="24"/>
          <w:szCs w:val="24"/>
        </w:rPr>
        <w:t xml:space="preserve">SOC platform computing requirements vary by selected technology and data volume. General specifications for national-scale deployment include GPU servers (4-8 units) for AI/ML workloads featuring NVIDIA A100 or H100 GPUs, high-memory CPU servers (10-20 units) for SIEM/SOAR applications with 512GB+ RAM per node, Kubernetes cluster (20+ nodes) for containerized workloads and platform services, and database servers (4-6 units) for relational data stores with NVMe storage.</w:t>
      </w:r>
    </w:p>
    <w:p>
      <w:pPr>
        <w:pStyle w:val="Heading3"/>
        <w:spacing w:after="120" w:before="240"/>
      </w:pPr>
      <w:bookmarkStart w:id="100107" w:name="_Toc100107"/>
      <w:r>
        <w:rPr>
          <w:rFonts w:ascii="SimHei" w:eastAsia="SimHei"/>
          <w:b/>
          <w:bCs/>
          <w:color w:val="4a5568"/>
          <w:sz w:val="24"/>
          <w:szCs w:val="24"/>
        </w:rPr>
        <w:t xml:space="preserve">Storage Infrastructure</w:t>
      </w:r>
      <w:bookmarkEnd w:id="100107"/>
    </w:p>
    <w:p>
      <w:pPr>
        <w:spacing w:after="120" w:line="312"/>
        <w:ind w:firstLine="480"/>
        <w:jc w:val="both"/>
      </w:pPr>
      <w:r>
        <w:rPr>
          <w:rFonts w:ascii="SimSun" w:eastAsia="SimSun"/>
          <w:color w:val="2d3748"/>
          <w:sz w:val="24"/>
          <w:szCs w:val="24"/>
        </w:rPr>
        <w:t xml:space="preserve">Security data retention drives substantial storage requirements. Capacity planning should accommodate hot storage (50-100 TB SSD) for active investigations and real-time analysis covering 30-90 days, warm storage (2-5 PB) for searchable historical data covering 1-3 years, cold storage (10+ PB) for compliance archive covering 7+ years, and backup storage (mirror of hot+warm) for disaster recovery. Storage solutions should offer high IOPS for query performance, compression to reduce effective costs, encryption at rest, and scalability for growth.</w:t>
      </w:r>
    </w:p>
    <w:p>
      <w:pPr>
        <w:pStyle w:val="Heading3"/>
        <w:spacing w:after="120" w:before="240"/>
      </w:pPr>
      <w:bookmarkStart w:id="100108" w:name="_Toc100108"/>
      <w:r>
        <w:rPr>
          <w:rFonts w:ascii="SimHei" w:eastAsia="SimHei"/>
          <w:b/>
          <w:bCs/>
          <w:color w:val="4a5568"/>
          <w:sz w:val="24"/>
          <w:szCs w:val="24"/>
        </w:rPr>
        <w:t xml:space="preserve">Network Infrastructure</w:t>
      </w:r>
      <w:bookmarkEnd w:id="100108"/>
    </w:p>
    <w:p>
      <w:pPr>
        <w:spacing w:after="120" w:line="312"/>
        <w:ind w:firstLine="480"/>
        <w:jc w:val="both"/>
      </w:pPr>
      <w:r>
        <w:rPr>
          <w:rFonts w:ascii="SimSun" w:eastAsia="SimSun"/>
          <w:color w:val="2d3748"/>
          <w:sz w:val="24"/>
          <w:szCs w:val="24"/>
        </w:rPr>
        <w:t xml:space="preserve">Network design must handle high-volume data ingestion while maintaining security and reliability. Key components include 100 Gbps core switches (8+) for internal fabric and aggregation, dedicated security appliances (firewalls, IDS/IPS) at boundaries, diverse ISP connections with 10+ Gbps internet bandwidth, private connectivity options (MPLS, dedicated fiber) to major constituents, network monitoring and packet capture infrastructure, and out-of-band management network for administrative access.</w:t>
      </w:r>
    </w:p>
    <w:p>
      <w:pPr>
        <w:pStyle w:val="Heading2"/>
        <w:spacing w:after="150" w:before="300"/>
      </w:pPr>
      <w:bookmarkStart w:id="100109" w:name="_Toc100109"/>
      <w:r>
        <w:rPr>
          <w:rFonts w:ascii="SimHei" w:eastAsia="SimHei"/>
          <w:b/>
          <w:bCs/>
          <w:color w:val="1a365d"/>
          <w:sz w:val="28"/>
          <w:szCs w:val="28"/>
        </w:rPr>
        <w:t xml:space="preserve">SOC Operations Center Design</w:t>
      </w:r>
      <w:bookmarkEnd w:id="100109"/>
    </w:p>
    <w:p>
      <w:pPr>
        <w:pStyle w:val="Heading3"/>
        <w:spacing w:after="120" w:before="240"/>
      </w:pPr>
      <w:bookmarkStart w:id="100110" w:name="_Toc100110"/>
      <w:r>
        <w:rPr>
          <w:rFonts w:ascii="SimHei" w:eastAsia="SimHei"/>
          <w:b/>
          <w:bCs/>
          <w:color w:val="4a5568"/>
          <w:sz w:val="24"/>
          <w:szCs w:val="24"/>
        </w:rPr>
        <w:t xml:space="preserve">Operations Floor</w:t>
      </w:r>
      <w:bookmarkEnd w:id="100110"/>
    </w:p>
    <w:p>
      <w:pPr>
        <w:spacing w:after="120" w:line="312"/>
        <w:ind w:firstLine="480"/>
        <w:jc w:val="both"/>
      </w:pPr>
      <w:r>
        <w:rPr>
          <w:rFonts w:ascii="SimSun" w:eastAsia="SimSun"/>
          <w:color w:val="2d3748"/>
          <w:sz w:val="24"/>
          <w:szCs w:val="24"/>
        </w:rPr>
        <w:t xml:space="preserve">The SOC operations floor accommodates shift-working analysts in an environment optimized for sustained focus and collaboration. Design considerations include ergonomic workstations (50+) with adjustable height displays, large video wall (minimum 3x3 display grid) for situational awareness, ambient lighting suitable for screen-based work, acoustic treatment managing noise levels, break area separated from operations floor, and secure areas for classified/sensitive work.</w:t>
      </w:r>
    </w:p>
    <w:p>
      <w:pPr>
        <w:pStyle w:val="Heading3"/>
        <w:spacing w:after="120" w:before="240"/>
      </w:pPr>
      <w:bookmarkStart w:id="100111" w:name="_Toc100111"/>
      <w:r>
        <w:rPr>
          <w:rFonts w:ascii="SimHei" w:eastAsia="SimHei"/>
          <w:b/>
          <w:bCs/>
          <w:color w:val="4a5568"/>
          <w:sz w:val="24"/>
          <w:szCs w:val="24"/>
        </w:rPr>
        <w:t xml:space="preserve">Video Wall Configuration</w:t>
      </w:r>
      <w:bookmarkEnd w:id="100111"/>
    </w:p>
    <w:p>
      <w:pPr>
        <w:spacing w:after="120" w:line="312"/>
        <w:ind w:firstLine="480"/>
        <w:jc w:val="both"/>
      </w:pPr>
      <w:r>
        <w:rPr>
          <w:rFonts w:ascii="SimSun" w:eastAsia="SimSun"/>
          <w:color w:val="2d3748"/>
          <w:sz w:val="24"/>
          <w:szCs w:val="24"/>
        </w:rPr>
        <w:t xml:space="preserve">The operations video wall provides at-a-glance situational awareness for SOC leadership and analysts. Recommended display zones include global threat level dashboard showing current cyber posture, active incident summary with severity and status, key performance metrics (MTTD, MTTR, alert volume, queue depth), major constituent organization status overview, threat intelligence feed highlights, and news/ticker for significant security events. Content should be configurable and rotate based on operational priorities.</w:t>
      </w:r>
    </w:p>
    <w:p>
      <w:pPr>
        <w:pStyle w:val="Heading3"/>
        <w:spacing w:after="120" w:before="240"/>
      </w:pPr>
      <w:bookmarkStart w:id="100112" w:name="_Toc100112"/>
      <w:r>
        <w:rPr>
          <w:rFonts w:ascii="SimHei" w:eastAsia="SimHei"/>
          <w:b/>
          <w:bCs/>
          <w:color w:val="4a5568"/>
          <w:sz w:val="24"/>
          <w:szCs w:val="24"/>
        </w:rPr>
        <w:t xml:space="preserve">Collaboration Spaces</w:t>
      </w:r>
      <w:bookmarkEnd w:id="100112"/>
    </w:p>
    <w:p>
      <w:pPr>
        <w:spacing w:after="120" w:line="312"/>
        <w:ind w:firstLine="480"/>
        <w:jc w:val="both"/>
      </w:pPr>
      <w:r>
        <w:rPr>
          <w:rFonts w:ascii="SimSun" w:eastAsia="SimSun"/>
          <w:color w:val="2d3748"/>
          <w:sz w:val="24"/>
          <w:szCs w:val="24"/>
        </w:rPr>
        <w:t xml:space="preserve">Beyond the main operations floor, the facility should include incident war room for major response coordination with video conferencing capability, training room for classes and exercises seating 30+, briefing room for executive presentations and visitor meetings, forensics lab with controlled access for evidence handling, server room with appropriate physical security, and visitor reception with badge management.</w:t>
      </w:r>
    </w:p>
    <w:p>
      <w:pPr>
        <w:pStyle w:val="Heading1"/>
        <w:spacing w:after="200" w:before="400"/>
      </w:pPr>
      <w:bookmarkStart w:id="100113" w:name="_Toc100113"/>
      <w:r>
        <w:rPr>
          <w:rFonts w:ascii="SimHei" w:eastAsia="SimHei"/>
          <w:b/>
          <w:bCs/>
          <w:color w:val="1a365d"/>
          <w:sz w:val="32"/>
          <w:szCs w:val="32"/>
        </w:rPr>
        <w:t xml:space="preserve">Multi-Tenant &amp; Service Delivery Model</w:t>
      </w:r>
      <w:bookmarkEnd w:id="100113"/>
    </w:p>
    <w:p>
      <w:pPr>
        <w:pStyle w:val="Heading2"/>
        <w:spacing w:after="150" w:before="300"/>
      </w:pPr>
      <w:bookmarkStart w:id="100114" w:name="_Toc100114"/>
      <w:r>
        <w:rPr>
          <w:rFonts w:ascii="SimHei" w:eastAsia="SimHei"/>
          <w:b/>
          <w:bCs/>
          <w:color w:val="1a365d"/>
          <w:sz w:val="28"/>
          <w:szCs w:val="28"/>
        </w:rPr>
        <w:t xml:space="preserve">Service Delivery Vision</w:t>
      </w:r>
      <w:bookmarkEnd w:id="100114"/>
    </w:p>
    <w:p>
      <w:pPr>
        <w:spacing w:after="120" w:line="312"/>
        <w:ind w:firstLine="480"/>
        <w:jc w:val="both"/>
      </w:pPr>
      <w:r>
        <w:rPr>
          <w:rFonts w:ascii="SimSun" w:eastAsia="SimSun"/>
          <w:color w:val="2d3748"/>
          <w:sz w:val="24"/>
          <w:szCs w:val="24"/>
        </w:rPr>
        <w:t xml:space="preserve">The National SOC operates as a shared service provider, delivering security monitoring capabilities to diverse constituent organizations through a multi-tenant platform. This model maximizes resource utilization, enables smaller organizations to access capabilities they could not afford independently, and creates natural threat intelligence sharing communities.</w:t>
      </w:r>
    </w:p>
    <w:p>
      <w:pPr>
        <w:pStyle w:val="Heading2"/>
        <w:spacing w:after="150" w:before="300"/>
      </w:pPr>
      <w:bookmarkStart w:id="100115" w:name="_Toc100115"/>
      <w:r>
        <w:rPr>
          <w:rFonts w:ascii="SimHei" w:eastAsia="SimHei"/>
          <w:b/>
          <w:bCs/>
          <w:color w:val="1a365d"/>
          <w:sz w:val="28"/>
          <w:szCs w:val="28"/>
        </w:rPr>
        <w:t xml:space="preserve">Customer Segmentation</w:t>
      </w:r>
      <w:bookmarkEnd w:id="100115"/>
    </w:p>
    <w:p>
      <w:pPr>
        <w:spacing w:after="120" w:line="312"/>
        <w:ind w:firstLine="480"/>
        <w:jc w:val="both"/>
      </w:pPr>
      <w:r>
        <w:rPr>
          <w:rFonts w:ascii="SimSun" w:eastAsia="SimSun"/>
          <w:color w:val="2d3748"/>
          <w:sz w:val="24"/>
          <w:szCs w:val="24"/>
        </w:rPr>
        <w:t xml:space="preserve">Constituent organizations segment into tiers based on criticality, requirements, and pricing. Segment definitions enable appropriate service levels, pricing differentiation, and resource allocation.</w:t>
      </w:r>
    </w:p>
    <w:p>
      <w:pPr>
        <w:pStyle w:val="Heading3"/>
        <w:spacing w:after="120" w:before="240"/>
      </w:pPr>
      <w:bookmarkStart w:id="100116" w:name="_Toc100116"/>
      <w:r>
        <w:rPr>
          <w:rFonts w:ascii="SimHei" w:eastAsia="SimHei"/>
          <w:b/>
          <w:bCs/>
          <w:color w:val="4a5568"/>
          <w:sz w:val="24"/>
          <w:szCs w:val="24"/>
        </w:rPr>
        <w:t xml:space="preserve">Tier 1: Critical Infrastructure</w:t>
      </w:r>
      <w:bookmarkEnd w:id="100116"/>
    </w:p>
    <w:p>
      <w:pPr>
        <w:spacing w:after="120" w:line="312"/>
        <w:ind w:firstLine="480"/>
        <w:jc w:val="both"/>
      </w:pPr>
      <w:r>
        <w:rPr>
          <w:rFonts w:ascii="SimSun" w:eastAsia="SimSun"/>
          <w:color w:val="2d3748"/>
          <w:sz w:val="24"/>
          <w:szCs w:val="24"/>
        </w:rPr>
        <w:t xml:space="preserve">Highest priority service tier for organizations whose compromise would cause severe national impact. Includes energy (power generation, oil/gas, water), telecommunications backbone, financial systemically important institutions, aviation and transportation control, and government security and defense entities. Service features include dedicated analysts familiar with environment, 15-minute SLA for critical alerts, proactive threat hunting, immediate escalation path to SOC leadership, quarterly business reviews, and custom reporting and integration.</w:t>
      </w:r>
    </w:p>
    <w:p>
      <w:pPr>
        <w:pStyle w:val="Heading3"/>
        <w:spacing w:after="120" w:before="240"/>
      </w:pPr>
      <w:bookmarkStart w:id="100117" w:name="_Toc100117"/>
      <w:r>
        <w:rPr>
          <w:rFonts w:ascii="SimHei" w:eastAsia="SimHei"/>
          <w:b/>
          <w:bCs/>
          <w:color w:val="4a5568"/>
          <w:sz w:val="24"/>
          <w:szCs w:val="24"/>
        </w:rPr>
        <w:t xml:space="preserve">Tier 2: Essential Services</w:t>
      </w:r>
      <w:bookmarkEnd w:id="100117"/>
    </w:p>
    <w:p>
      <w:pPr>
        <w:spacing w:after="120" w:line="312"/>
        <w:ind w:firstLine="480"/>
        <w:jc w:val="both"/>
      </w:pPr>
      <w:r>
        <w:rPr>
          <w:rFonts w:ascii="SimSun" w:eastAsia="SimSun"/>
          <w:color w:val="2d3748"/>
          <w:sz w:val="24"/>
          <w:szCs w:val="24"/>
        </w:rPr>
        <w:t xml:space="preserve">High-priority service tier for important but less critical organizations. Includes government ministries and agencies, regional authorities, healthcare organizations, academic institutions, and large private enterprises. Service features include shared analyst pools with documented familiarity, 1-hour SLA for critical alerts, scheduled threat hunting reviews, standard escalation procedures, semi-annual business reviews, and standard reporting packages.</w:t>
      </w:r>
    </w:p>
    <w:p>
      <w:pPr>
        <w:pStyle w:val="Heading3"/>
        <w:spacing w:after="120" w:before="240"/>
      </w:pPr>
      <w:bookmarkStart w:id="100118" w:name="_Toc100118"/>
      <w:r>
        <w:rPr>
          <w:rFonts w:ascii="SimHei" w:eastAsia="SimHei"/>
          <w:b/>
          <w:bCs/>
          <w:color w:val="4a5568"/>
          <w:sz w:val="24"/>
          <w:szCs w:val="24"/>
        </w:rPr>
        <w:t xml:space="preserve">Tier 3: General Coverage</w:t>
      </w:r>
      <w:bookmarkEnd w:id="100118"/>
    </w:p>
    <w:p>
      <w:pPr>
        <w:spacing w:after="120" w:line="312"/>
        <w:ind w:firstLine="480"/>
        <w:jc w:val="both"/>
      </w:pPr>
      <w:r>
        <w:rPr>
          <w:rFonts w:ascii="SimSun" w:eastAsia="SimSun"/>
          <w:color w:val="2d3748"/>
          <w:sz w:val="24"/>
          <w:szCs w:val="24"/>
        </w:rPr>
        <w:t xml:space="preserve">Standard service tier extending basic coverage to broader audience. Includes smaller government entities, medium enterprises, educational institutions, and organizations with regulatory monitoring requirements. Service features include shared analyst pools, 4-hour SLA for critical alerts, on-demand threat hunting (additional cost), standard escalation, annual reviews, and self-service portal access.</w:t>
      </w:r>
    </w:p>
    <w:p>
      <w:pPr>
        <w:pStyle w:val="Heading3"/>
        <w:spacing w:after="120" w:before="240"/>
      </w:pPr>
      <w:bookmarkStart w:id="100119" w:name="_Toc100119"/>
      <w:r>
        <w:rPr>
          <w:rFonts w:ascii="SimHei" w:eastAsia="SimHei"/>
          <w:b/>
          <w:bCs/>
          <w:color w:val="4a5568"/>
          <w:sz w:val="24"/>
          <w:szCs w:val="24"/>
        </w:rPr>
        <w:t xml:space="preserve">Tier 4: Community / Information Sharing</w:t>
      </w:r>
      <w:bookmarkEnd w:id="100119"/>
    </w:p>
    <w:p>
      <w:pPr>
        <w:spacing w:after="120" w:line="312"/>
        <w:ind w:firstLine="480"/>
        <w:jc w:val="both"/>
      </w:pPr>
      <w:r>
        <w:rPr>
          <w:rFonts w:ascii="SimSun" w:eastAsia="SimSun"/>
          <w:color w:val="2d3748"/>
          <w:sz w:val="24"/>
          <w:szCs w:val="24"/>
        </w:rPr>
        <w:t xml:space="preserve">Basic tier primarily for threat intelligence sharing rather than monitoring. Includes organizations with own SOC capabilities, industry associations, and international partners. Features include access to sanitized threat intelligence products, participation in information sharing communities, invitation to relevant briefings, and potential upgrade path to higher tiers.</w:t>
      </w:r>
    </w:p>
    <w:p>
      <w:pPr>
        <w:pStyle w:val="Heading2"/>
        <w:spacing w:after="150" w:before="300"/>
      </w:pPr>
      <w:bookmarkStart w:id="100120" w:name="_Toc100120"/>
      <w:r>
        <w:rPr>
          <w:rFonts w:ascii="SimHei" w:eastAsia="SimHei"/>
          <w:b/>
          <w:bCs/>
          <w:color w:val="1a365d"/>
          <w:sz w:val="28"/>
          <w:szCs w:val="28"/>
        </w:rPr>
        <w:t xml:space="preserve">Service Level Agreements</w:t>
      </w:r>
      <w:bookmarkEnd w:id="100120"/>
    </w:p>
    <w:p>
      <w:pPr>
        <w:spacing w:after="120" w:line="312"/>
        <w:ind w:firstLine="480"/>
        <w:jc w:val="both"/>
      </w:pPr>
      <w:r>
        <w:rPr>
          <w:rFonts w:ascii="SimSun" w:eastAsia="SimSun"/>
          <w:color w:val="2d3748"/>
          <w:sz w:val="24"/>
          <w:szCs w:val="24"/>
        </w:rPr>
        <w:t xml:space="preserve">SLAs define measurable commitments creating accountability and setting customer expectations. Key SLA metrics span detection, response, availability, and quality dimensions.</w:t>
      </w:r>
    </w:p>
    <w:tbl>
      <w:tblPr>
        <w:tblW w:type="pct" w:w="100%"/>
        <w:tblBorders>
          <w:top w:val="single" w:color="CBD5E0" w:sz="1"/>
          <w:left w:val="single" w:color="CBD5E0" w:sz="1"/>
          <w:bottom w:val="single" w:color="CBD5E0" w:sz="1"/>
          <w:right w:val="single" w:color="CBD5E0" w:sz="1"/>
          <w:insideH w:val="single" w:color="E2E8F0" w:sz="1"/>
          <w:insideV w:val="single" w:color="E2E8F0" w:sz="1"/>
        </w:tblBorders>
      </w:tblPr>
      <w:tblGrid>
        <w:gridCol w:w="100"/>
        <w:gridCol w:w="100"/>
        <w:gridCol w:w="100"/>
        <w:gridCol w:w="100"/>
        <w:gridCol w:w="100"/>
      </w:tblGrid>
      <w:tr>
        <w:trPr>
          <w:cantSplit/>
          <w:tblHeader/>
        </w:trPr>
        <w:tc>
          <w:tcPr>
            <w:tcW w:type="pct" w:w="22%"/>
            <w:shd w:fill="1a365d" w:val="clear"/>
            <w:tcMar>
              <w:top w:type="dxa" w:w="80"/>
              <w:left w:type="dxa" w:w="120"/>
              <w:bottom w:type="dxa" w:w="80"/>
              <w:right w:type="dxa" w:w="120"/>
            </w:tcMar>
          </w:tcPr>
          <w:p>
            <w:pPr>
              <w:jc w:val="center"/>
            </w:pPr>
            <w:r>
              <w:rPr>
                <w:rFonts w:ascii="SimHei" w:eastAsia="SimHei"/>
                <w:b/>
                <w:bCs/>
                <w:color w:val="FFFFFF"/>
                <w:sz w:val="21"/>
                <w:szCs w:val="21"/>
              </w:rPr>
              <w:t xml:space="preserve">Metric</w:t>
            </w:r>
          </w:p>
        </w:tc>
        <w:tc>
          <w:tcPr>
            <w:tcW w:type="pct" w:w="16%"/>
            <w:shd w:fill="1a365d" w:val="clear"/>
            <w:tcMar>
              <w:top w:type="dxa" w:w="80"/>
              <w:left w:type="dxa" w:w="120"/>
              <w:bottom w:type="dxa" w:w="80"/>
              <w:right w:type="dxa" w:w="120"/>
            </w:tcMar>
          </w:tcPr>
          <w:p>
            <w:pPr>
              <w:jc w:val="center"/>
            </w:pPr>
            <w:r>
              <w:rPr>
                <w:rFonts w:ascii="SimHei" w:eastAsia="SimHei"/>
                <w:b/>
                <w:bCs/>
                <w:color w:val="FFFFFF"/>
                <w:sz w:val="21"/>
                <w:szCs w:val="21"/>
              </w:rPr>
              <w:t xml:space="preserve">Tier 1</w:t>
            </w:r>
          </w:p>
        </w:tc>
        <w:tc>
          <w:tcPr>
            <w:tcW w:type="pct" w:w="16%"/>
            <w:shd w:fill="1a365d" w:val="clear"/>
            <w:tcMar>
              <w:top w:type="dxa" w:w="80"/>
              <w:left w:type="dxa" w:w="120"/>
              <w:bottom w:type="dxa" w:w="80"/>
              <w:right w:type="dxa" w:w="120"/>
            </w:tcMar>
          </w:tcPr>
          <w:p>
            <w:pPr>
              <w:jc w:val="center"/>
            </w:pPr>
            <w:r>
              <w:rPr>
                <w:rFonts w:ascii="SimHei" w:eastAsia="SimHei"/>
                <w:b/>
                <w:bCs/>
                <w:color w:val="FFFFFF"/>
                <w:sz w:val="21"/>
                <w:szCs w:val="21"/>
              </w:rPr>
              <w:t xml:space="preserve">Tier 2</w:t>
            </w:r>
          </w:p>
        </w:tc>
        <w:tc>
          <w:tcPr>
            <w:tcW w:type="pct" w:w="16%"/>
            <w:shd w:fill="1a365d" w:val="clear"/>
            <w:tcMar>
              <w:top w:type="dxa" w:w="80"/>
              <w:left w:type="dxa" w:w="120"/>
              <w:bottom w:type="dxa" w:w="80"/>
              <w:right w:type="dxa" w:w="120"/>
            </w:tcMar>
          </w:tcPr>
          <w:p>
            <w:pPr>
              <w:jc w:val="center"/>
            </w:pPr>
            <w:r>
              <w:rPr>
                <w:rFonts w:ascii="SimHei" w:eastAsia="SimHei"/>
                <w:b/>
                <w:bCs/>
                <w:color w:val="FFFFFF"/>
                <w:sz w:val="21"/>
                <w:szCs w:val="21"/>
              </w:rPr>
              <w:t xml:space="preserve">Tier 3</w:t>
            </w:r>
          </w:p>
        </w:tc>
        <w:tc>
          <w:tcPr>
            <w:tcW w:type="pct" w:w="30%"/>
            <w:shd w:fill="1a365d" w:val="clear"/>
            <w:tcMar>
              <w:top w:type="dxa" w:w="80"/>
              <w:left w:type="dxa" w:w="120"/>
              <w:bottom w:type="dxa" w:w="80"/>
              <w:right w:type="dxa" w:w="120"/>
            </w:tcMar>
          </w:tcPr>
          <w:p>
            <w:pPr>
              <w:jc w:val="center"/>
            </w:pPr>
            <w:r>
              <w:rPr>
                <w:rFonts w:ascii="SimHei" w:eastAsia="SimHei"/>
                <w:b/>
                <w:bCs/>
                <w:color w:val="FFFFFF"/>
                <w:sz w:val="21"/>
                <w:szCs w:val="21"/>
              </w:rPr>
              <w:t xml:space="preserve">Measurement</w:t>
            </w:r>
          </w:p>
        </w:tc>
      </w:tr>
      <w:tr>
        <w:trPr>
          <w:cantSplit/>
        </w:trPr>
        <w:tc>
          <w:tcPr>
            <w:tcW w:type="pct" w:w="22%"/>
            <w:tcMar>
              <w:top w:type="dxa" w:w="60"/>
              <w:left w:type="dxa" w:w="100"/>
              <w:bottom w:type="dxa" w:w="60"/>
              <w:right w:type="dxa" w:w="100"/>
            </w:tcMar>
          </w:tcPr>
          <w:p>
            <w:r>
              <w:rPr>
                <w:rFonts w:ascii="SimSun" w:eastAsia="SimSun"/>
                <w:color w:val="2d3748"/>
                <w:sz w:val="21"/>
                <w:szCs w:val="21"/>
              </w:rPr>
              <w:t xml:space="preserve">Critical Alert MTTD</w:t>
            </w:r>
          </w:p>
        </w:tc>
        <w:tc>
          <w:tcPr>
            <w:tcW w:type="pct" w:w="16%"/>
            <w:tcMar>
              <w:top w:type="dxa" w:w="60"/>
              <w:left w:type="dxa" w:w="100"/>
              <w:bottom w:type="dxa" w:w="60"/>
              <w:right w:type="dxa" w:w="100"/>
            </w:tcMar>
          </w:tcPr>
          <w:p>
            <w:r>
              <w:rPr>
                <w:rFonts w:ascii="SimSun" w:eastAsia="SimSun"/>
                <w:color w:val="2d3748"/>
                <w:sz w:val="21"/>
                <w:szCs w:val="21"/>
              </w:rPr>
              <w:t xml:space="preserve">&lt; 5 min</w:t>
            </w:r>
          </w:p>
        </w:tc>
        <w:tc>
          <w:tcPr>
            <w:tcW w:type="pct" w:w="16%"/>
            <w:tcMar>
              <w:top w:type="dxa" w:w="60"/>
              <w:left w:type="dxa" w:w="100"/>
              <w:bottom w:type="dxa" w:w="60"/>
              <w:right w:type="dxa" w:w="100"/>
            </w:tcMar>
          </w:tcPr>
          <w:p>
            <w:r>
              <w:rPr>
                <w:rFonts w:ascii="SimSun" w:eastAsia="SimSun"/>
                <w:color w:val="2d3748"/>
                <w:sz w:val="21"/>
                <w:szCs w:val="21"/>
              </w:rPr>
              <w:t xml:space="preserve">&lt; 15 min</w:t>
            </w:r>
          </w:p>
        </w:tc>
        <w:tc>
          <w:tcPr>
            <w:tcW w:type="pct" w:w="16%"/>
            <w:tcMar>
              <w:top w:type="dxa" w:w="60"/>
              <w:left w:type="dxa" w:w="100"/>
              <w:bottom w:type="dxa" w:w="60"/>
              <w:right w:type="dxa" w:w="100"/>
            </w:tcMar>
          </w:tcPr>
          <w:p>
            <w:r>
              <w:rPr>
                <w:rFonts w:ascii="SimSun" w:eastAsia="SimSun"/>
                <w:color w:val="2d3748"/>
                <w:sz w:val="21"/>
                <w:szCs w:val="21"/>
              </w:rPr>
              <w:t xml:space="preserve">&lt; 30 min</w:t>
            </w:r>
          </w:p>
        </w:tc>
        <w:tc>
          <w:tcPr>
            <w:tcW w:type="pct" w:w="30%"/>
            <w:tcMar>
              <w:top w:type="dxa" w:w="60"/>
              <w:left w:type="dxa" w:w="100"/>
              <w:bottom w:type="dxa" w:w="60"/>
              <w:right w:type="dxa" w:w="100"/>
            </w:tcMar>
          </w:tcPr>
          <w:p>
            <w:r>
              <w:rPr>
                <w:rFonts w:ascii="SimSun" w:eastAsia="SimSun"/>
                <w:color w:val="2d3748"/>
                <w:sz w:val="21"/>
                <w:szCs w:val="21"/>
              </w:rPr>
              <w:t xml:space="preserve">Alert created to analyst acknowledged</w:t>
            </w:r>
          </w:p>
        </w:tc>
      </w:tr>
      <w:tr>
        <w:trPr>
          <w:cantSplit/>
        </w:trPr>
        <w:tc>
          <w:tcPr>
            <w:tcW w:type="pct" w:w="22%"/>
            <w:tcMar>
              <w:top w:type="dxa" w:w="60"/>
              <w:left w:type="dxa" w:w="100"/>
              <w:bottom w:type="dxa" w:w="60"/>
              <w:right w:type="dxa" w:w="100"/>
            </w:tcMar>
          </w:tcPr>
          <w:p>
            <w:r>
              <w:rPr>
                <w:rFonts w:ascii="SimSun" w:eastAsia="SimSun"/>
                <w:color w:val="2d3748"/>
                <w:sz w:val="21"/>
                <w:szCs w:val="21"/>
              </w:rPr>
              <w:t xml:space="preserve">Critical Alert MTTR</w:t>
            </w:r>
          </w:p>
        </w:tc>
        <w:tc>
          <w:tcPr>
            <w:tcW w:type="pct" w:w="16%"/>
            <w:tcMar>
              <w:top w:type="dxa" w:w="60"/>
              <w:left w:type="dxa" w:w="100"/>
              <w:bottom w:type="dxa" w:w="60"/>
              <w:right w:type="dxa" w:w="100"/>
            </w:tcMar>
          </w:tcPr>
          <w:p>
            <w:r>
              <w:rPr>
                <w:rFonts w:ascii="SimSun" w:eastAsia="SimSun"/>
                <w:color w:val="2d3748"/>
                <w:sz w:val="21"/>
                <w:szCs w:val="21"/>
              </w:rPr>
              <w:t xml:space="preserve">&lt; 1 hour</w:t>
            </w:r>
          </w:p>
        </w:tc>
        <w:tc>
          <w:tcPr>
            <w:tcW w:type="pct" w:w="16%"/>
            <w:tcMar>
              <w:top w:type="dxa" w:w="60"/>
              <w:left w:type="dxa" w:w="100"/>
              <w:bottom w:type="dxa" w:w="60"/>
              <w:right w:type="dxa" w:w="100"/>
            </w:tcMar>
          </w:tcPr>
          <w:p>
            <w:r>
              <w:rPr>
                <w:rFonts w:ascii="SimSun" w:eastAsia="SimSun"/>
                <w:color w:val="2d3748"/>
                <w:sz w:val="21"/>
                <w:szCs w:val="21"/>
              </w:rPr>
              <w:t xml:space="preserve">&lt; 4 hours</w:t>
            </w:r>
          </w:p>
        </w:tc>
        <w:tc>
          <w:tcPr>
            <w:tcW w:type="pct" w:w="16%"/>
            <w:tcMar>
              <w:top w:type="dxa" w:w="60"/>
              <w:left w:type="dxa" w:w="100"/>
              <w:bottom w:type="dxa" w:w="60"/>
              <w:right w:type="dxa" w:w="100"/>
            </w:tcMar>
          </w:tcPr>
          <w:p>
            <w:r>
              <w:rPr>
                <w:rFonts w:ascii="SimSun" w:eastAsia="SimSun"/>
                <w:color w:val="2d3748"/>
                <w:sz w:val="21"/>
                <w:szCs w:val="21"/>
              </w:rPr>
              <w:t xml:space="preserve">&lt; 8 hours</w:t>
            </w:r>
          </w:p>
        </w:tc>
        <w:tc>
          <w:tcPr>
            <w:tcW w:type="pct" w:w="30%"/>
            <w:tcMar>
              <w:top w:type="dxa" w:w="60"/>
              <w:left w:type="dxa" w:w="100"/>
              <w:bottom w:type="dxa" w:w="60"/>
              <w:right w:type="dxa" w:w="100"/>
            </w:tcMar>
          </w:tcPr>
          <w:p>
            <w:r>
              <w:rPr>
                <w:rFonts w:ascii="SimSun" w:eastAsia="SimSun"/>
                <w:color w:val="2d3748"/>
                <w:sz w:val="21"/>
                <w:szCs w:val="21"/>
              </w:rPr>
              <w:t xml:space="preserve">Acknowledgment to initial containment</w:t>
            </w:r>
          </w:p>
        </w:tc>
      </w:tr>
      <w:tr>
        <w:trPr>
          <w:cantSplit/>
        </w:trPr>
        <w:tc>
          <w:tcPr>
            <w:tcW w:type="pct" w:w="22%"/>
            <w:tcMar>
              <w:top w:type="dxa" w:w="60"/>
              <w:left w:type="dxa" w:w="100"/>
              <w:bottom w:type="dxa" w:w="60"/>
              <w:right w:type="dxa" w:w="100"/>
            </w:tcMar>
          </w:tcPr>
          <w:p>
            <w:r>
              <w:rPr>
                <w:rFonts w:ascii="SimSun" w:eastAsia="SimSun"/>
                <w:color w:val="2d3748"/>
                <w:sz w:val="21"/>
                <w:szCs w:val="21"/>
              </w:rPr>
              <w:t xml:space="preserve">Platform Availability</w:t>
            </w:r>
          </w:p>
        </w:tc>
        <w:tc>
          <w:tcPr>
            <w:tcW w:type="pct" w:w="16%"/>
            <w:tcMar>
              <w:top w:type="dxa" w:w="60"/>
              <w:left w:type="dxa" w:w="100"/>
              <w:bottom w:type="dxa" w:w="60"/>
              <w:right w:type="dxa" w:w="100"/>
            </w:tcMar>
          </w:tcPr>
          <w:p>
            <w:r>
              <w:rPr>
                <w:rFonts w:ascii="SimSun" w:eastAsia="SimSun"/>
                <w:color w:val="2d3748"/>
                <w:sz w:val="21"/>
                <w:szCs w:val="21"/>
              </w:rPr>
              <w:t xml:space="preserve">99.99%</w:t>
            </w:r>
          </w:p>
        </w:tc>
        <w:tc>
          <w:tcPr>
            <w:tcW w:type="pct" w:w="16%"/>
            <w:tcMar>
              <w:top w:type="dxa" w:w="60"/>
              <w:left w:type="dxa" w:w="100"/>
              <w:bottom w:type="dxa" w:w="60"/>
              <w:right w:type="dxa" w:w="100"/>
            </w:tcMar>
          </w:tcPr>
          <w:p>
            <w:r>
              <w:rPr>
                <w:rFonts w:ascii="SimSun" w:eastAsia="SimSun"/>
                <w:color w:val="2d3748"/>
                <w:sz w:val="21"/>
                <w:szCs w:val="21"/>
              </w:rPr>
              <w:t xml:space="preserve">99.95%</w:t>
            </w:r>
          </w:p>
        </w:tc>
        <w:tc>
          <w:tcPr>
            <w:tcW w:type="pct" w:w="16%"/>
            <w:tcMar>
              <w:top w:type="dxa" w:w="60"/>
              <w:left w:type="dxa" w:w="100"/>
              <w:bottom w:type="dxa" w:w="60"/>
              <w:right w:type="dxa" w:w="100"/>
            </w:tcMar>
          </w:tcPr>
          <w:p>
            <w:r>
              <w:rPr>
                <w:rFonts w:ascii="SimSun" w:eastAsia="SimSun"/>
                <w:color w:val="2d3748"/>
                <w:sz w:val="21"/>
                <w:szCs w:val="21"/>
              </w:rPr>
              <w:t xml:space="preserve">99.9%</w:t>
            </w:r>
          </w:p>
        </w:tc>
        <w:tc>
          <w:tcPr>
            <w:tcW w:type="pct" w:w="30%"/>
            <w:tcMar>
              <w:top w:type="dxa" w:w="60"/>
              <w:left w:type="dxa" w:w="100"/>
              <w:bottom w:type="dxa" w:w="60"/>
              <w:right w:type="dxa" w:w="100"/>
            </w:tcMar>
          </w:tcPr>
          <w:p>
            <w:r>
              <w:rPr>
                <w:rFonts w:ascii="SimSun" w:eastAsia="SimSun"/>
                <w:color w:val="2d3748"/>
                <w:sz w:val="21"/>
                <w:szCs w:val="21"/>
              </w:rPr>
              <w:t xml:space="preserve">Monthly uptime percentage</w:t>
            </w:r>
          </w:p>
        </w:tc>
      </w:tr>
      <w:tr>
        <w:trPr>
          <w:cantSplit/>
        </w:trPr>
        <w:tc>
          <w:tcPr>
            <w:tcW w:type="pct" w:w="22%"/>
            <w:tcMar>
              <w:top w:type="dxa" w:w="60"/>
              <w:left w:type="dxa" w:w="100"/>
              <w:bottom w:type="dxa" w:w="60"/>
              <w:right w:type="dxa" w:w="100"/>
            </w:tcMar>
          </w:tcPr>
          <w:p>
            <w:r>
              <w:rPr>
                <w:rFonts w:ascii="SimSun" w:eastAsia="SimSun"/>
                <w:color w:val="2d3748"/>
                <w:sz w:val="21"/>
                <w:szCs w:val="21"/>
              </w:rPr>
              <w:t xml:space="preserve">Report Delivery SLA</w:t>
            </w:r>
          </w:p>
        </w:tc>
        <w:tc>
          <w:tcPr>
            <w:tcW w:type="pct" w:w="16%"/>
            <w:tcMar>
              <w:top w:type="dxa" w:w="60"/>
              <w:left w:type="dxa" w:w="100"/>
              <w:bottom w:type="dxa" w:w="60"/>
              <w:right w:type="dxa" w:w="100"/>
            </w:tcMar>
          </w:tcPr>
          <w:p>
            <w:r>
              <w:rPr>
                <w:rFonts w:ascii="SimSun" w:eastAsia="SimSun"/>
                <w:color w:val="2d3748"/>
                <w:sz w:val="21"/>
                <w:szCs w:val="21"/>
              </w:rPr>
              <w:t xml:space="preserve">&lt; 4 hours</w:t>
            </w:r>
          </w:p>
        </w:tc>
        <w:tc>
          <w:tcPr>
            <w:tcW w:type="pct" w:w="16%"/>
            <w:tcMar>
              <w:top w:type="dxa" w:w="60"/>
              <w:left w:type="dxa" w:w="100"/>
              <w:bottom w:type="dxa" w:w="60"/>
              <w:right w:type="dxa" w:w="100"/>
            </w:tcMar>
          </w:tcPr>
          <w:p>
            <w:r>
              <w:rPr>
                <w:rFonts w:ascii="SimSun" w:eastAsia="SimSun"/>
                <w:color w:val="2d3748"/>
                <w:sz w:val="21"/>
                <w:szCs w:val="21"/>
              </w:rPr>
              <w:t xml:space="preserve">&lt; 24 hours</w:t>
            </w:r>
          </w:p>
        </w:tc>
        <w:tc>
          <w:tcPr>
            <w:tcW w:type="pct" w:w="16%"/>
            <w:tcMar>
              <w:top w:type="dxa" w:w="60"/>
              <w:left w:type="dxa" w:w="100"/>
              <w:bottom w:type="dxa" w:w="60"/>
              <w:right w:type="dxa" w:w="100"/>
            </w:tcMar>
          </w:tcPr>
          <w:p>
            <w:r>
              <w:rPr>
                <w:rFonts w:ascii="SimSun" w:eastAsia="SimSun"/>
                <w:color w:val="2d3748"/>
                <w:sz w:val="21"/>
                <w:szCs w:val="21"/>
              </w:rPr>
              <w:t xml:space="preserve">&lt; 72 hours</w:t>
            </w:r>
          </w:p>
        </w:tc>
        <w:tc>
          <w:tcPr>
            <w:tcW w:type="pct" w:w="30%"/>
            <w:tcMar>
              <w:top w:type="dxa" w:w="60"/>
              <w:left w:type="dxa" w:w="100"/>
              <w:bottom w:type="dxa" w:w="60"/>
              <w:right w:type="dxa" w:w="100"/>
            </w:tcMar>
          </w:tcPr>
          <w:p>
            <w:r>
              <w:rPr>
                <w:rFonts w:ascii="SimSun" w:eastAsia="SimSun"/>
                <w:color w:val="2d3748"/>
                <w:sz w:val="21"/>
                <w:szCs w:val="21"/>
              </w:rPr>
              <w:t xml:space="preserve">Request to delivery</w:t>
            </w:r>
          </w:p>
        </w:tc>
      </w:tr>
      <w:tr>
        <w:trPr>
          <w:cantSplit/>
        </w:trPr>
        <w:tc>
          <w:tcPr>
            <w:tcW w:type="pct" w:w="22%"/>
            <w:tcMar>
              <w:top w:type="dxa" w:w="60"/>
              <w:left w:type="dxa" w:w="100"/>
              <w:bottom w:type="dxa" w:w="60"/>
              <w:right w:type="dxa" w:w="100"/>
            </w:tcMar>
          </w:tcPr>
          <w:p>
            <w:r>
              <w:rPr>
                <w:rFonts w:ascii="SimSun" w:eastAsia="SimSun"/>
                <w:color w:val="2d3748"/>
                <w:sz w:val="21"/>
                <w:szCs w:val="21"/>
              </w:rPr>
              <w:t xml:space="preserve">Escalation Response</w:t>
            </w:r>
          </w:p>
        </w:tc>
        <w:tc>
          <w:tcPr>
            <w:tcW w:type="pct" w:w="16%"/>
            <w:tcMar>
              <w:top w:type="dxa" w:w="60"/>
              <w:left w:type="dxa" w:w="100"/>
              <w:bottom w:type="dxa" w:w="60"/>
              <w:right w:type="dxa" w:w="100"/>
            </w:tcMar>
          </w:tcPr>
          <w:p>
            <w:r>
              <w:rPr>
                <w:rFonts w:ascii="SimSun" w:eastAsia="SimSun"/>
                <w:color w:val="2d3748"/>
                <w:sz w:val="21"/>
                <w:szCs w:val="21"/>
              </w:rPr>
              <w:t xml:space="preserve">&lt; 15 min</w:t>
            </w:r>
          </w:p>
        </w:tc>
        <w:tc>
          <w:tcPr>
            <w:tcW w:type="pct" w:w="16%"/>
            <w:tcMar>
              <w:top w:type="dxa" w:w="60"/>
              <w:left w:type="dxa" w:w="100"/>
              <w:bottom w:type="dxa" w:w="60"/>
              <w:right w:type="dxa" w:w="100"/>
            </w:tcMar>
          </w:tcPr>
          <w:p>
            <w:r>
              <w:rPr>
                <w:rFonts w:ascii="SimSun" w:eastAsia="SimSun"/>
                <w:color w:val="2d3748"/>
                <w:sz w:val="21"/>
                <w:szCs w:val="21"/>
              </w:rPr>
              <w:t xml:space="preserve">&lt; 30 min</w:t>
            </w:r>
          </w:p>
        </w:tc>
        <w:tc>
          <w:tcPr>
            <w:tcW w:type="pct" w:w="16%"/>
            <w:tcMar>
              <w:top w:type="dxa" w:w="60"/>
              <w:left w:type="dxa" w:w="100"/>
              <w:bottom w:type="dxa" w:w="60"/>
              <w:right w:type="dxa" w:w="100"/>
            </w:tcMar>
          </w:tcPr>
          <w:p>
            <w:r>
              <w:rPr>
                <w:rFonts w:ascii="SimSun" w:eastAsia="SimSun"/>
                <w:color w:val="2d3748"/>
                <w:sz w:val="21"/>
                <w:szCs w:val="21"/>
              </w:rPr>
              <w:t xml:space="preserve">&lt; 1 hour</w:t>
            </w:r>
          </w:p>
        </w:tc>
        <w:tc>
          <w:tcPr>
            <w:tcW w:type="pct" w:w="30%"/>
            <w:tcMar>
              <w:top w:type="dxa" w:w="60"/>
              <w:left w:type="dxa" w:w="100"/>
              <w:bottom w:type="dxa" w:w="60"/>
              <w:right w:type="dxa" w:w="100"/>
            </w:tcMar>
          </w:tcPr>
          <w:p>
            <w:r>
              <w:rPr>
                <w:rFonts w:ascii="SimSun" w:eastAsia="SimSun"/>
                <w:color w:val="2d3748"/>
                <w:sz w:val="21"/>
                <w:szCs w:val="21"/>
              </w:rPr>
              <w:t xml:space="preserve">Escalation to response initiation</w:t>
            </w:r>
          </w:p>
        </w:tc>
      </w:tr>
      <w:tr>
        <w:trPr>
          <w:cantSplit/>
        </w:trPr>
        <w:tc>
          <w:tcPr>
            <w:tcW w:type="pct" w:w="22%"/>
            <w:tcMar>
              <w:top w:type="dxa" w:w="60"/>
              <w:left w:type="dxa" w:w="100"/>
              <w:bottom w:type="dxa" w:w="60"/>
              <w:right w:type="dxa" w:w="100"/>
            </w:tcMar>
          </w:tcPr>
          <w:p>
            <w:r>
              <w:rPr>
                <w:rFonts w:ascii="SimSun" w:eastAsia="SimSun"/>
                <w:color w:val="2d3748"/>
                <w:sz w:val="21"/>
                <w:szCs w:val="21"/>
              </w:rPr>
              <w:t xml:space="preserve">Onboarding Time</w:t>
            </w:r>
          </w:p>
        </w:tc>
        <w:tc>
          <w:tcPr>
            <w:tcW w:type="pct" w:w="16%"/>
            <w:tcMar>
              <w:top w:type="dxa" w:w="60"/>
              <w:left w:type="dxa" w:w="100"/>
              <w:bottom w:type="dxa" w:w="60"/>
              <w:right w:type="dxa" w:w="100"/>
            </w:tcMar>
          </w:tcPr>
          <w:p>
            <w:r>
              <w:rPr>
                <w:rFonts w:ascii="SimSun" w:eastAsia="SimSun"/>
                <w:color w:val="2d3748"/>
                <w:sz w:val="21"/>
                <w:szCs w:val="21"/>
              </w:rPr>
              <w:t xml:space="preserve">&lt; 30 days</w:t>
            </w:r>
          </w:p>
        </w:tc>
        <w:tc>
          <w:tcPr>
            <w:tcW w:type="pct" w:w="16%"/>
            <w:tcMar>
              <w:top w:type="dxa" w:w="60"/>
              <w:left w:type="dxa" w:w="100"/>
              <w:bottom w:type="dxa" w:w="60"/>
              <w:right w:type="dxa" w:w="100"/>
            </w:tcMar>
          </w:tcPr>
          <w:p>
            <w:r>
              <w:rPr>
                <w:rFonts w:ascii="SimSun" w:eastAsia="SimSun"/>
                <w:color w:val="2d3748"/>
                <w:sz w:val="21"/>
                <w:szCs w:val="21"/>
              </w:rPr>
              <w:t xml:space="preserve">&lt; 60 days</w:t>
            </w:r>
          </w:p>
        </w:tc>
        <w:tc>
          <w:tcPr>
            <w:tcW w:type="pct" w:w="16%"/>
            <w:tcMar>
              <w:top w:type="dxa" w:w="60"/>
              <w:left w:type="dxa" w:w="100"/>
              <w:bottom w:type="dxa" w:w="60"/>
              <w:right w:type="dxa" w:w="100"/>
            </w:tcMar>
          </w:tcPr>
          <w:p>
            <w:r>
              <w:rPr>
                <w:rFonts w:ascii="SimSun" w:eastAsia="SimSun"/>
                <w:color w:val="2d3748"/>
                <w:sz w:val="21"/>
                <w:szCs w:val="21"/>
              </w:rPr>
              <w:t xml:space="preserve">&lt; 90 days</w:t>
            </w:r>
          </w:p>
        </w:tc>
        <w:tc>
          <w:tcPr>
            <w:tcW w:type="pct" w:w="30%"/>
            <w:tcMar>
              <w:top w:type="dxa" w:w="60"/>
              <w:left w:type="dxa" w:w="100"/>
              <w:bottom w:type="dxa" w:w="60"/>
              <w:right w:type="dxa" w:w="100"/>
            </w:tcMar>
          </w:tcPr>
          <w:p>
            <w:r>
              <w:rPr>
                <w:rFonts w:ascii="SimSun" w:eastAsia="SimSun"/>
                <w:color w:val="2d3748"/>
                <w:sz w:val="21"/>
                <w:szCs w:val="21"/>
              </w:rPr>
              <w:t xml:space="preserve">Contract to initial monitoring</w:t>
            </w:r>
          </w:p>
        </w:tc>
      </w:tr>
    </w:tbl>
    <w:p>
      <w:pPr>
        <w:spacing w:after="100" w:before="200"/>
      </w:pPr>
    </w:p>
    <w:p>
      <w:pPr>
        <w:pStyle w:val="Heading2"/>
        <w:spacing w:after="150" w:before="300"/>
      </w:pPr>
      <w:bookmarkStart w:id="100121" w:name="_Toc100121"/>
      <w:r>
        <w:rPr>
          <w:rFonts w:ascii="SimHei" w:eastAsia="SimHei"/>
          <w:b/>
          <w:bCs/>
          <w:color w:val="1a365d"/>
          <w:sz w:val="28"/>
          <w:szCs w:val="28"/>
        </w:rPr>
        <w:t xml:space="preserve">Onboarding Process</w:t>
      </w:r>
      <w:bookmarkEnd w:id="100121"/>
    </w:p>
    <w:p>
      <w:pPr>
        <w:spacing w:after="120" w:line="312"/>
        <w:ind w:firstLine="480"/>
        <w:jc w:val="both"/>
      </w:pPr>
      <w:r>
        <w:rPr>
          <w:rFonts w:ascii="SimSun" w:eastAsia="SimSun"/>
          <w:color w:val="2d3748"/>
          <w:sz w:val="24"/>
          <w:szCs w:val="24"/>
        </w:rPr>
        <w:t xml:space="preserve">Customer onboarding follows structured process ensuring smooth integration while managing operational risk. Discovery phase documents customer environment, assets, and contacts. Technical integration connects data sources to SOC platform. Baseline establishment records normal activity patterns for anomaly detection. Procedure customization adapts playbooks for customer-specific requirements. Training ensures customer understands portal, escalation paths, and expectations. Graduated ramp-up increases monitoring scope over agreed period. Post-onboarding review confirms service delivery meets expectations.</w:t>
      </w:r>
    </w:p>
    <w:p>
      <w:pPr>
        <w:pStyle w:val="Heading1"/>
        <w:spacing w:after="200" w:before="400"/>
      </w:pPr>
      <w:bookmarkStart w:id="100122" w:name="_Toc100122"/>
      <w:r>
        <w:rPr>
          <w:rFonts w:ascii="SimHei" w:eastAsia="SimHei"/>
          <w:b/>
          <w:bCs/>
          <w:color w:val="1a365d"/>
          <w:sz w:val="32"/>
          <w:szCs w:val="32"/>
        </w:rPr>
        <w:t xml:space="preserve">Compliance &amp; Governance Framework</w:t>
      </w:r>
      <w:bookmarkEnd w:id="100122"/>
    </w:p>
    <w:p>
      <w:pPr>
        <w:pStyle w:val="Heading2"/>
        <w:spacing w:after="150" w:before="300"/>
      </w:pPr>
      <w:bookmarkStart w:id="100123" w:name="_Toc100123"/>
      <w:r>
        <w:rPr>
          <w:rFonts w:ascii="SimHei" w:eastAsia="SimHei"/>
          <w:b/>
          <w:bCs/>
          <w:color w:val="1a365d"/>
          <w:sz w:val="28"/>
          <w:szCs w:val="28"/>
        </w:rPr>
        <w:t xml:space="preserve">Regulatory Landscape</w:t>
      </w:r>
      <w:bookmarkEnd w:id="100123"/>
    </w:p>
    <w:p>
      <w:pPr>
        <w:spacing w:after="120" w:line="312"/>
        <w:ind w:firstLine="480"/>
        <w:jc w:val="both"/>
      </w:pPr>
      <w:r>
        <w:rPr>
          <w:rFonts w:ascii="SimSun" w:eastAsia="SimSun"/>
          <w:color w:val="2d3748"/>
          <w:sz w:val="24"/>
          <w:szCs w:val="24"/>
        </w:rPr>
        <w:t xml:space="preserve">The National SOC operates within a complex regulatory environment encompassing data protection laws, sector-specific requirements, international standards, and national security obligations. Understanding and complying with applicable regulations is both a legal necessity and a trust-building measure with constituent organizations.</w:t>
      </w:r>
    </w:p>
    <w:p>
      <w:pPr>
        <w:pStyle w:val="Heading3"/>
        <w:spacing w:after="120" w:before="240"/>
      </w:pPr>
      <w:bookmarkStart w:id="100124" w:name="_Toc100124"/>
      <w:r>
        <w:rPr>
          <w:rFonts w:ascii="SimHei" w:eastAsia="SimHei"/>
          <w:b/>
          <w:bCs/>
          <w:color w:val="4a5568"/>
          <w:sz w:val="24"/>
          <w:szCs w:val="24"/>
        </w:rPr>
        <w:t xml:space="preserve">International Standards Alignment</w:t>
      </w:r>
      <w:bookmarkEnd w:id="100124"/>
    </w:p>
    <w:p>
      <w:pPr>
        <w:spacing w:after="120" w:line="312"/>
        <w:ind w:firstLine="480"/>
        <w:jc w:val="both"/>
      </w:pPr>
      <w:r>
        <w:rPr>
          <w:rFonts w:ascii="SimSun" w:eastAsia="SimSun"/>
          <w:color w:val="2d3748"/>
          <w:sz w:val="24"/>
          <w:szCs w:val="24"/>
        </w:rPr>
        <w:t xml:space="preserve">The SOC should pursue certification against internationally recognized frameworks demonstrating operational maturity. ISO/IEC 27001:2022 provides comprehensive information security management system framework. NIST Cybersecurity Framework offers widely adopted risk-based approach to cybersecurity management. NIST SP 800-61 defines computer security incident handling guide best practices. IEC 62443 addresses industrial automation and control systems security. SOC 2 Type II attests to service organization control effectiveness for service providers.</w:t>
      </w:r>
    </w:p>
    <w:p>
      <w:pPr>
        <w:pStyle w:val="Heading3"/>
        <w:spacing w:after="120" w:before="240"/>
      </w:pPr>
      <w:bookmarkStart w:id="100125" w:name="_Toc100125"/>
      <w:r>
        <w:rPr>
          <w:rFonts w:ascii="SimHei" w:eastAsia="SimHei"/>
          <w:b/>
          <w:bCs/>
          <w:color w:val="4a5568"/>
          <w:sz w:val="24"/>
          <w:szCs w:val="24"/>
        </w:rPr>
        <w:t xml:space="preserve">Data Protection Compliance</w:t>
      </w:r>
      <w:bookmarkEnd w:id="100125"/>
    </w:p>
    <w:p>
      <w:pPr>
        <w:spacing w:after="120" w:line="312"/>
        <w:ind w:firstLine="480"/>
        <w:jc w:val="both"/>
      </w:pPr>
      <w:r>
        <w:rPr>
          <w:rFonts w:ascii="SimSun" w:eastAsia="SimSun"/>
          <w:color w:val="2d3748"/>
          <w:sz w:val="24"/>
          <w:szCs w:val="24"/>
        </w:rPr>
        <w:t xml:space="preserve">Processing personal data in security operations triggers data protection obligations. Legal basis for processing must be established (legitimate interest, contractual necessity, legal obligation). Data minimization limits collection to security-purpose necessity. Purpose limitation restricts secondary uses without additional authorization. Subject rights (access, deletion, portability) require procedural accommodation. Cross-border data transfer mechanisms must address international data flows. Breach notification procedures must meet regulatory timelines. Data Protection Impact Assessment should precede processing activities.</w:t>
      </w:r>
    </w:p>
    <w:p>
      <w:pPr>
        <w:pStyle w:val="Heading2"/>
        <w:spacing w:after="150" w:before="300"/>
      </w:pPr>
      <w:bookmarkStart w:id="100126" w:name="_Toc100126"/>
      <w:r>
        <w:rPr>
          <w:rFonts w:ascii="SimHei" w:eastAsia="SimHei"/>
          <w:b/>
          <w:bCs/>
          <w:color w:val="1a365d"/>
          <w:sz w:val="28"/>
          <w:szCs w:val="28"/>
        </w:rPr>
        <w:t xml:space="preserve">Governance Structure</w:t>
      </w:r>
      <w:bookmarkEnd w:id="100126"/>
    </w:p>
    <w:p>
      <w:pPr>
        <w:pStyle w:val="Heading3"/>
        <w:spacing w:after="120" w:before="240"/>
      </w:pPr>
      <w:bookmarkStart w:id="100127" w:name="_Toc100127"/>
      <w:r>
        <w:rPr>
          <w:rFonts w:ascii="SimHei" w:eastAsia="SimHei"/>
          <w:b/>
          <w:bCs/>
          <w:color w:val="4a5568"/>
          <w:sz w:val="24"/>
          <w:szCs w:val="24"/>
        </w:rPr>
        <w:t xml:space="preserve">SOC Governance Committee</w:t>
      </w:r>
      <w:bookmarkEnd w:id="100127"/>
    </w:p>
    <w:p>
      <w:pPr>
        <w:spacing w:after="120" w:line="312"/>
        <w:ind w:firstLine="480"/>
        <w:jc w:val="both"/>
      </w:pPr>
      <w:r>
        <w:rPr>
          <w:rFonts w:ascii="SimSun" w:eastAsia="SimSun"/>
          <w:color w:val="2d3748"/>
          <w:sz w:val="24"/>
          <w:szCs w:val="24"/>
        </w:rPr>
        <w:t xml:space="preserve">Oversight committee provides strategic direction and accountability. Composition includes SOC Director (chair), representatives from key constituent organizations, legal/compliance officer, technical advisor, and finance representative. Responsibilities encompass strategy and roadmap approval, budget oversight, policy approval, major incident review, performance monitoring, and risk acceptance for residual issues.</w:t>
      </w:r>
    </w:p>
    <w:p>
      <w:pPr>
        <w:pStyle w:val="Heading3"/>
        <w:spacing w:after="120" w:before="240"/>
      </w:pPr>
      <w:bookmarkStart w:id="100128" w:name="_Toc100128"/>
      <w:r>
        <w:rPr>
          <w:rFonts w:ascii="SimHei" w:eastAsia="SimHei"/>
          <w:b/>
          <w:bCs/>
          <w:color w:val="4a5568"/>
          <w:sz w:val="24"/>
          <w:szCs w:val="24"/>
        </w:rPr>
        <w:t xml:space="preserve">Operational Governance</w:t>
      </w:r>
      <w:bookmarkEnd w:id="100128"/>
    </w:p>
    <w:p>
      <w:pPr>
        <w:spacing w:after="120" w:line="312"/>
        <w:ind w:firstLine="480"/>
        <w:jc w:val="both"/>
      </w:pPr>
      <w:r>
        <w:rPr>
          <w:rFonts w:ascii="SimSun" w:eastAsia="SimSun"/>
          <w:color w:val="2d3748"/>
          <w:sz w:val="24"/>
          <w:szCs w:val="24"/>
        </w:rPr>
        <w:t xml:space="preserve">Day-to-day governance ensures consistent, accountable operations. Change management governs modifications to platform, procedures, and configurations. Incident review board analyzes significant incidents for lessons learned. Detection content governance oversees rule development and tuning processes. Access management governs system access provisioning and recertification. Vendor management oversees third-party service provider relationships. Quality assurance samples work product for accuracy and completeness.</w:t>
      </w:r>
    </w:p>
    <w:p>
      <w:pPr>
        <w:pStyle w:val="Heading2"/>
        <w:spacing w:after="150" w:before="300"/>
      </w:pPr>
      <w:bookmarkStart w:id="100129" w:name="_Toc100129"/>
      <w:r>
        <w:rPr>
          <w:rFonts w:ascii="SimHei" w:eastAsia="SimHei"/>
          <w:b/>
          <w:bCs/>
          <w:color w:val="1a365d"/>
          <w:sz w:val="28"/>
          <w:szCs w:val="28"/>
        </w:rPr>
        <w:t xml:space="preserve">Audit Framework</w:t>
      </w:r>
      <w:bookmarkEnd w:id="100129"/>
    </w:p>
    <w:p>
      <w:pPr>
        <w:spacing w:after="120" w:line="312"/>
        <w:ind w:firstLine="480"/>
        <w:jc w:val="both"/>
      </w:pPr>
      <w:r>
        <w:rPr>
          <w:rFonts w:ascii="SimSun" w:eastAsia="SimSun"/>
          <w:color w:val="2d3748"/>
          <w:sz w:val="24"/>
          <w:szCs w:val="24"/>
        </w:rPr>
        <w:t xml:space="preserve">Regular audits verify compliance and identify improvement opportunities. Internal audit conducted by organizational audit function against policies and procedures. External audit by certified auditors for certification maintenance (ISO, SOC 2). Penetration testing by qualified testers evaluates defensive effectiveness. Regulatory examination by supervisory authorities for regulated entities. Customer audit rights allow constituent organizations to verify service claims. Audit finding remediation tracked to completion with root cause analysis.</w:t>
      </w:r>
    </w:p>
    <w:p>
      <w:pPr>
        <w:pStyle w:val="Heading1"/>
        <w:spacing w:after="200" w:before="400"/>
      </w:pPr>
      <w:bookmarkStart w:id="100130" w:name="_Toc100130"/>
      <w:r>
        <w:rPr>
          <w:rFonts w:ascii="SimHei" w:eastAsia="SimHei"/>
          <w:b/>
          <w:bCs/>
          <w:color w:val="1a365d"/>
          <w:sz w:val="32"/>
          <w:szCs w:val="32"/>
        </w:rPr>
        <w:t xml:space="preserve">Budget Framework &amp; Financial Analysis</w:t>
      </w:r>
      <w:bookmarkEnd w:id="100130"/>
    </w:p>
    <w:p>
      <w:pPr>
        <w:pStyle w:val="Heading2"/>
        <w:spacing w:after="150" w:before="300"/>
      </w:pPr>
      <w:bookmarkStart w:id="100131" w:name="_Toc100131"/>
      <w:r>
        <w:rPr>
          <w:rFonts w:ascii="SimHei" w:eastAsia="SimHei"/>
          <w:b/>
          <w:bCs/>
          <w:color w:val="1a365d"/>
          <w:sz w:val="28"/>
          <w:szCs w:val="28"/>
        </w:rPr>
        <w:t xml:space="preserve">Five-Year Total Cost of Ownership</w:t>
      </w:r>
      <w:bookmarkEnd w:id="100131"/>
    </w:p>
    <w:p>
      <w:pPr>
        <w:spacing w:after="120" w:line="312"/>
        <w:ind w:firstLine="480"/>
        <w:jc w:val="both"/>
      </w:pPr>
      <w:r>
        <w:rPr>
          <w:rFonts w:ascii="SimSun" w:eastAsia="SimSun"/>
          <w:color w:val="2d3748"/>
          <w:sz w:val="24"/>
          <w:szCs w:val="24"/>
        </w:rPr>
        <w:t xml:space="preserve">Establishing and operating a national-scale SOC represents substantial investment requiring careful financial planning. The following framework outlines expected cost categories and ranges, recognizing actual figures depend on specific technology selections, scope decisions, and local market conditions.</w:t>
      </w:r>
    </w:p>
    <w:p>
      <w:pPr>
        <w:pStyle w:val="Heading2"/>
        <w:spacing w:after="150" w:before="300"/>
      </w:pPr>
      <w:bookmarkStart w:id="100132" w:name="_Toc100132"/>
      <w:r>
        <w:rPr>
          <w:rFonts w:ascii="SimHei" w:eastAsia="SimHei"/>
          <w:b/>
          <w:bCs/>
          <w:color w:val="1a365d"/>
          <w:sz w:val="28"/>
          <w:szCs w:val="28"/>
        </w:rPr>
        <w:t xml:space="preserve">Capital Expenditure (CAPEX)</w:t>
      </w:r>
      <w:bookmarkEnd w:id="100132"/>
    </w:p>
    <w:tbl>
      <w:tblPr>
        <w:tblW w:type="pct" w:w="100%"/>
        <w:tblBorders>
          <w:top w:val="single" w:color="CBD5E0" w:sz="1"/>
          <w:left w:val="single" w:color="CBD5E0" w:sz="1"/>
          <w:bottom w:val="single" w:color="CBD5E0" w:sz="1"/>
          <w:right w:val="single" w:color="CBD5E0" w:sz="1"/>
          <w:insideH w:val="single" w:color="E2E8F0" w:sz="1"/>
          <w:insideV w:val="single" w:color="E2E8F0" w:sz="1"/>
        </w:tblBorders>
      </w:tblPr>
      <w:tblGrid>
        <w:gridCol w:w="100"/>
        <w:gridCol w:w="100"/>
        <w:gridCol w:w="100"/>
        <w:gridCol w:w="100"/>
        <w:gridCol w:w="100"/>
        <w:gridCol w:w="100"/>
        <w:gridCol w:w="100"/>
      </w:tblGrid>
      <w:tr>
        <w:trPr>
          <w:cantSplit/>
          <w:tblHeader/>
        </w:trPr>
        <w:tc>
          <w:tcPr>
            <w:tcW w:type="pct" w:w="28%"/>
            <w:shd w:fill="1a365d" w:val="clear"/>
            <w:tcMar>
              <w:top w:type="dxa" w:w="80"/>
              <w:left w:type="dxa" w:w="120"/>
              <w:bottom w:type="dxa" w:w="80"/>
              <w:right w:type="dxa" w:w="120"/>
            </w:tcMar>
          </w:tcPr>
          <w:p>
            <w:pPr>
              <w:jc w:val="center"/>
            </w:pPr>
            <w:r>
              <w:rPr>
                <w:rFonts w:ascii="SimHei" w:eastAsia="SimHei"/>
                <w:b/>
                <w:bCs/>
                <w:color w:val="FFFFFF"/>
                <w:sz w:val="21"/>
                <w:szCs w:val="21"/>
              </w:rPr>
              <w:t xml:space="preserve">Category</w:t>
            </w:r>
          </w:p>
        </w:tc>
        <w:tc>
          <w:tcPr>
            <w:tcW w:type="pct" w:w="12%"/>
            <w:shd w:fill="1a365d" w:val="clear"/>
            <w:tcMar>
              <w:top w:type="dxa" w:w="80"/>
              <w:left w:type="dxa" w:w="120"/>
              <w:bottom w:type="dxa" w:w="80"/>
              <w:right w:type="dxa" w:w="120"/>
            </w:tcMar>
          </w:tcPr>
          <w:p>
            <w:pPr>
              <w:jc w:val="center"/>
            </w:pPr>
            <w:r>
              <w:rPr>
                <w:rFonts w:ascii="SimHei" w:eastAsia="SimHei"/>
                <w:b/>
                <w:bCs/>
                <w:color w:val="FFFFFF"/>
                <w:sz w:val="21"/>
                <w:szCs w:val="21"/>
              </w:rPr>
              <w:t xml:space="preserve">Year 1</w:t>
            </w:r>
          </w:p>
        </w:tc>
        <w:tc>
          <w:tcPr>
            <w:tcW w:type="pct" w:w="12%"/>
            <w:shd w:fill="1a365d" w:val="clear"/>
            <w:tcMar>
              <w:top w:type="dxa" w:w="80"/>
              <w:left w:type="dxa" w:w="120"/>
              <w:bottom w:type="dxa" w:w="80"/>
              <w:right w:type="dxa" w:w="120"/>
            </w:tcMar>
          </w:tcPr>
          <w:p>
            <w:pPr>
              <w:jc w:val="center"/>
            </w:pPr>
            <w:r>
              <w:rPr>
                <w:rFonts w:ascii="SimHei" w:eastAsia="SimHei"/>
                <w:b/>
                <w:bCs/>
                <w:color w:val="FFFFFF"/>
                <w:sz w:val="21"/>
                <w:szCs w:val="21"/>
              </w:rPr>
              <w:t xml:space="preserve">Year 2</w:t>
            </w:r>
          </w:p>
        </w:tc>
        <w:tc>
          <w:tcPr>
            <w:tcW w:type="pct" w:w="12%"/>
            <w:shd w:fill="1a365d" w:val="clear"/>
            <w:tcMar>
              <w:top w:type="dxa" w:w="80"/>
              <w:left w:type="dxa" w:w="120"/>
              <w:bottom w:type="dxa" w:w="80"/>
              <w:right w:type="dxa" w:w="120"/>
            </w:tcMar>
          </w:tcPr>
          <w:p>
            <w:pPr>
              <w:jc w:val="center"/>
            </w:pPr>
            <w:r>
              <w:rPr>
                <w:rFonts w:ascii="SimHei" w:eastAsia="SimHei"/>
                <w:b/>
                <w:bCs/>
                <w:color w:val="FFFFFF"/>
                <w:sz w:val="21"/>
                <w:szCs w:val="21"/>
              </w:rPr>
              <w:t xml:space="preserve">Year 3</w:t>
            </w:r>
          </w:p>
        </w:tc>
        <w:tc>
          <w:tcPr>
            <w:tcW w:type="pct" w:w="12%"/>
            <w:shd w:fill="1a365d" w:val="clear"/>
            <w:tcMar>
              <w:top w:type="dxa" w:w="80"/>
              <w:left w:type="dxa" w:w="120"/>
              <w:bottom w:type="dxa" w:w="80"/>
              <w:right w:type="dxa" w:w="120"/>
            </w:tcMar>
          </w:tcPr>
          <w:p>
            <w:pPr>
              <w:jc w:val="center"/>
            </w:pPr>
            <w:r>
              <w:rPr>
                <w:rFonts w:ascii="SimHei" w:eastAsia="SimHei"/>
                <w:b/>
                <w:bCs/>
                <w:color w:val="FFFFFF"/>
                <w:sz w:val="21"/>
                <w:szCs w:val="21"/>
              </w:rPr>
              <w:t xml:space="preserve">Year 4</w:t>
            </w:r>
          </w:p>
        </w:tc>
        <w:tc>
          <w:tcPr>
            <w:tcW w:type="pct" w:w="12%"/>
            <w:shd w:fill="1a365d" w:val="clear"/>
            <w:tcMar>
              <w:top w:type="dxa" w:w="80"/>
              <w:left w:type="dxa" w:w="120"/>
              <w:bottom w:type="dxa" w:w="80"/>
              <w:right w:type="dxa" w:w="120"/>
            </w:tcMar>
          </w:tcPr>
          <w:p>
            <w:pPr>
              <w:jc w:val="center"/>
            </w:pPr>
            <w:r>
              <w:rPr>
                <w:rFonts w:ascii="SimHei" w:eastAsia="SimHei"/>
                <w:b/>
                <w:bCs/>
                <w:color w:val="FFFFFF"/>
                <w:sz w:val="21"/>
                <w:szCs w:val="21"/>
              </w:rPr>
              <w:t xml:space="preserve">Year 5</w:t>
            </w:r>
          </w:p>
        </w:tc>
        <w:tc>
          <w:tcPr>
            <w:tcW w:type="pct" w:w="12%"/>
            <w:shd w:fill="1a365d" w:val="clear"/>
            <w:tcMar>
              <w:top w:type="dxa" w:w="80"/>
              <w:left w:type="dxa" w:w="120"/>
              <w:bottom w:type="dxa" w:w="80"/>
              <w:right w:type="dxa" w:w="120"/>
            </w:tcMar>
          </w:tcPr>
          <w:p>
            <w:pPr>
              <w:jc w:val="center"/>
            </w:pPr>
            <w:r>
              <w:rPr>
                <w:rFonts w:ascii="SimHei" w:eastAsia="SimHei"/>
                <w:b/>
                <w:bCs/>
                <w:color w:val="FFFFFF"/>
                <w:sz w:val="21"/>
                <w:szCs w:val="21"/>
              </w:rPr>
              <w:t xml:space="preserve">5-Year Total</w:t>
            </w:r>
          </w:p>
        </w:tc>
      </w:tr>
      <w:tr>
        <w:trPr>
          <w:cantSplit/>
        </w:trPr>
        <w:tc>
          <w:tcPr>
            <w:tcW w:type="pct" w:w="28%"/>
            <w:tcMar>
              <w:top w:type="dxa" w:w="60"/>
              <w:left w:type="dxa" w:w="100"/>
              <w:bottom w:type="dxa" w:w="60"/>
              <w:right w:type="dxa" w:w="100"/>
            </w:tcMar>
          </w:tcPr>
          <w:p>
            <w:r>
              <w:rPr>
                <w:rFonts w:ascii="SimSun" w:eastAsia="SimSun"/>
                <w:color w:val="2d3748"/>
                <w:sz w:val="21"/>
                <w:szCs w:val="21"/>
              </w:rPr>
              <w:t xml:space="preserve">Data Center Build-out</w:t>
            </w:r>
          </w:p>
        </w:tc>
        <w:tc>
          <w:tcPr>
            <w:tcW w:type="pct" w:w="12%"/>
            <w:tcMar>
              <w:top w:type="dxa" w:w="60"/>
              <w:left w:type="dxa" w:w="100"/>
              <w:bottom w:type="dxa" w:w="60"/>
              <w:right w:type="dxa" w:w="100"/>
            </w:tcMar>
          </w:tcPr>
          <w:p>
            <w:r>
              <w:rPr>
                <w:rFonts w:ascii="SimSun" w:eastAsia="SimSun"/>
                <w:color w:val="2d3748"/>
                <w:sz w:val="21"/>
                <w:szCs w:val="21"/>
              </w:rPr>
              <w:t xml:space="preserve">$2-3M</w:t>
            </w:r>
          </w:p>
        </w:tc>
        <w:tc>
          <w:tcPr>
            <w:tcW w:type="pct" w:w="12%"/>
            <w:tcMar>
              <w:top w:type="dxa" w:w="60"/>
              <w:left w:type="dxa" w:w="100"/>
              <w:bottom w:type="dxa" w:w="60"/>
              <w:right w:type="dxa" w:w="100"/>
            </w:tcMar>
          </w:tcPr>
          <w:p>
            <w:r>
              <w:rPr>
                <w:rFonts w:ascii="SimSun" w:eastAsia="SimSun"/>
                <w:color w:val="2d3748"/>
                <w:sz w:val="21"/>
                <w:szCs w:val="21"/>
              </w:rPr>
              <w:t xml:space="preserve">$0.5M</w:t>
            </w:r>
          </w:p>
        </w:tc>
        <w:tc>
          <w:tcPr>
            <w:tcW w:type="pct" w:w="12%"/>
            <w:tcMar>
              <w:top w:type="dxa" w:w="60"/>
              <w:left w:type="dxa" w:w="100"/>
              <w:bottom w:type="dxa" w:w="60"/>
              <w:right w:type="dxa" w:w="100"/>
            </w:tcMar>
          </w:tcPr>
          <w:p>
            <w:r>
              <w:rPr>
                <w:rFonts w:ascii="SimSun" w:eastAsia="SimSun"/>
                <w:color w:val="2d3748"/>
                <w:sz w:val="21"/>
                <w:szCs w:val="21"/>
              </w:rPr>
              <w:t xml:space="preserve">$0.3M</w:t>
            </w:r>
          </w:p>
        </w:tc>
        <w:tc>
          <w:tcPr>
            <w:tcW w:type="pct" w:w="12%"/>
            <w:tcMar>
              <w:top w:type="dxa" w:w="60"/>
              <w:left w:type="dxa" w:w="100"/>
              <w:bottom w:type="dxa" w:w="60"/>
              <w:right w:type="dxa" w:w="100"/>
            </w:tcMar>
          </w:tcPr>
          <w:p>
            <w:r>
              <w:rPr>
                <w:rFonts w:ascii="SimSun" w:eastAsia="SimSun"/>
                <w:color w:val="2d3748"/>
                <w:sz w:val="21"/>
                <w:szCs w:val="21"/>
              </w:rPr>
              <w:t xml:space="preserve">$0.3M</w:t>
            </w:r>
          </w:p>
        </w:tc>
        <w:tc>
          <w:tcPr>
            <w:tcW w:type="pct" w:w="12%"/>
            <w:tcMar>
              <w:top w:type="dxa" w:w="60"/>
              <w:left w:type="dxa" w:w="100"/>
              <w:bottom w:type="dxa" w:w="60"/>
              <w:right w:type="dxa" w:w="100"/>
            </w:tcMar>
          </w:tcPr>
          <w:p>
            <w:r>
              <w:rPr>
                <w:rFonts w:ascii="SimSun" w:eastAsia="SimSun"/>
                <w:color w:val="2d3748"/>
                <w:sz w:val="21"/>
                <w:szCs w:val="21"/>
              </w:rPr>
              <w:t xml:space="preserve">$0.3M</w:t>
            </w:r>
          </w:p>
        </w:tc>
        <w:tc>
          <w:tcPr>
            <w:tcW w:type="pct" w:w="12%"/>
            <w:tcMar>
              <w:top w:type="dxa" w:w="60"/>
              <w:left w:type="dxa" w:w="100"/>
              <w:bottom w:type="dxa" w:w="60"/>
              <w:right w:type="dxa" w:w="100"/>
            </w:tcMar>
          </w:tcPr>
          <w:p>
            <w:r>
              <w:rPr>
                <w:rFonts w:ascii="SimSun" w:eastAsia="SimSun"/>
                <w:color w:val="2d3748"/>
                <w:sz w:val="21"/>
                <w:szCs w:val="21"/>
              </w:rPr>
              <w:t xml:space="preserve">$3.4-4.4M</w:t>
            </w:r>
          </w:p>
        </w:tc>
      </w:tr>
      <w:tr>
        <w:trPr>
          <w:cantSplit/>
        </w:trPr>
        <w:tc>
          <w:tcPr>
            <w:tcW w:type="pct" w:w="28%"/>
            <w:tcMar>
              <w:top w:type="dxa" w:w="60"/>
              <w:left w:type="dxa" w:w="100"/>
              <w:bottom w:type="dxa" w:w="60"/>
              <w:right w:type="dxa" w:w="100"/>
            </w:tcMar>
          </w:tcPr>
          <w:p>
            <w:r>
              <w:rPr>
                <w:rFonts w:ascii="SimSun" w:eastAsia="SimSun"/>
                <w:color w:val="2d3748"/>
                <w:sz w:val="21"/>
                <w:szCs w:val="21"/>
              </w:rPr>
              <w:t xml:space="preserve">Computing Infrastructure</w:t>
            </w:r>
          </w:p>
        </w:tc>
        <w:tc>
          <w:tcPr>
            <w:tcW w:type="pct" w:w="12%"/>
            <w:tcMar>
              <w:top w:type="dxa" w:w="60"/>
              <w:left w:type="dxa" w:w="100"/>
              <w:bottom w:type="dxa" w:w="60"/>
              <w:right w:type="dxa" w:w="100"/>
            </w:tcMar>
          </w:tcPr>
          <w:p>
            <w:r>
              <w:rPr>
                <w:rFonts w:ascii="SimSun" w:eastAsia="SimSun"/>
                <w:color w:val="2d3748"/>
                <w:sz w:val="21"/>
                <w:szCs w:val="21"/>
              </w:rPr>
              <w:t xml:space="preserve">$1.5-2M</w:t>
            </w:r>
          </w:p>
        </w:tc>
        <w:tc>
          <w:tcPr>
            <w:tcW w:type="pct" w:w="12%"/>
            <w:tcMar>
              <w:top w:type="dxa" w:w="60"/>
              <w:left w:type="dxa" w:w="100"/>
              <w:bottom w:type="dxa" w:w="60"/>
              <w:right w:type="dxa" w:w="100"/>
            </w:tcMar>
          </w:tcPr>
          <w:p>
            <w:r>
              <w:rPr>
                <w:rFonts w:ascii="SimSun" w:eastAsia="SimSun"/>
                <w:color w:val="2d3748"/>
                <w:sz w:val="21"/>
                <w:szCs w:val="21"/>
              </w:rPr>
              <w:t xml:space="preserve">$0.8M</w:t>
            </w:r>
          </w:p>
        </w:tc>
        <w:tc>
          <w:tcPr>
            <w:tcW w:type="pct" w:w="12%"/>
            <w:tcMar>
              <w:top w:type="dxa" w:w="60"/>
              <w:left w:type="dxa" w:w="100"/>
              <w:bottom w:type="dxa" w:w="60"/>
              <w:right w:type="dxa" w:w="100"/>
            </w:tcMar>
          </w:tcPr>
          <w:p>
            <w:r>
              <w:rPr>
                <w:rFonts w:ascii="SimSun" w:eastAsia="SimSun"/>
                <w:color w:val="2d3748"/>
                <w:sz w:val="21"/>
                <w:szCs w:val="21"/>
              </w:rPr>
              <w:t xml:space="preserve">$0.5M</w:t>
            </w:r>
          </w:p>
        </w:tc>
        <w:tc>
          <w:tcPr>
            <w:tcW w:type="pct" w:w="12%"/>
            <w:tcMar>
              <w:top w:type="dxa" w:w="60"/>
              <w:left w:type="dxa" w:w="100"/>
              <w:bottom w:type="dxa" w:w="60"/>
              <w:right w:type="dxa" w:w="100"/>
            </w:tcMar>
          </w:tcPr>
          <w:p>
            <w:r>
              <w:rPr>
                <w:rFonts w:ascii="SimSun" w:eastAsia="SimSun"/>
                <w:color w:val="2d3748"/>
                <w:sz w:val="21"/>
                <w:szCs w:val="21"/>
              </w:rPr>
              <w:t xml:space="preserve">$0.5M</w:t>
            </w:r>
          </w:p>
        </w:tc>
        <w:tc>
          <w:tcPr>
            <w:tcW w:type="pct" w:w="12%"/>
            <w:tcMar>
              <w:top w:type="dxa" w:w="60"/>
              <w:left w:type="dxa" w:w="100"/>
              <w:bottom w:type="dxa" w:w="60"/>
              <w:right w:type="dxa" w:w="100"/>
            </w:tcMar>
          </w:tcPr>
          <w:p>
            <w:r>
              <w:rPr>
                <w:rFonts w:ascii="SimSun" w:eastAsia="SimSun"/>
                <w:color w:val="2d3748"/>
                <w:sz w:val="21"/>
                <w:szCs w:val="21"/>
              </w:rPr>
              <w:t xml:space="preserve">$0.5M</w:t>
            </w:r>
          </w:p>
        </w:tc>
        <w:tc>
          <w:tcPr>
            <w:tcW w:type="pct" w:w="12%"/>
            <w:tcMar>
              <w:top w:type="dxa" w:w="60"/>
              <w:left w:type="dxa" w:w="100"/>
              <w:bottom w:type="dxa" w:w="60"/>
              <w:right w:type="dxa" w:w="100"/>
            </w:tcMar>
          </w:tcPr>
          <w:p>
            <w:r>
              <w:rPr>
                <w:rFonts w:ascii="SimSun" w:eastAsia="SimSun"/>
                <w:color w:val="2d3748"/>
                <w:sz w:val="21"/>
                <w:szCs w:val="21"/>
              </w:rPr>
              <w:t xml:space="preserve">$3.8-4.8M</w:t>
            </w:r>
          </w:p>
        </w:tc>
      </w:tr>
      <w:tr>
        <w:trPr>
          <w:cantSplit/>
        </w:trPr>
        <w:tc>
          <w:tcPr>
            <w:tcW w:type="pct" w:w="28%"/>
            <w:tcMar>
              <w:top w:type="dxa" w:w="60"/>
              <w:left w:type="dxa" w:w="100"/>
              <w:bottom w:type="dxa" w:w="60"/>
              <w:right w:type="dxa" w:w="100"/>
            </w:tcMar>
          </w:tcPr>
          <w:p>
            <w:r>
              <w:rPr>
                <w:rFonts w:ascii="SimSun" w:eastAsia="SimSun"/>
                <w:color w:val="2d3748"/>
                <w:sz w:val="21"/>
                <w:szCs w:val="21"/>
              </w:rPr>
              <w:t xml:space="preserve">Storage Infrastructure</w:t>
            </w:r>
          </w:p>
        </w:tc>
        <w:tc>
          <w:tcPr>
            <w:tcW w:type="pct" w:w="12%"/>
            <w:tcMar>
              <w:top w:type="dxa" w:w="60"/>
              <w:left w:type="dxa" w:w="100"/>
              <w:bottom w:type="dxa" w:w="60"/>
              <w:right w:type="dxa" w:w="100"/>
            </w:tcMar>
          </w:tcPr>
          <w:p>
            <w:r>
              <w:rPr>
                <w:rFonts w:ascii="SimSun" w:eastAsia="SimSun"/>
                <w:color w:val="2d3748"/>
                <w:sz w:val="21"/>
                <w:szCs w:val="21"/>
              </w:rPr>
              <w:t xml:space="preserve">$1-1.5M</w:t>
            </w:r>
          </w:p>
        </w:tc>
        <w:tc>
          <w:tcPr>
            <w:tcW w:type="pct" w:w="12%"/>
            <w:tcMar>
              <w:top w:type="dxa" w:w="60"/>
              <w:left w:type="dxa" w:w="100"/>
              <w:bottom w:type="dxa" w:w="60"/>
              <w:right w:type="dxa" w:w="100"/>
            </w:tcMar>
          </w:tcPr>
          <w:p>
            <w:r>
              <w:rPr>
                <w:rFonts w:ascii="SimSun" w:eastAsia="SimSun"/>
                <w:color w:val="2d3748"/>
                <w:sz w:val="21"/>
                <w:szCs w:val="21"/>
              </w:rPr>
              <w:t xml:space="preserve">$0.5M</w:t>
            </w:r>
          </w:p>
        </w:tc>
        <w:tc>
          <w:tcPr>
            <w:tcW w:type="pct" w:w="12%"/>
            <w:tcMar>
              <w:top w:type="dxa" w:w="60"/>
              <w:left w:type="dxa" w:w="100"/>
              <w:bottom w:type="dxa" w:w="60"/>
              <w:right w:type="dxa" w:w="100"/>
            </w:tcMar>
          </w:tcPr>
          <w:p>
            <w:r>
              <w:rPr>
                <w:rFonts w:ascii="SimSun" w:eastAsia="SimSun"/>
                <w:color w:val="2d3748"/>
                <w:sz w:val="21"/>
                <w:szCs w:val="21"/>
              </w:rPr>
              <w:t xml:space="preserve">$0.5M</w:t>
            </w:r>
          </w:p>
        </w:tc>
        <w:tc>
          <w:tcPr>
            <w:tcW w:type="pct" w:w="12%"/>
            <w:tcMar>
              <w:top w:type="dxa" w:w="60"/>
              <w:left w:type="dxa" w:w="100"/>
              <w:bottom w:type="dxa" w:w="60"/>
              <w:right w:type="dxa" w:w="100"/>
            </w:tcMar>
          </w:tcPr>
          <w:p>
            <w:r>
              <w:rPr>
                <w:rFonts w:ascii="SimSun" w:eastAsia="SimSun"/>
                <w:color w:val="2d3748"/>
                <w:sz w:val="21"/>
                <w:szCs w:val="21"/>
              </w:rPr>
              <w:t xml:space="preserve">$0.5M</w:t>
            </w:r>
          </w:p>
        </w:tc>
        <w:tc>
          <w:tcPr>
            <w:tcW w:type="pct" w:w="12%"/>
            <w:tcMar>
              <w:top w:type="dxa" w:w="60"/>
              <w:left w:type="dxa" w:w="100"/>
              <w:bottom w:type="dxa" w:w="60"/>
              <w:right w:type="dxa" w:w="100"/>
            </w:tcMar>
          </w:tcPr>
          <w:p>
            <w:r>
              <w:rPr>
                <w:rFonts w:ascii="SimSun" w:eastAsia="SimSun"/>
                <w:color w:val="2d3748"/>
                <w:sz w:val="21"/>
                <w:szCs w:val="21"/>
              </w:rPr>
              <w:t xml:space="preserve">$0.5M</w:t>
            </w:r>
          </w:p>
        </w:tc>
        <w:tc>
          <w:tcPr>
            <w:tcW w:type="pct" w:w="12%"/>
            <w:tcMar>
              <w:top w:type="dxa" w:w="60"/>
              <w:left w:type="dxa" w:w="100"/>
              <w:bottom w:type="dxa" w:w="60"/>
              <w:right w:type="dxa" w:w="100"/>
            </w:tcMar>
          </w:tcPr>
          <w:p>
            <w:r>
              <w:rPr>
                <w:rFonts w:ascii="SimSun" w:eastAsia="SimSun"/>
                <w:color w:val="2d3748"/>
                <w:sz w:val="21"/>
                <w:szCs w:val="21"/>
              </w:rPr>
              <w:t xml:space="preserve">$3-4M</w:t>
            </w:r>
          </w:p>
        </w:tc>
      </w:tr>
      <w:tr>
        <w:trPr>
          <w:cantSplit/>
        </w:trPr>
        <w:tc>
          <w:tcPr>
            <w:tcW w:type="pct" w:w="28%"/>
            <w:tcMar>
              <w:top w:type="dxa" w:w="60"/>
              <w:left w:type="dxa" w:w="100"/>
              <w:bottom w:type="dxa" w:w="60"/>
              <w:right w:type="dxa" w:w="100"/>
            </w:tcMar>
          </w:tcPr>
          <w:p>
            <w:r>
              <w:rPr>
                <w:rFonts w:ascii="SimSun" w:eastAsia="SimSun"/>
                <w:color w:val="2d3748"/>
                <w:sz w:val="21"/>
                <w:szCs w:val="21"/>
              </w:rPr>
              <w:t xml:space="preserve">Network Infrastructure</w:t>
            </w:r>
          </w:p>
        </w:tc>
        <w:tc>
          <w:tcPr>
            <w:tcW w:type="pct" w:w="12%"/>
            <w:tcMar>
              <w:top w:type="dxa" w:w="60"/>
              <w:left w:type="dxa" w:w="100"/>
              <w:bottom w:type="dxa" w:w="60"/>
              <w:right w:type="dxa" w:w="100"/>
            </w:tcMar>
          </w:tcPr>
          <w:p>
            <w:r>
              <w:rPr>
                <w:rFonts w:ascii="SimSun" w:eastAsia="SimSun"/>
                <w:color w:val="2d3748"/>
                <w:sz w:val="21"/>
                <w:szCs w:val="21"/>
              </w:rPr>
              <w:t xml:space="preserve">$0.8-1.2M</w:t>
            </w:r>
          </w:p>
        </w:tc>
        <w:tc>
          <w:tcPr>
            <w:tcW w:type="pct" w:w="12%"/>
            <w:tcMar>
              <w:top w:type="dxa" w:w="60"/>
              <w:left w:type="dxa" w:w="100"/>
              <w:bottom w:type="dxa" w:w="60"/>
              <w:right w:type="dxa" w:w="100"/>
            </w:tcMar>
          </w:tcPr>
          <w:p>
            <w:r>
              <w:rPr>
                <w:rFonts w:ascii="SimSun" w:eastAsia="SimSun"/>
                <w:color w:val="2d3748"/>
                <w:sz w:val="21"/>
                <w:szCs w:val="21"/>
              </w:rPr>
              <w:t xml:space="preserve">$0.3M</w:t>
            </w:r>
          </w:p>
        </w:tc>
        <w:tc>
          <w:tcPr>
            <w:tcW w:type="pct" w:w="12%"/>
            <w:tcMar>
              <w:top w:type="dxa" w:w="60"/>
              <w:left w:type="dxa" w:w="100"/>
              <w:bottom w:type="dxa" w:w="60"/>
              <w:right w:type="dxa" w:w="100"/>
            </w:tcMar>
          </w:tcPr>
          <w:p>
            <w:r>
              <w:rPr>
                <w:rFonts w:ascii="SimSun" w:eastAsia="SimSun"/>
                <w:color w:val="2d3748"/>
                <w:sz w:val="21"/>
                <w:szCs w:val="21"/>
              </w:rPr>
              <w:t xml:space="preserve">$0.2M</w:t>
            </w:r>
          </w:p>
        </w:tc>
        <w:tc>
          <w:tcPr>
            <w:tcW w:type="pct" w:w="12%"/>
            <w:tcMar>
              <w:top w:type="dxa" w:w="60"/>
              <w:left w:type="dxa" w:w="100"/>
              <w:bottom w:type="dxa" w:w="60"/>
              <w:right w:type="dxa" w:w="100"/>
            </w:tcMar>
          </w:tcPr>
          <w:p>
            <w:r>
              <w:rPr>
                <w:rFonts w:ascii="SimSun" w:eastAsia="SimSun"/>
                <w:color w:val="2d3748"/>
                <w:sz w:val="21"/>
                <w:szCs w:val="21"/>
              </w:rPr>
              <w:t xml:space="preserve">$0.2M</w:t>
            </w:r>
          </w:p>
        </w:tc>
        <w:tc>
          <w:tcPr>
            <w:tcW w:type="pct" w:w="12%"/>
            <w:tcMar>
              <w:top w:type="dxa" w:w="60"/>
              <w:left w:type="dxa" w:w="100"/>
              <w:bottom w:type="dxa" w:w="60"/>
              <w:right w:type="dxa" w:w="100"/>
            </w:tcMar>
          </w:tcPr>
          <w:p>
            <w:r>
              <w:rPr>
                <w:rFonts w:ascii="SimSun" w:eastAsia="SimSun"/>
                <w:color w:val="2d3748"/>
                <w:sz w:val="21"/>
                <w:szCs w:val="21"/>
              </w:rPr>
              <w:t xml:space="preserve">$0.2M</w:t>
            </w:r>
          </w:p>
        </w:tc>
        <w:tc>
          <w:tcPr>
            <w:tcW w:type="pct" w:w="12%"/>
            <w:tcMar>
              <w:top w:type="dxa" w:w="60"/>
              <w:left w:type="dxa" w:w="100"/>
              <w:bottom w:type="dxa" w:w="60"/>
              <w:right w:type="dxa" w:w="100"/>
            </w:tcMar>
          </w:tcPr>
          <w:p>
            <w:r>
              <w:rPr>
                <w:rFonts w:ascii="SimSun" w:eastAsia="SimSun"/>
                <w:color w:val="2d3748"/>
                <w:sz w:val="21"/>
                <w:szCs w:val="21"/>
              </w:rPr>
              <w:t xml:space="preserve">$1.7-2.2M</w:t>
            </w:r>
          </w:p>
        </w:tc>
      </w:tr>
      <w:tr>
        <w:trPr>
          <w:cantSplit/>
        </w:trPr>
        <w:tc>
          <w:tcPr>
            <w:tcW w:type="pct" w:w="28%"/>
            <w:tcMar>
              <w:top w:type="dxa" w:w="60"/>
              <w:left w:type="dxa" w:w="100"/>
              <w:bottom w:type="dxa" w:w="60"/>
              <w:right w:type="dxa" w:w="100"/>
            </w:tcMar>
          </w:tcPr>
          <w:p>
            <w:r>
              <w:rPr>
                <w:rFonts w:ascii="SimSun" w:eastAsia="SimSun"/>
                <w:color w:val="2d3748"/>
                <w:sz w:val="21"/>
                <w:szCs w:val="21"/>
              </w:rPr>
              <w:t xml:space="preserve">SOC Workspace &amp; Equipment</w:t>
            </w:r>
          </w:p>
        </w:tc>
        <w:tc>
          <w:tcPr>
            <w:tcW w:type="pct" w:w="12%"/>
            <w:tcMar>
              <w:top w:type="dxa" w:w="60"/>
              <w:left w:type="dxa" w:w="100"/>
              <w:bottom w:type="dxa" w:w="60"/>
              <w:right w:type="dxa" w:w="100"/>
            </w:tcMar>
          </w:tcPr>
          <w:p>
            <w:r>
              <w:rPr>
                <w:rFonts w:ascii="SimSun" w:eastAsia="SimSun"/>
                <w:color w:val="2d3748"/>
                <w:sz w:val="21"/>
                <w:szCs w:val="21"/>
              </w:rPr>
              <w:t xml:space="preserve">$1-1.5M</w:t>
            </w:r>
          </w:p>
        </w:tc>
        <w:tc>
          <w:tcPr>
            <w:tcW w:type="pct" w:w="12%"/>
            <w:tcMar>
              <w:top w:type="dxa" w:w="60"/>
              <w:left w:type="dxa" w:w="100"/>
              <w:bottom w:type="dxa" w:w="60"/>
              <w:right w:type="dxa" w:w="100"/>
            </w:tcMar>
          </w:tcPr>
          <w:p>
            <w:r>
              <w:rPr>
                <w:rFonts w:ascii="SimSun" w:eastAsia="SimSun"/>
                <w:color w:val="2d3748"/>
                <w:sz w:val="21"/>
                <w:szCs w:val="21"/>
              </w:rPr>
              <w:t xml:space="preserve">$0.2M</w:t>
            </w:r>
          </w:p>
        </w:tc>
        <w:tc>
          <w:tcPr>
            <w:tcW w:type="pct" w:w="12%"/>
            <w:tcMar>
              <w:top w:type="dxa" w:w="60"/>
              <w:left w:type="dxa" w:w="100"/>
              <w:bottom w:type="dxa" w:w="60"/>
              <w:right w:type="dxa" w:w="100"/>
            </w:tcMar>
          </w:tcPr>
          <w:p>
            <w:r>
              <w:rPr>
                <w:rFonts w:ascii="SimSun" w:eastAsia="SimSun"/>
                <w:color w:val="2d3748"/>
                <w:sz w:val="21"/>
                <w:szCs w:val="21"/>
              </w:rPr>
              <w:t xml:space="preserve">$0.1M</w:t>
            </w:r>
          </w:p>
        </w:tc>
        <w:tc>
          <w:tcPr>
            <w:tcW w:type="pct" w:w="12%"/>
            <w:tcMar>
              <w:top w:type="dxa" w:w="60"/>
              <w:left w:type="dxa" w:w="100"/>
              <w:bottom w:type="dxa" w:w="60"/>
              <w:right w:type="dxa" w:w="100"/>
            </w:tcMar>
          </w:tcPr>
          <w:p>
            <w:r>
              <w:rPr>
                <w:rFonts w:ascii="SimSun" w:eastAsia="SimSun"/>
                <w:color w:val="2d3748"/>
                <w:sz w:val="21"/>
                <w:szCs w:val="21"/>
              </w:rPr>
              <w:t xml:space="preserve">$0.1M</w:t>
            </w:r>
          </w:p>
        </w:tc>
        <w:tc>
          <w:tcPr>
            <w:tcW w:type="pct" w:w="12%"/>
            <w:tcMar>
              <w:top w:type="dxa" w:w="60"/>
              <w:left w:type="dxa" w:w="100"/>
              <w:bottom w:type="dxa" w:w="60"/>
              <w:right w:type="dxa" w:w="100"/>
            </w:tcMar>
          </w:tcPr>
          <w:p>
            <w:r>
              <w:rPr>
                <w:rFonts w:ascii="SimSun" w:eastAsia="SimSun"/>
                <w:color w:val="2d3748"/>
                <w:sz w:val="21"/>
                <w:szCs w:val="21"/>
              </w:rPr>
              <w:t xml:space="preserve">$0.1M</w:t>
            </w:r>
          </w:p>
        </w:tc>
        <w:tc>
          <w:tcPr>
            <w:tcW w:type="pct" w:w="12%"/>
            <w:tcMar>
              <w:top w:type="dxa" w:w="60"/>
              <w:left w:type="dxa" w:w="100"/>
              <w:bottom w:type="dxa" w:w="60"/>
              <w:right w:type="dxa" w:w="100"/>
            </w:tcMar>
          </w:tcPr>
          <w:p>
            <w:r>
              <w:rPr>
                <w:rFonts w:ascii="SimSun" w:eastAsia="SimSun"/>
                <w:color w:val="2d3748"/>
                <w:sz w:val="21"/>
                <w:szCs w:val="21"/>
              </w:rPr>
              <w:t xml:space="preserve">$1.5-2M</w:t>
            </w:r>
          </w:p>
        </w:tc>
      </w:tr>
      <w:tr>
        <w:trPr>
          <w:cantSplit/>
        </w:trPr>
        <w:tc>
          <w:tcPr>
            <w:tcW w:type="pct" w:w="28%"/>
            <w:tcMar>
              <w:top w:type="dxa" w:w="60"/>
              <w:left w:type="dxa" w:w="100"/>
              <w:bottom w:type="dxa" w:w="60"/>
              <w:right w:type="dxa" w:w="100"/>
            </w:tcMar>
          </w:tcPr>
          <w:p>
            <w:r>
              <w:rPr>
                <w:rFonts w:ascii="SimSun" w:eastAsia="SimSun"/>
                <w:color w:val="2d3748"/>
                <w:sz w:val="21"/>
                <w:szCs w:val="21"/>
              </w:rPr>
              <w:t xml:space="preserve">Software Licenses (Initial)</w:t>
            </w:r>
          </w:p>
        </w:tc>
        <w:tc>
          <w:tcPr>
            <w:tcW w:type="pct" w:w="12%"/>
            <w:tcMar>
              <w:top w:type="dxa" w:w="60"/>
              <w:left w:type="dxa" w:w="100"/>
              <w:bottom w:type="dxa" w:w="60"/>
              <w:right w:type="dxa" w:w="100"/>
            </w:tcMar>
          </w:tcPr>
          <w:p>
            <w:r>
              <w:rPr>
                <w:rFonts w:ascii="SimSun" w:eastAsia="SimSun"/>
                <w:color w:val="2d3748"/>
                <w:sz w:val="21"/>
                <w:szCs w:val="21"/>
              </w:rPr>
              <w:t xml:space="preserve">$2-3M</w:t>
            </w:r>
          </w:p>
        </w:tc>
        <w:tc>
          <w:tcPr>
            <w:tcW w:type="pct" w:w="12%"/>
            <w:tcMar>
              <w:top w:type="dxa" w:w="60"/>
              <w:left w:type="dxa" w:w="100"/>
              <w:bottom w:type="dxa" w:w="60"/>
              <w:right w:type="dxa" w:w="100"/>
            </w:tcMar>
          </w:tcPr>
          <w:p>
            <w:r>
              <w:rPr>
                <w:rFonts w:ascii="SimSun" w:eastAsia="SimSun"/>
                <w:color w:val="2d3748"/>
                <w:sz w:val="21"/>
                <w:szCs w:val="21"/>
              </w:rPr>
              <w:t xml:space="preserve">$0.5M</w:t>
            </w:r>
          </w:p>
        </w:tc>
        <w:tc>
          <w:tcPr>
            <w:tcW w:type="pct" w:w="12%"/>
            <w:tcMar>
              <w:top w:type="dxa" w:w="60"/>
              <w:left w:type="dxa" w:w="100"/>
              <w:bottom w:type="dxa" w:w="60"/>
              <w:right w:type="dxa" w:w="100"/>
            </w:tcMar>
          </w:tcPr>
          <w:p>
            <w:r>
              <w:rPr>
                <w:rFonts w:ascii="SimSun" w:eastAsia="SimSun"/>
                <w:color w:val="2d3748"/>
                <w:sz w:val="21"/>
                <w:szCs w:val="21"/>
              </w:rPr>
              <w:t xml:space="preserve">$0.3M</w:t>
            </w:r>
          </w:p>
        </w:tc>
        <w:tc>
          <w:tcPr>
            <w:tcW w:type="pct" w:w="12%"/>
            <w:tcMar>
              <w:top w:type="dxa" w:w="60"/>
              <w:left w:type="dxa" w:w="100"/>
              <w:bottom w:type="dxa" w:w="60"/>
              <w:right w:type="dxa" w:w="100"/>
            </w:tcMar>
          </w:tcPr>
          <w:p>
            <w:r>
              <w:rPr>
                <w:rFonts w:ascii="SimSun" w:eastAsia="SimSun"/>
                <w:color w:val="2d3748"/>
                <w:sz w:val="21"/>
                <w:szCs w:val="21"/>
              </w:rPr>
              <w:t xml:space="preserve">$0.3M</w:t>
            </w:r>
          </w:p>
        </w:tc>
        <w:tc>
          <w:tcPr>
            <w:tcW w:type="pct" w:w="12%"/>
            <w:tcMar>
              <w:top w:type="dxa" w:w="60"/>
              <w:left w:type="dxa" w:w="100"/>
              <w:bottom w:type="dxa" w:w="60"/>
              <w:right w:type="dxa" w:w="100"/>
            </w:tcMar>
          </w:tcPr>
          <w:p>
            <w:r>
              <w:rPr>
                <w:rFonts w:ascii="SimSun" w:eastAsia="SimSun"/>
                <w:color w:val="2d3748"/>
                <w:sz w:val="21"/>
                <w:szCs w:val="21"/>
              </w:rPr>
              <w:t xml:space="preserve">$0.3M</w:t>
            </w:r>
          </w:p>
        </w:tc>
        <w:tc>
          <w:tcPr>
            <w:tcW w:type="pct" w:w="12%"/>
            <w:tcMar>
              <w:top w:type="dxa" w:w="60"/>
              <w:left w:type="dxa" w:w="100"/>
              <w:bottom w:type="dxa" w:w="60"/>
              <w:right w:type="dxa" w:w="100"/>
            </w:tcMar>
          </w:tcPr>
          <w:p>
            <w:r>
              <w:rPr>
                <w:rFonts w:ascii="SimSun" w:eastAsia="SimSun"/>
                <w:color w:val="2d3748"/>
                <w:sz w:val="21"/>
                <w:szCs w:val="21"/>
              </w:rPr>
              <w:t xml:space="preserve">$3.4-4.4M</w:t>
            </w:r>
          </w:p>
        </w:tc>
      </w:tr>
      <w:tr>
        <w:trPr>
          <w:cantSplit/>
        </w:trPr>
        <w:tc>
          <w:tcPr>
            <w:tcW w:type="pct" w:w="28%"/>
            <w:tcMar>
              <w:top w:type="dxa" w:w="60"/>
              <w:left w:type="dxa" w:w="100"/>
              <w:bottom w:type="dxa" w:w="60"/>
              <w:right w:type="dxa" w:w="100"/>
            </w:tcMar>
          </w:tcPr>
          <w:p>
            <w:r>
              <w:rPr>
                <w:rFonts w:ascii="SimSun" w:eastAsia="SimSun"/>
                <w:color w:val="2d3748"/>
                <w:sz w:val="21"/>
                <w:szCs w:val="21"/>
              </w:rPr>
              <w:t xml:space="preserve">Implementation Services</w:t>
            </w:r>
          </w:p>
        </w:tc>
        <w:tc>
          <w:tcPr>
            <w:tcW w:type="pct" w:w="12%"/>
            <w:tcMar>
              <w:top w:type="dxa" w:w="60"/>
              <w:left w:type="dxa" w:w="100"/>
              <w:bottom w:type="dxa" w:w="60"/>
              <w:right w:type="dxa" w:w="100"/>
            </w:tcMar>
          </w:tcPr>
          <w:p>
            <w:r>
              <w:rPr>
                <w:rFonts w:ascii="SimSun" w:eastAsia="SimSun"/>
                <w:color w:val="2d3748"/>
                <w:sz w:val="21"/>
                <w:szCs w:val="21"/>
              </w:rPr>
              <w:t xml:space="preserve">$1.5-2M</w:t>
            </w:r>
          </w:p>
        </w:tc>
        <w:tc>
          <w:tcPr>
            <w:tcW w:type="pct" w:w="12%"/>
            <w:tcMar>
              <w:top w:type="dxa" w:w="60"/>
              <w:left w:type="dxa" w:w="100"/>
              <w:bottom w:type="dxa" w:w="60"/>
              <w:right w:type="dxa" w:w="100"/>
            </w:tcMar>
          </w:tcPr>
          <w:p>
            <w:r>
              <w:rPr>
                <w:rFonts w:ascii="SimSun" w:eastAsia="SimSun"/>
                <w:color w:val="2d3748"/>
                <w:sz w:val="21"/>
                <w:szCs w:val="21"/>
              </w:rPr>
              <w:t xml:space="preserve">$0.5M</w:t>
            </w:r>
          </w:p>
        </w:tc>
        <w:tc>
          <w:tcPr>
            <w:tcW w:type="pct" w:w="12%"/>
            <w:tcMar>
              <w:top w:type="dxa" w:w="60"/>
              <w:left w:type="dxa" w:w="100"/>
              <w:bottom w:type="dxa" w:w="60"/>
              <w:right w:type="dxa" w:w="100"/>
            </w:tcMar>
          </w:tcPr>
          <w:p>
            <w:r>
              <w:rPr>
                <w:rFonts w:ascii="SimSun" w:eastAsia="SimSun"/>
                <w:color w:val="2d3748"/>
                <w:sz w:val="21"/>
                <w:szCs w:val="21"/>
              </w:rPr>
              <w:t xml:space="preserve">$0.2M</w:t>
            </w:r>
          </w:p>
        </w:tc>
        <w:tc>
          <w:tcPr>
            <w:tcW w:type="pct" w:w="12%"/>
            <w:tcMar>
              <w:top w:type="dxa" w:w="60"/>
              <w:left w:type="dxa" w:w="100"/>
              <w:bottom w:type="dxa" w:w="60"/>
              <w:right w:type="dxa" w:w="100"/>
            </w:tcMar>
          </w:tcPr>
          <w:p>
            <w:r>
              <w:rPr>
                <w:rFonts w:ascii="SimSun" w:eastAsia="SimSun"/>
                <w:color w:val="2d3748"/>
                <w:sz w:val="21"/>
                <w:szCs w:val="21"/>
              </w:rPr>
              <w:t xml:space="preserve">$0.2M</w:t>
            </w:r>
          </w:p>
        </w:tc>
        <w:tc>
          <w:tcPr>
            <w:tcW w:type="pct" w:w="12%"/>
            <w:tcMar>
              <w:top w:type="dxa" w:w="60"/>
              <w:left w:type="dxa" w:w="100"/>
              <w:bottom w:type="dxa" w:w="60"/>
              <w:right w:type="dxa" w:w="100"/>
            </w:tcMar>
          </w:tcPr>
          <w:p>
            <w:r>
              <w:rPr>
                <w:rFonts w:ascii="SimSun" w:eastAsia="SimSun"/>
                <w:color w:val="2d3748"/>
                <w:sz w:val="21"/>
                <w:szCs w:val="21"/>
              </w:rPr>
              <w:t xml:space="preserve">$0.2M</w:t>
            </w:r>
          </w:p>
        </w:tc>
        <w:tc>
          <w:tcPr>
            <w:tcW w:type="pct" w:w="12%"/>
            <w:tcMar>
              <w:top w:type="dxa" w:w="60"/>
              <w:left w:type="dxa" w:w="100"/>
              <w:bottom w:type="dxa" w:w="60"/>
              <w:right w:type="dxa" w:w="100"/>
            </w:tcMar>
          </w:tcPr>
          <w:p>
            <w:r>
              <w:rPr>
                <w:rFonts w:ascii="SimSun" w:eastAsia="SimSun"/>
                <w:color w:val="2d3748"/>
                <w:sz w:val="21"/>
                <w:szCs w:val="21"/>
              </w:rPr>
              <w:t xml:space="preserve">$2.6-3.1M</w:t>
            </w:r>
          </w:p>
        </w:tc>
      </w:tr>
      <w:tr>
        <w:trPr>
          <w:cantSplit/>
        </w:trPr>
        <w:tc>
          <w:tcPr>
            <w:tcW w:type="pct" w:w="28%"/>
            <w:tcMar>
              <w:top w:type="dxa" w:w="60"/>
              <w:left w:type="dxa" w:w="100"/>
              <w:bottom w:type="dxa" w:w="60"/>
              <w:right w:type="dxa" w:w="100"/>
            </w:tcMar>
          </w:tcPr>
          <w:p>
            <w:r>
              <w:rPr>
                <w:rFonts w:ascii="SimSun" w:eastAsia="SimSun"/>
                <w:color w:val="2d3748"/>
                <w:sz w:val="21"/>
                <w:szCs w:val="21"/>
              </w:rPr>
              <w:t xml:space="preserve">TOTAL CAPEX</w:t>
            </w:r>
          </w:p>
        </w:tc>
        <w:tc>
          <w:tcPr>
            <w:tcW w:type="pct" w:w="12%"/>
            <w:tcMar>
              <w:top w:type="dxa" w:w="60"/>
              <w:left w:type="dxa" w:w="100"/>
              <w:bottom w:type="dxa" w:w="60"/>
              <w:right w:type="dxa" w:w="100"/>
            </w:tcMar>
          </w:tcPr>
          <w:p>
            <w:r>
              <w:rPr>
                <w:rFonts w:ascii="SimSun" w:eastAsia="SimSun"/>
                <w:color w:val="2d3748"/>
                <w:sz w:val="21"/>
                <w:szCs w:val="21"/>
              </w:rPr>
              <w:t xml:space="preserve">$9.8-14.2M</w:t>
            </w:r>
          </w:p>
        </w:tc>
        <w:tc>
          <w:tcPr>
            <w:tcW w:type="pct" w:w="12%"/>
            <w:tcMar>
              <w:top w:type="dxa" w:w="60"/>
              <w:left w:type="dxa" w:w="100"/>
              <w:bottom w:type="dxa" w:w="60"/>
              <w:right w:type="dxa" w:w="100"/>
            </w:tcMar>
          </w:tcPr>
          <w:p>
            <w:r>
              <w:rPr>
                <w:rFonts w:ascii="SimSun" w:eastAsia="SimSun"/>
                <w:color w:val="2d3748"/>
                <w:sz w:val="21"/>
                <w:szCs w:val="21"/>
              </w:rPr>
              <w:t xml:space="preserve">$3.3-2.8M</w:t>
            </w:r>
          </w:p>
        </w:tc>
        <w:tc>
          <w:tcPr>
            <w:tcW w:type="pct" w:w="12%"/>
            <w:tcMar>
              <w:top w:type="dxa" w:w="60"/>
              <w:left w:type="dxa" w:w="100"/>
              <w:bottom w:type="dxa" w:w="60"/>
              <w:right w:type="dxa" w:w="100"/>
            </w:tcMar>
          </w:tcPr>
          <w:p>
            <w:r>
              <w:rPr>
                <w:rFonts w:ascii="SimSun" w:eastAsia="SimSun"/>
                <w:color w:val="2d3748"/>
                <w:sz w:val="21"/>
                <w:szCs w:val="21"/>
              </w:rPr>
              <w:t xml:space="preserve">$2.1-1.6M</w:t>
            </w:r>
          </w:p>
        </w:tc>
        <w:tc>
          <w:tcPr>
            <w:tcW w:type="pct" w:w="12%"/>
            <w:tcMar>
              <w:top w:type="dxa" w:w="60"/>
              <w:left w:type="dxa" w:w="100"/>
              <w:bottom w:type="dxa" w:w="60"/>
              <w:right w:type="dxa" w:w="100"/>
            </w:tcMar>
          </w:tcPr>
          <w:p>
            <w:r>
              <w:rPr>
                <w:rFonts w:ascii="SimSun" w:eastAsia="SimSun"/>
                <w:color w:val="2d3748"/>
                <w:sz w:val="21"/>
                <w:szCs w:val="21"/>
              </w:rPr>
              <w:t xml:space="preserve">$2.1-1.6M</w:t>
            </w:r>
          </w:p>
        </w:tc>
        <w:tc>
          <w:tcPr>
            <w:tcW w:type="pct" w:w="12%"/>
            <w:tcMar>
              <w:top w:type="dxa" w:w="60"/>
              <w:left w:type="dxa" w:w="100"/>
              <w:bottom w:type="dxa" w:w="60"/>
              <w:right w:type="dxa" w:w="100"/>
            </w:tcMar>
          </w:tcPr>
          <w:p>
            <w:r>
              <w:rPr>
                <w:rFonts w:ascii="SimSun" w:eastAsia="SimSun"/>
                <w:color w:val="2d3748"/>
                <w:sz w:val="21"/>
                <w:szCs w:val="21"/>
              </w:rPr>
              <w:t xml:space="preserve">$2.1-1.6M</w:t>
            </w:r>
          </w:p>
        </w:tc>
        <w:tc>
          <w:tcPr>
            <w:tcW w:type="pct" w:w="12%"/>
            <w:tcMar>
              <w:top w:type="dxa" w:w="60"/>
              <w:left w:type="dxa" w:w="100"/>
              <w:bottom w:type="dxa" w:w="60"/>
              <w:right w:type="dxa" w:w="100"/>
            </w:tcMar>
          </w:tcPr>
          <w:p>
            <w:r>
              <w:rPr>
                <w:rFonts w:ascii="SimSun" w:eastAsia="SimSun"/>
                <w:color w:val="2d3748"/>
                <w:sz w:val="21"/>
                <w:szCs w:val="21"/>
              </w:rPr>
              <w:t xml:space="preserve">$19.4-24.9M</w:t>
            </w:r>
          </w:p>
        </w:tc>
      </w:tr>
    </w:tbl>
    <w:p>
      <w:pPr>
        <w:spacing w:after="100" w:before="200"/>
      </w:pPr>
    </w:p>
    <w:p>
      <w:pPr>
        <w:pStyle w:val="Heading2"/>
        <w:spacing w:after="150" w:before="300"/>
      </w:pPr>
      <w:bookmarkStart w:id="100133" w:name="_Toc100133"/>
      <w:r>
        <w:rPr>
          <w:rFonts w:ascii="SimHei" w:eastAsia="SimHei"/>
          <w:b/>
          <w:bCs/>
          <w:color w:val="1a365d"/>
          <w:sz w:val="28"/>
          <w:szCs w:val="28"/>
        </w:rPr>
        <w:t xml:space="preserve">Operating Expenditure (OPEX)</w:t>
      </w:r>
      <w:bookmarkEnd w:id="100133"/>
    </w:p>
    <w:tbl>
      <w:tblPr>
        <w:tblW w:type="pct" w:w="100%"/>
        <w:tblBorders>
          <w:top w:val="single" w:color="CBD5E0" w:sz="1"/>
          <w:left w:val="single" w:color="CBD5E0" w:sz="1"/>
          <w:bottom w:val="single" w:color="CBD5E0" w:sz="1"/>
          <w:right w:val="single" w:color="CBD5E0" w:sz="1"/>
          <w:insideH w:val="single" w:color="E2E8F0" w:sz="1"/>
          <w:insideV w:val="single" w:color="E2E8F0" w:sz="1"/>
        </w:tblBorders>
      </w:tblPr>
      <w:tblGrid>
        <w:gridCol w:w="100"/>
        <w:gridCol w:w="100"/>
        <w:gridCol w:w="100"/>
        <w:gridCol w:w="100"/>
        <w:gridCol w:w="100"/>
        <w:gridCol w:w="100"/>
        <w:gridCol w:w="100"/>
      </w:tblGrid>
      <w:tr>
        <w:trPr>
          <w:cantSplit/>
          <w:tblHeader/>
        </w:trPr>
        <w:tc>
          <w:tcPr>
            <w:tcW w:type="pct" w:w="28%"/>
            <w:shd w:fill="1a365d" w:val="clear"/>
            <w:tcMar>
              <w:top w:type="dxa" w:w="80"/>
              <w:left w:type="dxa" w:w="120"/>
              <w:bottom w:type="dxa" w:w="80"/>
              <w:right w:type="dxa" w:w="120"/>
            </w:tcMar>
          </w:tcPr>
          <w:p>
            <w:pPr>
              <w:jc w:val="center"/>
            </w:pPr>
            <w:r>
              <w:rPr>
                <w:rFonts w:ascii="SimHei" w:eastAsia="SimHei"/>
                <w:b/>
                <w:bCs/>
                <w:color w:val="FFFFFF"/>
                <w:sz w:val="21"/>
                <w:szCs w:val="21"/>
              </w:rPr>
              <w:t xml:space="preserve">Category</w:t>
            </w:r>
          </w:p>
        </w:tc>
        <w:tc>
          <w:tcPr>
            <w:tcW w:type="pct" w:w="12%"/>
            <w:shd w:fill="1a365d" w:val="clear"/>
            <w:tcMar>
              <w:top w:type="dxa" w:w="80"/>
              <w:left w:type="dxa" w:w="120"/>
              <w:bottom w:type="dxa" w:w="80"/>
              <w:right w:type="dxa" w:w="120"/>
            </w:tcMar>
          </w:tcPr>
          <w:p>
            <w:pPr>
              <w:jc w:val="center"/>
            </w:pPr>
            <w:r>
              <w:rPr>
                <w:rFonts w:ascii="SimHei" w:eastAsia="SimHei"/>
                <w:b/>
                <w:bCs/>
                <w:color w:val="FFFFFF"/>
                <w:sz w:val="21"/>
                <w:szCs w:val="21"/>
              </w:rPr>
              <w:t xml:space="preserve">Year 1</w:t>
            </w:r>
          </w:p>
        </w:tc>
        <w:tc>
          <w:tcPr>
            <w:tcW w:type="pct" w:w="12%"/>
            <w:shd w:fill="1a365d" w:val="clear"/>
            <w:tcMar>
              <w:top w:type="dxa" w:w="80"/>
              <w:left w:type="dxa" w:w="120"/>
              <w:bottom w:type="dxa" w:w="80"/>
              <w:right w:type="dxa" w:w="120"/>
            </w:tcMar>
          </w:tcPr>
          <w:p>
            <w:pPr>
              <w:jc w:val="center"/>
            </w:pPr>
            <w:r>
              <w:rPr>
                <w:rFonts w:ascii="SimHei" w:eastAsia="SimHei"/>
                <w:b/>
                <w:bCs/>
                <w:color w:val="FFFFFF"/>
                <w:sz w:val="21"/>
                <w:szCs w:val="21"/>
              </w:rPr>
              <w:t xml:space="preserve">Year 2</w:t>
            </w:r>
          </w:p>
        </w:tc>
        <w:tc>
          <w:tcPr>
            <w:tcW w:type="pct" w:w="12%"/>
            <w:shd w:fill="1a365d" w:val="clear"/>
            <w:tcMar>
              <w:top w:type="dxa" w:w="80"/>
              <w:left w:type="dxa" w:w="120"/>
              <w:bottom w:type="dxa" w:w="80"/>
              <w:right w:type="dxa" w:w="120"/>
            </w:tcMar>
          </w:tcPr>
          <w:p>
            <w:pPr>
              <w:jc w:val="center"/>
            </w:pPr>
            <w:r>
              <w:rPr>
                <w:rFonts w:ascii="SimHei" w:eastAsia="SimHei"/>
                <w:b/>
                <w:bCs/>
                <w:color w:val="FFFFFF"/>
                <w:sz w:val="21"/>
                <w:szCs w:val="21"/>
              </w:rPr>
              <w:t xml:space="preserve">Year 3</w:t>
            </w:r>
          </w:p>
        </w:tc>
        <w:tc>
          <w:tcPr>
            <w:tcW w:type="pct" w:w="12%"/>
            <w:shd w:fill="1a365d" w:val="clear"/>
            <w:tcMar>
              <w:top w:type="dxa" w:w="80"/>
              <w:left w:type="dxa" w:w="120"/>
              <w:bottom w:type="dxa" w:w="80"/>
              <w:right w:type="dxa" w:w="120"/>
            </w:tcMar>
          </w:tcPr>
          <w:p>
            <w:pPr>
              <w:jc w:val="center"/>
            </w:pPr>
            <w:r>
              <w:rPr>
                <w:rFonts w:ascii="SimHei" w:eastAsia="SimHei"/>
                <w:b/>
                <w:bCs/>
                <w:color w:val="FFFFFF"/>
                <w:sz w:val="21"/>
                <w:szCs w:val="21"/>
              </w:rPr>
              <w:t xml:space="preserve">Year 4</w:t>
            </w:r>
          </w:p>
        </w:tc>
        <w:tc>
          <w:tcPr>
            <w:tcW w:type="pct" w:w="12%"/>
            <w:shd w:fill="1a365d" w:val="clear"/>
            <w:tcMar>
              <w:top w:type="dxa" w:w="80"/>
              <w:left w:type="dxa" w:w="120"/>
              <w:bottom w:type="dxa" w:w="80"/>
              <w:right w:type="dxa" w:w="120"/>
            </w:tcMar>
          </w:tcPr>
          <w:p>
            <w:pPr>
              <w:jc w:val="center"/>
            </w:pPr>
            <w:r>
              <w:rPr>
                <w:rFonts w:ascii="SimHei" w:eastAsia="SimHei"/>
                <w:b/>
                <w:bCs/>
                <w:color w:val="FFFFFF"/>
                <w:sz w:val="21"/>
                <w:szCs w:val="21"/>
              </w:rPr>
              <w:t xml:space="preserve">Year 5</w:t>
            </w:r>
          </w:p>
        </w:tc>
        <w:tc>
          <w:tcPr>
            <w:tcW w:type="pct" w:w="12%"/>
            <w:shd w:fill="1a365d" w:val="clear"/>
            <w:tcMar>
              <w:top w:type="dxa" w:w="80"/>
              <w:left w:type="dxa" w:w="120"/>
              <w:bottom w:type="dxa" w:w="80"/>
              <w:right w:type="dxa" w:w="120"/>
            </w:tcMar>
          </w:tcPr>
          <w:p>
            <w:pPr>
              <w:jc w:val="center"/>
            </w:pPr>
            <w:r>
              <w:rPr>
                <w:rFonts w:ascii="SimHei" w:eastAsia="SimHei"/>
                <w:b/>
                <w:bCs/>
                <w:color w:val="FFFFFF"/>
                <w:sz w:val="21"/>
                <w:szCs w:val="21"/>
              </w:rPr>
              <w:t xml:space="preserve">5-Year Total</w:t>
            </w:r>
          </w:p>
        </w:tc>
      </w:tr>
      <w:tr>
        <w:trPr>
          <w:cantSplit/>
        </w:trPr>
        <w:tc>
          <w:tcPr>
            <w:tcW w:type="pct" w:w="28%"/>
            <w:tcMar>
              <w:top w:type="dxa" w:w="60"/>
              <w:left w:type="dxa" w:w="100"/>
              <w:bottom w:type="dxa" w:w="60"/>
              <w:right w:type="dxa" w:w="100"/>
            </w:tcMar>
          </w:tcPr>
          <w:p>
            <w:r>
              <w:rPr>
                <w:rFonts w:ascii="SimSun" w:eastAsia="SimSun"/>
                <w:color w:val="2d3748"/>
                <w:sz w:val="21"/>
                <w:szCs w:val="21"/>
              </w:rPr>
              <w:t xml:space="preserve">Personnel (Benefits Included)</w:t>
            </w:r>
          </w:p>
        </w:tc>
        <w:tc>
          <w:tcPr>
            <w:tcW w:type="pct" w:w="12%"/>
            <w:tcMar>
              <w:top w:type="dxa" w:w="60"/>
              <w:left w:type="dxa" w:w="100"/>
              <w:bottom w:type="dxa" w:w="60"/>
              <w:right w:type="dxa" w:w="100"/>
            </w:tcMar>
          </w:tcPr>
          <w:p>
            <w:r>
              <w:rPr>
                <w:rFonts w:ascii="SimSun" w:eastAsia="SimSun"/>
                <w:color w:val="2d3748"/>
                <w:sz w:val="21"/>
                <w:szCs w:val="21"/>
              </w:rPr>
              <w:t xml:space="preserve">$2-3M</w:t>
            </w:r>
          </w:p>
        </w:tc>
        <w:tc>
          <w:tcPr>
            <w:tcW w:type="pct" w:w="12%"/>
            <w:tcMar>
              <w:top w:type="dxa" w:w="60"/>
              <w:left w:type="dxa" w:w="100"/>
              <w:bottom w:type="dxa" w:w="60"/>
              <w:right w:type="dxa" w:w="100"/>
            </w:tcMar>
          </w:tcPr>
          <w:p>
            <w:r>
              <w:rPr>
                <w:rFonts w:ascii="SimSun" w:eastAsia="SimSun"/>
                <w:color w:val="2d3748"/>
                <w:sz w:val="21"/>
                <w:szCs w:val="21"/>
              </w:rPr>
              <w:t xml:space="preserve">$4-5M</w:t>
            </w:r>
          </w:p>
        </w:tc>
        <w:tc>
          <w:tcPr>
            <w:tcW w:type="pct" w:w="12%"/>
            <w:tcMar>
              <w:top w:type="dxa" w:w="60"/>
              <w:left w:type="dxa" w:w="100"/>
              <w:bottom w:type="dxa" w:w="60"/>
              <w:right w:type="dxa" w:w="100"/>
            </w:tcMar>
          </w:tcPr>
          <w:p>
            <w:r>
              <w:rPr>
                <w:rFonts w:ascii="SimSun" w:eastAsia="SimSun"/>
                <w:color w:val="2d3748"/>
                <w:sz w:val="21"/>
                <w:szCs w:val="21"/>
              </w:rPr>
              <w:t xml:space="preserve">$6-7.5M</w:t>
            </w:r>
          </w:p>
        </w:tc>
        <w:tc>
          <w:tcPr>
            <w:tcW w:type="pct" w:w="12%"/>
            <w:tcMar>
              <w:top w:type="dxa" w:w="60"/>
              <w:left w:type="dxa" w:w="100"/>
              <w:bottom w:type="dxa" w:w="60"/>
              <w:right w:type="dxa" w:w="100"/>
            </w:tcMar>
          </w:tcPr>
          <w:p>
            <w:r>
              <w:rPr>
                <w:rFonts w:ascii="SimSun" w:eastAsia="SimSun"/>
                <w:color w:val="2d3748"/>
                <w:sz w:val="21"/>
                <w:szCs w:val="21"/>
              </w:rPr>
              <w:t xml:space="preserve">$7-9M</w:t>
            </w:r>
          </w:p>
        </w:tc>
        <w:tc>
          <w:tcPr>
            <w:tcW w:type="pct" w:w="12%"/>
            <w:tcMar>
              <w:top w:type="dxa" w:w="60"/>
              <w:left w:type="dxa" w:w="100"/>
              <w:bottom w:type="dxa" w:w="60"/>
              <w:right w:type="dxa" w:w="100"/>
            </w:tcMar>
          </w:tcPr>
          <w:p>
            <w:r>
              <w:rPr>
                <w:rFonts w:ascii="SimSun" w:eastAsia="SimSun"/>
                <w:color w:val="2d3748"/>
                <w:sz w:val="21"/>
                <w:szCs w:val="21"/>
              </w:rPr>
              <w:t xml:space="preserve">$8-10M</w:t>
            </w:r>
          </w:p>
        </w:tc>
        <w:tc>
          <w:tcPr>
            <w:tcW w:type="pct" w:w="12%"/>
            <w:tcMar>
              <w:top w:type="dxa" w:w="60"/>
              <w:left w:type="dxa" w:w="100"/>
              <w:bottom w:type="dxa" w:w="60"/>
              <w:right w:type="dxa" w:w="100"/>
            </w:tcMar>
          </w:tcPr>
          <w:p>
            <w:r>
              <w:rPr>
                <w:rFonts w:ascii="SimSun" w:eastAsia="SimSun"/>
                <w:color w:val="2d3748"/>
                <w:sz w:val="21"/>
                <w:szCs w:val="21"/>
              </w:rPr>
              <w:t xml:space="preserve">$27-34.5M</w:t>
            </w:r>
          </w:p>
        </w:tc>
      </w:tr>
      <w:tr>
        <w:trPr>
          <w:cantSplit/>
        </w:trPr>
        <w:tc>
          <w:tcPr>
            <w:tcW w:type="pct" w:w="28%"/>
            <w:tcMar>
              <w:top w:type="dxa" w:w="60"/>
              <w:left w:type="dxa" w:w="100"/>
              <w:bottom w:type="dxa" w:w="60"/>
              <w:right w:type="dxa" w:w="100"/>
            </w:tcMar>
          </w:tcPr>
          <w:p>
            <w:r>
              <w:rPr>
                <w:rFonts w:ascii="SimSun" w:eastAsia="SimSun"/>
                <w:color w:val="2d3748"/>
                <w:sz w:val="21"/>
                <w:szCs w:val="21"/>
              </w:rPr>
              <w:t xml:space="preserve">Software Subscriptions</w:t>
            </w:r>
          </w:p>
        </w:tc>
        <w:tc>
          <w:tcPr>
            <w:tcW w:type="pct" w:w="12%"/>
            <w:tcMar>
              <w:top w:type="dxa" w:w="60"/>
              <w:left w:type="dxa" w:w="100"/>
              <w:bottom w:type="dxa" w:w="60"/>
              <w:right w:type="dxa" w:w="100"/>
            </w:tcMar>
          </w:tcPr>
          <w:p>
            <w:r>
              <w:rPr>
                <w:rFonts w:ascii="SimSun" w:eastAsia="SimSun"/>
                <w:color w:val="2d3748"/>
                <w:sz w:val="21"/>
                <w:szCs w:val="21"/>
              </w:rPr>
              <w:t xml:space="preserve">$1-1.5M</w:t>
            </w:r>
          </w:p>
        </w:tc>
        <w:tc>
          <w:tcPr>
            <w:tcW w:type="pct" w:w="12%"/>
            <w:tcMar>
              <w:top w:type="dxa" w:w="60"/>
              <w:left w:type="dxa" w:w="100"/>
              <w:bottom w:type="dxa" w:w="60"/>
              <w:right w:type="dxa" w:w="100"/>
            </w:tcMar>
          </w:tcPr>
          <w:p>
            <w:r>
              <w:rPr>
                <w:rFonts w:ascii="SimSun" w:eastAsia="SimSun"/>
                <w:color w:val="2d3748"/>
                <w:sz w:val="21"/>
                <w:szCs w:val="21"/>
              </w:rPr>
              <w:t xml:space="preserve">$1.5-2M</w:t>
            </w:r>
          </w:p>
        </w:tc>
        <w:tc>
          <w:tcPr>
            <w:tcW w:type="pct" w:w="12%"/>
            <w:tcMar>
              <w:top w:type="dxa" w:w="60"/>
              <w:left w:type="dxa" w:w="100"/>
              <w:bottom w:type="dxa" w:w="60"/>
              <w:right w:type="dxa" w:w="100"/>
            </w:tcMar>
          </w:tcPr>
          <w:p>
            <w:r>
              <w:rPr>
                <w:rFonts w:ascii="SimSun" w:eastAsia="SimSun"/>
                <w:color w:val="2d3748"/>
                <w:sz w:val="21"/>
                <w:szCs w:val="21"/>
              </w:rPr>
              <w:t xml:space="preserve">$2-2.5M</w:t>
            </w:r>
          </w:p>
        </w:tc>
        <w:tc>
          <w:tcPr>
            <w:tcW w:type="pct" w:w="12%"/>
            <w:tcMar>
              <w:top w:type="dxa" w:w="60"/>
              <w:left w:type="dxa" w:w="100"/>
              <w:bottom w:type="dxa" w:w="60"/>
              <w:right w:type="dxa" w:w="100"/>
            </w:tcMar>
          </w:tcPr>
          <w:p>
            <w:r>
              <w:rPr>
                <w:rFonts w:ascii="SimSun" w:eastAsia="SimSun"/>
                <w:color w:val="2d3748"/>
                <w:sz w:val="21"/>
                <w:szCs w:val="21"/>
              </w:rPr>
              <w:t xml:space="preserve">$2-2.5M</w:t>
            </w:r>
          </w:p>
        </w:tc>
        <w:tc>
          <w:tcPr>
            <w:tcW w:type="pct" w:w="12%"/>
            <w:tcMar>
              <w:top w:type="dxa" w:w="60"/>
              <w:left w:type="dxa" w:w="100"/>
              <w:bottom w:type="dxa" w:w="60"/>
              <w:right w:type="dxa" w:w="100"/>
            </w:tcMar>
          </w:tcPr>
          <w:p>
            <w:r>
              <w:rPr>
                <w:rFonts w:ascii="SimSun" w:eastAsia="SimSun"/>
                <w:color w:val="2d3748"/>
                <w:sz w:val="21"/>
                <w:szCs w:val="21"/>
              </w:rPr>
              <w:t xml:space="preserve">$2-2.5M</w:t>
            </w:r>
          </w:p>
        </w:tc>
        <w:tc>
          <w:tcPr>
            <w:tcW w:type="pct" w:w="12%"/>
            <w:tcMar>
              <w:top w:type="dxa" w:w="60"/>
              <w:left w:type="dxa" w:w="100"/>
              <w:bottom w:type="dxa" w:w="60"/>
              <w:right w:type="dxa" w:w="100"/>
            </w:tcMar>
          </w:tcPr>
          <w:p>
            <w:r>
              <w:rPr>
                <w:rFonts w:ascii="SimSun" w:eastAsia="SimSun"/>
                <w:color w:val="2d3748"/>
                <w:sz w:val="21"/>
                <w:szCs w:val="21"/>
              </w:rPr>
              <w:t xml:space="preserve">$8.5-11M</w:t>
            </w:r>
          </w:p>
        </w:tc>
      </w:tr>
      <w:tr>
        <w:trPr>
          <w:cantSplit/>
        </w:trPr>
        <w:tc>
          <w:tcPr>
            <w:tcW w:type="pct" w:w="28%"/>
            <w:tcMar>
              <w:top w:type="dxa" w:w="60"/>
              <w:left w:type="dxa" w:w="100"/>
              <w:bottom w:type="dxa" w:w="60"/>
              <w:right w:type="dxa" w:w="100"/>
            </w:tcMar>
          </w:tcPr>
          <w:p>
            <w:r>
              <w:rPr>
                <w:rFonts w:ascii="SimSun" w:eastAsia="SimSun"/>
                <w:color w:val="2d3748"/>
                <w:sz w:val="21"/>
                <w:szCs w:val="21"/>
              </w:rPr>
              <w:t xml:space="preserve">Threat Intelligence Feeds</w:t>
            </w:r>
          </w:p>
        </w:tc>
        <w:tc>
          <w:tcPr>
            <w:tcW w:type="pct" w:w="12%"/>
            <w:tcMar>
              <w:top w:type="dxa" w:w="60"/>
              <w:left w:type="dxa" w:w="100"/>
              <w:bottom w:type="dxa" w:w="60"/>
              <w:right w:type="dxa" w:w="100"/>
            </w:tcMar>
          </w:tcPr>
          <w:p>
            <w:r>
              <w:rPr>
                <w:rFonts w:ascii="SimSun" w:eastAsia="SimSun"/>
                <w:color w:val="2d3748"/>
                <w:sz w:val="21"/>
                <w:szCs w:val="21"/>
              </w:rPr>
              <w:t xml:space="preserve">$0.2-0.4M</w:t>
            </w:r>
          </w:p>
        </w:tc>
        <w:tc>
          <w:tcPr>
            <w:tcW w:type="pct" w:w="12%"/>
            <w:tcMar>
              <w:top w:type="dxa" w:w="60"/>
              <w:left w:type="dxa" w:w="100"/>
              <w:bottom w:type="dxa" w:w="60"/>
              <w:right w:type="dxa" w:w="100"/>
            </w:tcMar>
          </w:tcPr>
          <w:p>
            <w:r>
              <w:rPr>
                <w:rFonts w:ascii="SimSun" w:eastAsia="SimSun"/>
                <w:color w:val="2d3748"/>
                <w:sz w:val="21"/>
                <w:szCs w:val="21"/>
              </w:rPr>
              <w:t xml:space="preserve">$0.3-0.5M</w:t>
            </w:r>
          </w:p>
        </w:tc>
        <w:tc>
          <w:tcPr>
            <w:tcW w:type="pct" w:w="12%"/>
            <w:tcMar>
              <w:top w:type="dxa" w:w="60"/>
              <w:left w:type="dxa" w:w="100"/>
              <w:bottom w:type="dxa" w:w="60"/>
              <w:right w:type="dxa" w:w="100"/>
            </w:tcMar>
          </w:tcPr>
          <w:p>
            <w:r>
              <w:rPr>
                <w:rFonts w:ascii="SimSun" w:eastAsia="SimSun"/>
                <w:color w:val="2d3748"/>
                <w:sz w:val="21"/>
                <w:szCs w:val="21"/>
              </w:rPr>
              <w:t xml:space="preserve">$0.4-0.6M</w:t>
            </w:r>
          </w:p>
        </w:tc>
        <w:tc>
          <w:tcPr>
            <w:tcW w:type="pct" w:w="12%"/>
            <w:tcMar>
              <w:top w:type="dxa" w:w="60"/>
              <w:left w:type="dxa" w:w="100"/>
              <w:bottom w:type="dxa" w:w="60"/>
              <w:right w:type="dxa" w:w="100"/>
            </w:tcMar>
          </w:tcPr>
          <w:p>
            <w:r>
              <w:rPr>
                <w:rFonts w:ascii="SimSun" w:eastAsia="SimSun"/>
                <w:color w:val="2d3748"/>
                <w:sz w:val="21"/>
                <w:szCs w:val="21"/>
              </w:rPr>
              <w:t xml:space="preserve">$0.4-0.6M</w:t>
            </w:r>
          </w:p>
        </w:tc>
        <w:tc>
          <w:tcPr>
            <w:tcW w:type="pct" w:w="12%"/>
            <w:tcMar>
              <w:top w:type="dxa" w:w="60"/>
              <w:left w:type="dxa" w:w="100"/>
              <w:bottom w:type="dxa" w:w="60"/>
              <w:right w:type="dxa" w:w="100"/>
            </w:tcMar>
          </w:tcPr>
          <w:p>
            <w:r>
              <w:rPr>
                <w:rFonts w:ascii="SimSun" w:eastAsia="SimSun"/>
                <w:color w:val="2d3748"/>
                <w:sz w:val="21"/>
                <w:szCs w:val="21"/>
              </w:rPr>
              <w:t xml:space="preserve">$0.4-0.6M</w:t>
            </w:r>
          </w:p>
        </w:tc>
        <w:tc>
          <w:tcPr>
            <w:tcW w:type="pct" w:w="12%"/>
            <w:tcMar>
              <w:top w:type="dxa" w:w="60"/>
              <w:left w:type="dxa" w:w="100"/>
              <w:bottom w:type="dxa" w:w="60"/>
              <w:right w:type="dxa" w:w="100"/>
            </w:tcMar>
          </w:tcPr>
          <w:p>
            <w:r>
              <w:rPr>
                <w:rFonts w:ascii="SimSun" w:eastAsia="SimSun"/>
                <w:color w:val="2d3748"/>
                <w:sz w:val="21"/>
                <w:szCs w:val="21"/>
              </w:rPr>
              <w:t xml:space="preserve">$1.7-2.7M</w:t>
            </w:r>
          </w:p>
        </w:tc>
      </w:tr>
      <w:tr>
        <w:trPr>
          <w:cantSplit/>
        </w:trPr>
        <w:tc>
          <w:tcPr>
            <w:tcW w:type="pct" w:w="28%"/>
            <w:tcMar>
              <w:top w:type="dxa" w:w="60"/>
              <w:left w:type="dxa" w:w="100"/>
              <w:bottom w:type="dxa" w:w="60"/>
              <w:right w:type="dxa" w:w="100"/>
            </w:tcMar>
          </w:tcPr>
          <w:p>
            <w:r>
              <w:rPr>
                <w:rFonts w:ascii="SimSun" w:eastAsia="SimSun"/>
                <w:color w:val="2d3748"/>
                <w:sz w:val="21"/>
                <w:szCs w:val="21"/>
              </w:rPr>
              <w:t xml:space="preserve">Cloud Services (if applicable)</w:t>
            </w:r>
          </w:p>
        </w:tc>
        <w:tc>
          <w:tcPr>
            <w:tcW w:type="pct" w:w="12%"/>
            <w:tcMar>
              <w:top w:type="dxa" w:w="60"/>
              <w:left w:type="dxa" w:w="100"/>
              <w:bottom w:type="dxa" w:w="60"/>
              <w:right w:type="dxa" w:w="100"/>
            </w:tcMar>
          </w:tcPr>
          <w:p>
            <w:r>
              <w:rPr>
                <w:rFonts w:ascii="SimSun" w:eastAsia="SimSun"/>
                <w:color w:val="2d3748"/>
                <w:sz w:val="21"/>
                <w:szCs w:val="21"/>
              </w:rPr>
              <w:t xml:space="preserve">$0.3-0.6M</w:t>
            </w:r>
          </w:p>
        </w:tc>
        <w:tc>
          <w:tcPr>
            <w:tcW w:type="pct" w:w="12%"/>
            <w:tcMar>
              <w:top w:type="dxa" w:w="60"/>
              <w:left w:type="dxa" w:w="100"/>
              <w:bottom w:type="dxa" w:w="60"/>
              <w:right w:type="dxa" w:w="100"/>
            </w:tcMar>
          </w:tcPr>
          <w:p>
            <w:r>
              <w:rPr>
                <w:rFonts w:ascii="SimSun" w:eastAsia="SimSun"/>
                <w:color w:val="2d3748"/>
                <w:sz w:val="21"/>
                <w:szCs w:val="21"/>
              </w:rPr>
              <w:t xml:space="preserve">$0.5-1M</w:t>
            </w:r>
          </w:p>
        </w:tc>
        <w:tc>
          <w:tcPr>
            <w:tcW w:type="pct" w:w="12%"/>
            <w:tcMar>
              <w:top w:type="dxa" w:w="60"/>
              <w:left w:type="dxa" w:w="100"/>
              <w:bottom w:type="dxa" w:w="60"/>
              <w:right w:type="dxa" w:w="100"/>
            </w:tcMar>
          </w:tcPr>
          <w:p>
            <w:r>
              <w:rPr>
                <w:rFonts w:ascii="SimSun" w:eastAsia="SimSun"/>
                <w:color w:val="2d3748"/>
                <w:sz w:val="21"/>
                <w:szCs w:val="21"/>
              </w:rPr>
              <w:t xml:space="preserve">$0.8-1.2M</w:t>
            </w:r>
          </w:p>
        </w:tc>
        <w:tc>
          <w:tcPr>
            <w:tcW w:type="pct" w:w="12%"/>
            <w:tcMar>
              <w:top w:type="dxa" w:w="60"/>
              <w:left w:type="dxa" w:w="100"/>
              <w:bottom w:type="dxa" w:w="60"/>
              <w:right w:type="dxa" w:w="100"/>
            </w:tcMar>
          </w:tcPr>
          <w:p>
            <w:r>
              <w:rPr>
                <w:rFonts w:ascii="SimSun" w:eastAsia="SimSun"/>
                <w:color w:val="2d3748"/>
                <w:sz w:val="21"/>
                <w:szCs w:val="21"/>
              </w:rPr>
              <w:t xml:space="preserve">$1-1.5M</w:t>
            </w:r>
          </w:p>
        </w:tc>
        <w:tc>
          <w:tcPr>
            <w:tcW w:type="pct" w:w="12%"/>
            <w:tcMar>
              <w:top w:type="dxa" w:w="60"/>
              <w:left w:type="dxa" w:w="100"/>
              <w:bottom w:type="dxa" w:w="60"/>
              <w:right w:type="dxa" w:w="100"/>
            </w:tcMar>
          </w:tcPr>
          <w:p>
            <w:r>
              <w:rPr>
                <w:rFonts w:ascii="SimSun" w:eastAsia="SimSun"/>
                <w:color w:val="2d3748"/>
                <w:sz w:val="21"/>
                <w:szCs w:val="21"/>
              </w:rPr>
              <w:t xml:space="preserve">$1-1.5M</w:t>
            </w:r>
          </w:p>
        </w:tc>
        <w:tc>
          <w:tcPr>
            <w:tcW w:type="pct" w:w="12%"/>
            <w:tcMar>
              <w:top w:type="dxa" w:w="60"/>
              <w:left w:type="dxa" w:w="100"/>
              <w:bottom w:type="dxa" w:w="60"/>
              <w:right w:type="dxa" w:w="100"/>
            </w:tcMar>
          </w:tcPr>
          <w:p>
            <w:r>
              <w:rPr>
                <w:rFonts w:ascii="SimSun" w:eastAsia="SimSun"/>
                <w:color w:val="2d3748"/>
                <w:sz w:val="21"/>
                <w:szCs w:val="21"/>
              </w:rPr>
              <w:t xml:space="preserve">$3.6-5.8M</w:t>
            </w:r>
          </w:p>
        </w:tc>
      </w:tr>
      <w:tr>
        <w:trPr>
          <w:cantSplit/>
        </w:trPr>
        <w:tc>
          <w:tcPr>
            <w:tcW w:type="pct" w:w="28%"/>
            <w:tcMar>
              <w:top w:type="dxa" w:w="60"/>
              <w:left w:type="dxa" w:w="100"/>
              <w:bottom w:type="dxa" w:w="60"/>
              <w:right w:type="dxa" w:w="100"/>
            </w:tcMar>
          </w:tcPr>
          <w:p>
            <w:r>
              <w:rPr>
                <w:rFonts w:ascii="SimSun" w:eastAsia="SimSun"/>
                <w:color w:val="2d3748"/>
                <w:sz w:val="21"/>
                <w:szCs w:val="21"/>
              </w:rPr>
              <w:t xml:space="preserve">Data Center Facilities</w:t>
            </w:r>
          </w:p>
        </w:tc>
        <w:tc>
          <w:tcPr>
            <w:tcW w:type="pct" w:w="12%"/>
            <w:tcMar>
              <w:top w:type="dxa" w:w="60"/>
              <w:left w:type="dxa" w:w="100"/>
              <w:bottom w:type="dxa" w:w="60"/>
              <w:right w:type="dxa" w:w="100"/>
            </w:tcMar>
          </w:tcPr>
          <w:p>
            <w:r>
              <w:rPr>
                <w:rFonts w:ascii="SimSun" w:eastAsia="SimSun"/>
                <w:color w:val="2d3748"/>
                <w:sz w:val="21"/>
                <w:szCs w:val="21"/>
              </w:rPr>
              <w:t xml:space="preserve">$0.3-0.5M</w:t>
            </w:r>
          </w:p>
        </w:tc>
        <w:tc>
          <w:tcPr>
            <w:tcW w:type="pct" w:w="12%"/>
            <w:tcMar>
              <w:top w:type="dxa" w:w="60"/>
              <w:left w:type="dxa" w:w="100"/>
              <w:bottom w:type="dxa" w:w="60"/>
              <w:right w:type="dxa" w:w="100"/>
            </w:tcMar>
          </w:tcPr>
          <w:p>
            <w:r>
              <w:rPr>
                <w:rFonts w:ascii="SimSun" w:eastAsia="SimSun"/>
                <w:color w:val="2d3748"/>
                <w:sz w:val="21"/>
                <w:szCs w:val="21"/>
              </w:rPr>
              <w:t xml:space="preserve">$0.4-0.6M</w:t>
            </w:r>
          </w:p>
        </w:tc>
        <w:tc>
          <w:tcPr>
            <w:tcW w:type="pct" w:w="12%"/>
            <w:tcMar>
              <w:top w:type="dxa" w:w="60"/>
              <w:left w:type="dxa" w:w="100"/>
              <w:bottom w:type="dxa" w:w="60"/>
              <w:right w:type="dxa" w:w="100"/>
            </w:tcMar>
          </w:tcPr>
          <w:p>
            <w:r>
              <w:rPr>
                <w:rFonts w:ascii="SimSun" w:eastAsia="SimSun"/>
                <w:color w:val="2d3748"/>
                <w:sz w:val="21"/>
                <w:szCs w:val="21"/>
              </w:rPr>
              <w:t xml:space="preserve">$0.4-0.6M</w:t>
            </w:r>
          </w:p>
        </w:tc>
        <w:tc>
          <w:tcPr>
            <w:tcW w:type="pct" w:w="12%"/>
            <w:tcMar>
              <w:top w:type="dxa" w:w="60"/>
              <w:left w:type="dxa" w:w="100"/>
              <w:bottom w:type="dxa" w:w="60"/>
              <w:right w:type="dxa" w:w="100"/>
            </w:tcMar>
          </w:tcPr>
          <w:p>
            <w:r>
              <w:rPr>
                <w:rFonts w:ascii="SimSun" w:eastAsia="SimSun"/>
                <w:color w:val="2d3748"/>
                <w:sz w:val="21"/>
                <w:szCs w:val="21"/>
              </w:rPr>
              <w:t xml:space="preserve">$0.4-0.6M</w:t>
            </w:r>
          </w:p>
        </w:tc>
        <w:tc>
          <w:tcPr>
            <w:tcW w:type="pct" w:w="12%"/>
            <w:tcMar>
              <w:top w:type="dxa" w:w="60"/>
              <w:left w:type="dxa" w:w="100"/>
              <w:bottom w:type="dxa" w:w="60"/>
              <w:right w:type="dxa" w:w="100"/>
            </w:tcMar>
          </w:tcPr>
          <w:p>
            <w:r>
              <w:rPr>
                <w:rFonts w:ascii="SimSun" w:eastAsia="SimSun"/>
                <w:color w:val="2d3748"/>
                <w:sz w:val="21"/>
                <w:szCs w:val="21"/>
              </w:rPr>
              <w:t xml:space="preserve">$0.4-0.6M</w:t>
            </w:r>
          </w:p>
        </w:tc>
        <w:tc>
          <w:tcPr>
            <w:tcW w:type="pct" w:w="12%"/>
            <w:tcMar>
              <w:top w:type="dxa" w:w="60"/>
              <w:left w:type="dxa" w:w="100"/>
              <w:bottom w:type="dxa" w:w="60"/>
              <w:right w:type="dxa" w:w="100"/>
            </w:tcMar>
          </w:tcPr>
          <w:p>
            <w:r>
              <w:rPr>
                <w:rFonts w:ascii="SimSun" w:eastAsia="SimSun"/>
                <w:color w:val="2d3748"/>
                <w:sz w:val="21"/>
                <w:szCs w:val="21"/>
              </w:rPr>
              <w:t xml:space="preserve">$1.9-2.9M</w:t>
            </w:r>
          </w:p>
        </w:tc>
      </w:tr>
      <w:tr>
        <w:trPr>
          <w:cantSplit/>
        </w:trPr>
        <w:tc>
          <w:tcPr>
            <w:tcW w:type="pct" w:w="28%"/>
            <w:tcMar>
              <w:top w:type="dxa" w:w="60"/>
              <w:left w:type="dxa" w:w="100"/>
              <w:bottom w:type="dxa" w:w="60"/>
              <w:right w:type="dxa" w:w="100"/>
            </w:tcMar>
          </w:tcPr>
          <w:p>
            <w:r>
              <w:rPr>
                <w:rFonts w:ascii="SimSun" w:eastAsia="SimSun"/>
                <w:color w:val="2d3748"/>
                <w:sz w:val="21"/>
                <w:szCs w:val="21"/>
              </w:rPr>
              <w:t xml:space="preserve">Training &amp; Certification</w:t>
            </w:r>
          </w:p>
        </w:tc>
        <w:tc>
          <w:tcPr>
            <w:tcW w:type="pct" w:w="12%"/>
            <w:tcMar>
              <w:top w:type="dxa" w:w="60"/>
              <w:left w:type="dxa" w:w="100"/>
              <w:bottom w:type="dxa" w:w="60"/>
              <w:right w:type="dxa" w:w="100"/>
            </w:tcMar>
          </w:tcPr>
          <w:p>
            <w:r>
              <w:rPr>
                <w:rFonts w:ascii="SimSun" w:eastAsia="SimSun"/>
                <w:color w:val="2d3748"/>
                <w:sz w:val="21"/>
                <w:szCs w:val="21"/>
              </w:rPr>
              <w:t xml:space="preserve">$0.2-0.3M</w:t>
            </w:r>
          </w:p>
        </w:tc>
        <w:tc>
          <w:tcPr>
            <w:tcW w:type="pct" w:w="12%"/>
            <w:tcMar>
              <w:top w:type="dxa" w:w="60"/>
              <w:left w:type="dxa" w:w="100"/>
              <w:bottom w:type="dxa" w:w="60"/>
              <w:right w:type="dxa" w:w="100"/>
            </w:tcMar>
          </w:tcPr>
          <w:p>
            <w:r>
              <w:rPr>
                <w:rFonts w:ascii="SimSun" w:eastAsia="SimSun"/>
                <w:color w:val="2d3748"/>
                <w:sz w:val="21"/>
                <w:szCs w:val="21"/>
              </w:rPr>
              <w:t xml:space="preserve">$0.3-0.4M</w:t>
            </w:r>
          </w:p>
        </w:tc>
        <w:tc>
          <w:tcPr>
            <w:tcW w:type="pct" w:w="12%"/>
            <w:tcMar>
              <w:top w:type="dxa" w:w="60"/>
              <w:left w:type="dxa" w:w="100"/>
              <w:bottom w:type="dxa" w:w="60"/>
              <w:right w:type="dxa" w:w="100"/>
            </w:tcMar>
          </w:tcPr>
          <w:p>
            <w:r>
              <w:rPr>
                <w:rFonts w:ascii="SimSun" w:eastAsia="SimSun"/>
                <w:color w:val="2d3748"/>
                <w:sz w:val="21"/>
                <w:szCs w:val="21"/>
              </w:rPr>
              <w:t xml:space="preserve">$0.3-0.4M</w:t>
            </w:r>
          </w:p>
        </w:tc>
        <w:tc>
          <w:tcPr>
            <w:tcW w:type="pct" w:w="12%"/>
            <w:tcMar>
              <w:top w:type="dxa" w:w="60"/>
              <w:left w:type="dxa" w:w="100"/>
              <w:bottom w:type="dxa" w:w="60"/>
              <w:right w:type="dxa" w:w="100"/>
            </w:tcMar>
          </w:tcPr>
          <w:p>
            <w:r>
              <w:rPr>
                <w:rFonts w:ascii="SimSun" w:eastAsia="SimSun"/>
                <w:color w:val="2d3748"/>
                <w:sz w:val="21"/>
                <w:szCs w:val="21"/>
              </w:rPr>
              <w:t xml:space="preserve">$0.3-0.4M</w:t>
            </w:r>
          </w:p>
        </w:tc>
        <w:tc>
          <w:tcPr>
            <w:tcW w:type="pct" w:w="12%"/>
            <w:tcMar>
              <w:top w:type="dxa" w:w="60"/>
              <w:left w:type="dxa" w:w="100"/>
              <w:bottom w:type="dxa" w:w="60"/>
              <w:right w:type="dxa" w:w="100"/>
            </w:tcMar>
          </w:tcPr>
          <w:p>
            <w:r>
              <w:rPr>
                <w:rFonts w:ascii="SimSun" w:eastAsia="SimSun"/>
                <w:color w:val="2d3748"/>
                <w:sz w:val="21"/>
                <w:szCs w:val="21"/>
              </w:rPr>
              <w:t xml:space="preserve">$0.3-0.4M</w:t>
            </w:r>
          </w:p>
        </w:tc>
        <w:tc>
          <w:tcPr>
            <w:tcW w:type="pct" w:w="12%"/>
            <w:tcMar>
              <w:top w:type="dxa" w:w="60"/>
              <w:left w:type="dxa" w:w="100"/>
              <w:bottom w:type="dxa" w:w="60"/>
              <w:right w:type="dxa" w:w="100"/>
            </w:tcMar>
          </w:tcPr>
          <w:p>
            <w:r>
              <w:rPr>
                <w:rFonts w:ascii="SimSun" w:eastAsia="SimSun"/>
                <w:color w:val="2d3748"/>
                <w:sz w:val="21"/>
                <w:szCs w:val="21"/>
              </w:rPr>
              <w:t xml:space="preserve">$1.4-1.9M</w:t>
            </w:r>
          </w:p>
        </w:tc>
      </w:tr>
      <w:tr>
        <w:trPr>
          <w:cantSplit/>
        </w:trPr>
        <w:tc>
          <w:tcPr>
            <w:tcW w:type="pct" w:w="28%"/>
            <w:tcMar>
              <w:top w:type="dxa" w:w="60"/>
              <w:left w:type="dxa" w:w="100"/>
              <w:bottom w:type="dxa" w:w="60"/>
              <w:right w:type="dxa" w:w="100"/>
            </w:tcMar>
          </w:tcPr>
          <w:p>
            <w:r>
              <w:rPr>
                <w:rFonts w:ascii="SimSun" w:eastAsia="SimSun"/>
                <w:color w:val="2d3748"/>
                <w:sz w:val="21"/>
                <w:szCs w:val="21"/>
              </w:rPr>
              <w:t xml:space="preserve">Professional Services</w:t>
            </w:r>
          </w:p>
        </w:tc>
        <w:tc>
          <w:tcPr>
            <w:tcW w:type="pct" w:w="12%"/>
            <w:tcMar>
              <w:top w:type="dxa" w:w="60"/>
              <w:left w:type="dxa" w:w="100"/>
              <w:bottom w:type="dxa" w:w="60"/>
              <w:right w:type="dxa" w:w="100"/>
            </w:tcMar>
          </w:tcPr>
          <w:p>
            <w:r>
              <w:rPr>
                <w:rFonts w:ascii="SimSun" w:eastAsia="SimSun"/>
                <w:color w:val="2d3748"/>
                <w:sz w:val="21"/>
                <w:szCs w:val="21"/>
              </w:rPr>
              <w:t xml:space="preserve">$0.5-1M</w:t>
            </w:r>
          </w:p>
        </w:tc>
        <w:tc>
          <w:tcPr>
            <w:tcW w:type="pct" w:w="12%"/>
            <w:tcMar>
              <w:top w:type="dxa" w:w="60"/>
              <w:left w:type="dxa" w:w="100"/>
              <w:bottom w:type="dxa" w:w="60"/>
              <w:right w:type="dxa" w:w="100"/>
            </w:tcMar>
          </w:tcPr>
          <w:p>
            <w:r>
              <w:rPr>
                <w:rFonts w:ascii="SimSun" w:eastAsia="SimSun"/>
                <w:color w:val="2d3748"/>
                <w:sz w:val="21"/>
                <w:szCs w:val="21"/>
              </w:rPr>
              <w:t xml:space="preserve">$0.5-0.8M</w:t>
            </w:r>
          </w:p>
        </w:tc>
        <w:tc>
          <w:tcPr>
            <w:tcW w:type="pct" w:w="12%"/>
            <w:tcMar>
              <w:top w:type="dxa" w:w="60"/>
              <w:left w:type="dxa" w:w="100"/>
              <w:bottom w:type="dxa" w:w="60"/>
              <w:right w:type="dxa" w:w="100"/>
            </w:tcMar>
          </w:tcPr>
          <w:p>
            <w:r>
              <w:rPr>
                <w:rFonts w:ascii="SimSun" w:eastAsia="SimSun"/>
                <w:color w:val="2d3748"/>
                <w:sz w:val="21"/>
                <w:szCs w:val="21"/>
              </w:rPr>
              <w:t xml:space="preserve">$0.3-0.5M</w:t>
            </w:r>
          </w:p>
        </w:tc>
        <w:tc>
          <w:tcPr>
            <w:tcW w:type="pct" w:w="12%"/>
            <w:tcMar>
              <w:top w:type="dxa" w:w="60"/>
              <w:left w:type="dxa" w:w="100"/>
              <w:bottom w:type="dxa" w:w="60"/>
              <w:right w:type="dxa" w:w="100"/>
            </w:tcMar>
          </w:tcPr>
          <w:p>
            <w:r>
              <w:rPr>
                <w:rFonts w:ascii="SimSun" w:eastAsia="SimSun"/>
                <w:color w:val="2d3748"/>
                <w:sz w:val="21"/>
                <w:szCs w:val="21"/>
              </w:rPr>
              <w:t xml:space="preserve">$0.3-0.5M</w:t>
            </w:r>
          </w:p>
        </w:tc>
        <w:tc>
          <w:tcPr>
            <w:tcW w:type="pct" w:w="12%"/>
            <w:tcMar>
              <w:top w:type="dxa" w:w="60"/>
              <w:left w:type="dxa" w:w="100"/>
              <w:bottom w:type="dxa" w:w="60"/>
              <w:right w:type="dxa" w:w="100"/>
            </w:tcMar>
          </w:tcPr>
          <w:p>
            <w:r>
              <w:rPr>
                <w:rFonts w:ascii="SimSun" w:eastAsia="SimSun"/>
                <w:color w:val="2d3748"/>
                <w:sz w:val="21"/>
                <w:szCs w:val="21"/>
              </w:rPr>
              <w:t xml:space="preserve">$0.3-0.5M</w:t>
            </w:r>
          </w:p>
        </w:tc>
        <w:tc>
          <w:tcPr>
            <w:tcW w:type="pct" w:w="12%"/>
            <w:tcMar>
              <w:top w:type="dxa" w:w="60"/>
              <w:left w:type="dxa" w:w="100"/>
              <w:bottom w:type="dxa" w:w="60"/>
              <w:right w:type="dxa" w:w="100"/>
            </w:tcMar>
          </w:tcPr>
          <w:p>
            <w:r>
              <w:rPr>
                <w:rFonts w:ascii="SimSun" w:eastAsia="SimSun"/>
                <w:color w:val="2d3748"/>
                <w:sz w:val="21"/>
                <w:szCs w:val="21"/>
              </w:rPr>
              <w:t xml:space="preserve">$1.9-3.3M</w:t>
            </w:r>
          </w:p>
        </w:tc>
      </w:tr>
      <w:tr>
        <w:trPr>
          <w:cantSplit/>
        </w:trPr>
        <w:tc>
          <w:tcPr>
            <w:tcW w:type="pct" w:w="28%"/>
            <w:tcMar>
              <w:top w:type="dxa" w:w="60"/>
              <w:left w:type="dxa" w:w="100"/>
              <w:bottom w:type="dxa" w:w="60"/>
              <w:right w:type="dxa" w:w="100"/>
            </w:tcMar>
          </w:tcPr>
          <w:p>
            <w:r>
              <w:rPr>
                <w:rFonts w:ascii="SimSun" w:eastAsia="SimSun"/>
                <w:color w:val="2d3748"/>
                <w:sz w:val="21"/>
                <w:szCs w:val="21"/>
              </w:rPr>
              <w:t xml:space="preserve">Miscellaneous &amp; Contingency</w:t>
            </w:r>
          </w:p>
        </w:tc>
        <w:tc>
          <w:tcPr>
            <w:tcW w:type="pct" w:w="12%"/>
            <w:tcMar>
              <w:top w:type="dxa" w:w="60"/>
              <w:left w:type="dxa" w:w="100"/>
              <w:bottom w:type="dxa" w:w="60"/>
              <w:right w:type="dxa" w:w="100"/>
            </w:tcMar>
          </w:tcPr>
          <w:p>
            <w:r>
              <w:rPr>
                <w:rFonts w:ascii="SimSun" w:eastAsia="SimSun"/>
                <w:color w:val="2d3748"/>
                <w:sz w:val="21"/>
                <w:szCs w:val="21"/>
              </w:rPr>
              <w:t xml:space="preserve">$0.3-0.5M</w:t>
            </w:r>
          </w:p>
        </w:tc>
        <w:tc>
          <w:tcPr>
            <w:tcW w:type="pct" w:w="12%"/>
            <w:tcMar>
              <w:top w:type="dxa" w:w="60"/>
              <w:left w:type="dxa" w:w="100"/>
              <w:bottom w:type="dxa" w:w="60"/>
              <w:right w:type="dxa" w:w="100"/>
            </w:tcMar>
          </w:tcPr>
          <w:p>
            <w:r>
              <w:rPr>
                <w:rFonts w:ascii="SimSun" w:eastAsia="SimSun"/>
                <w:color w:val="2d3748"/>
                <w:sz w:val="21"/>
                <w:szCs w:val="21"/>
              </w:rPr>
              <w:t xml:space="preserve">$0.4-0.6M</w:t>
            </w:r>
          </w:p>
        </w:tc>
        <w:tc>
          <w:tcPr>
            <w:tcW w:type="pct" w:w="12%"/>
            <w:tcMar>
              <w:top w:type="dxa" w:w="60"/>
              <w:left w:type="dxa" w:w="100"/>
              <w:bottom w:type="dxa" w:w="60"/>
              <w:right w:type="dxa" w:w="100"/>
            </w:tcMar>
          </w:tcPr>
          <w:p>
            <w:r>
              <w:rPr>
                <w:rFonts w:ascii="SimSun" w:eastAsia="SimSun"/>
                <w:color w:val="2d3748"/>
                <w:sz w:val="21"/>
                <w:szCs w:val="21"/>
              </w:rPr>
              <w:t xml:space="preserve">$0.4-0.6M</w:t>
            </w:r>
          </w:p>
        </w:tc>
        <w:tc>
          <w:tcPr>
            <w:tcW w:type="pct" w:w="12%"/>
            <w:tcMar>
              <w:top w:type="dxa" w:w="60"/>
              <w:left w:type="dxa" w:w="100"/>
              <w:bottom w:type="dxa" w:w="60"/>
              <w:right w:type="dxa" w:w="100"/>
            </w:tcMar>
          </w:tcPr>
          <w:p>
            <w:r>
              <w:rPr>
                <w:rFonts w:ascii="SimSun" w:eastAsia="SimSun"/>
                <w:color w:val="2d3748"/>
                <w:sz w:val="21"/>
                <w:szCs w:val="21"/>
              </w:rPr>
              <w:t xml:space="preserve">$0.4-0.6M</w:t>
            </w:r>
          </w:p>
        </w:tc>
        <w:tc>
          <w:tcPr>
            <w:tcW w:type="pct" w:w="12%"/>
            <w:tcMar>
              <w:top w:type="dxa" w:w="60"/>
              <w:left w:type="dxa" w:w="100"/>
              <w:bottom w:type="dxa" w:w="60"/>
              <w:right w:type="dxa" w:w="100"/>
            </w:tcMar>
          </w:tcPr>
          <w:p>
            <w:r>
              <w:rPr>
                <w:rFonts w:ascii="SimSun" w:eastAsia="SimSun"/>
                <w:color w:val="2d3748"/>
                <w:sz w:val="21"/>
                <w:szCs w:val="21"/>
              </w:rPr>
              <w:t xml:space="preserve">$0.4-0.6M</w:t>
            </w:r>
          </w:p>
        </w:tc>
        <w:tc>
          <w:tcPr>
            <w:tcW w:type="pct" w:w="12%"/>
            <w:tcMar>
              <w:top w:type="dxa" w:w="60"/>
              <w:left w:type="dxa" w:w="100"/>
              <w:bottom w:type="dxa" w:w="60"/>
              <w:right w:type="dxa" w:w="100"/>
            </w:tcMar>
          </w:tcPr>
          <w:p>
            <w:r>
              <w:rPr>
                <w:rFonts w:ascii="SimSun" w:eastAsia="SimSun"/>
                <w:color w:val="2d3748"/>
                <w:sz w:val="21"/>
                <w:szCs w:val="21"/>
              </w:rPr>
              <w:t xml:space="preserve">$1.9-2.9M</w:t>
            </w:r>
          </w:p>
        </w:tc>
      </w:tr>
      <w:tr>
        <w:trPr>
          <w:cantSplit/>
        </w:trPr>
        <w:tc>
          <w:tcPr>
            <w:tcW w:type="pct" w:w="28%"/>
            <w:tcMar>
              <w:top w:type="dxa" w:w="60"/>
              <w:left w:type="dxa" w:w="100"/>
              <w:bottom w:type="dxa" w:w="60"/>
              <w:right w:type="dxa" w:w="100"/>
            </w:tcMar>
          </w:tcPr>
          <w:p>
            <w:r>
              <w:rPr>
                <w:rFonts w:ascii="SimSun" w:eastAsia="SimSun"/>
                <w:color w:val="2d3748"/>
                <w:sz w:val="21"/>
                <w:szCs w:val="21"/>
              </w:rPr>
              <w:t xml:space="preserve">TOTAL OPEX</w:t>
            </w:r>
          </w:p>
        </w:tc>
        <w:tc>
          <w:tcPr>
            <w:tcW w:type="pct" w:w="12%"/>
            <w:tcMar>
              <w:top w:type="dxa" w:w="60"/>
              <w:left w:type="dxa" w:w="100"/>
              <w:bottom w:type="dxa" w:w="60"/>
              <w:right w:type="dxa" w:w="100"/>
            </w:tcMar>
          </w:tcPr>
          <w:p>
            <w:r>
              <w:rPr>
                <w:rFonts w:ascii="SimSun" w:eastAsia="SimSun"/>
                <w:color w:val="2d3748"/>
                <w:sz w:val="21"/>
                <w:szCs w:val="21"/>
              </w:rPr>
              <w:t xml:space="preserve">$4.8-7.8M</w:t>
            </w:r>
          </w:p>
        </w:tc>
        <w:tc>
          <w:tcPr>
            <w:tcW w:type="pct" w:w="12%"/>
            <w:tcMar>
              <w:top w:type="dxa" w:w="60"/>
              <w:left w:type="dxa" w:w="100"/>
              <w:bottom w:type="dxa" w:w="60"/>
              <w:right w:type="dxa" w:w="100"/>
            </w:tcMar>
          </w:tcPr>
          <w:p>
            <w:r>
              <w:rPr>
                <w:rFonts w:ascii="SimSun" w:eastAsia="SimSun"/>
                <w:color w:val="2d3748"/>
                <w:sz w:val="21"/>
                <w:szCs w:val="21"/>
              </w:rPr>
              <w:t xml:space="preserve">$7.9-10.9M</w:t>
            </w:r>
          </w:p>
        </w:tc>
        <w:tc>
          <w:tcPr>
            <w:tcW w:type="pct" w:w="12%"/>
            <w:tcMar>
              <w:top w:type="dxa" w:w="60"/>
              <w:left w:type="dxa" w:w="100"/>
              <w:bottom w:type="dxa" w:w="60"/>
              <w:right w:type="dxa" w:w="100"/>
            </w:tcMar>
          </w:tcPr>
          <w:p>
            <w:r>
              <w:rPr>
                <w:rFonts w:ascii="SimSun" w:eastAsia="SimSun"/>
                <w:color w:val="2d3748"/>
                <w:sz w:val="21"/>
                <w:szCs w:val="21"/>
              </w:rPr>
              <w:t xml:space="preserve">$10.6-13.8M</w:t>
            </w:r>
          </w:p>
        </w:tc>
        <w:tc>
          <w:tcPr>
            <w:tcW w:type="pct" w:w="12%"/>
            <w:tcMar>
              <w:top w:type="dxa" w:w="60"/>
              <w:left w:type="dxa" w:w="100"/>
              <w:bottom w:type="dxa" w:w="60"/>
              <w:right w:type="dxa" w:w="100"/>
            </w:tcMar>
          </w:tcPr>
          <w:p>
            <w:r>
              <w:rPr>
                <w:rFonts w:ascii="SimSun" w:eastAsia="SimSun"/>
                <w:color w:val="2d3748"/>
                <w:sz w:val="21"/>
                <w:szCs w:val="21"/>
              </w:rPr>
              <w:t xml:space="preserve">$11.8-15.2M</w:t>
            </w:r>
          </w:p>
        </w:tc>
        <w:tc>
          <w:tcPr>
            <w:tcW w:type="pct" w:w="12%"/>
            <w:tcMar>
              <w:top w:type="dxa" w:w="60"/>
              <w:left w:type="dxa" w:w="100"/>
              <w:bottom w:type="dxa" w:w="60"/>
              <w:right w:type="dxa" w:w="100"/>
            </w:tcMar>
          </w:tcPr>
          <w:p>
            <w:r>
              <w:rPr>
                <w:rFonts w:ascii="SimSun" w:eastAsia="SimSun"/>
                <w:color w:val="2d3748"/>
                <w:sz w:val="21"/>
                <w:szCs w:val="21"/>
              </w:rPr>
              <w:t xml:space="preserve">$12.8-16.3M</w:t>
            </w:r>
          </w:p>
        </w:tc>
        <w:tc>
          <w:tcPr>
            <w:tcW w:type="pct" w:w="12%"/>
            <w:tcMar>
              <w:top w:type="dxa" w:w="60"/>
              <w:left w:type="dxa" w:w="100"/>
              <w:bottom w:type="dxa" w:w="60"/>
              <w:right w:type="dxa" w:w="100"/>
            </w:tcMar>
          </w:tcPr>
          <w:p>
            <w:r>
              <w:rPr>
                <w:rFonts w:ascii="SimSun" w:eastAsia="SimSun"/>
                <w:color w:val="2d3748"/>
                <w:sz w:val="21"/>
                <w:szCs w:val="21"/>
              </w:rPr>
              <w:t xml:space="preserve">$47.9-64M</w:t>
            </w:r>
          </w:p>
        </w:tc>
      </w:tr>
    </w:tbl>
    <w:p>
      <w:pPr>
        <w:spacing w:after="100" w:before="200"/>
      </w:pPr>
    </w:p>
    <w:p>
      <w:pPr>
        <w:pStyle w:val="Heading2"/>
        <w:spacing w:after="150" w:before="300"/>
      </w:pPr>
      <w:bookmarkStart w:id="100134" w:name="_Toc100134"/>
      <w:r>
        <w:rPr>
          <w:rFonts w:ascii="SimHei" w:eastAsia="SimHei"/>
          <w:b/>
          <w:bCs/>
          <w:color w:val="1a365d"/>
          <w:sz w:val="28"/>
          <w:szCs w:val="28"/>
        </w:rPr>
        <w:t xml:space="preserve">Investment Summary</w:t>
      </w:r>
      <w:bookmarkEnd w:id="100134"/>
    </w:p>
    <w:p>
      <w:pPr>
        <w:spacing w:after="120" w:line="312"/>
        <w:ind w:firstLine="480"/>
        <w:jc w:val="both"/>
      </w:pPr>
      <w:r>
        <w:rPr>
          <w:rFonts w:ascii="SimSun" w:eastAsia="SimSun"/>
          <w:color w:val="2d3748"/>
          <w:sz w:val="24"/>
          <w:szCs w:val="24"/>
        </w:rPr>
        <w:t xml:space="preserve">Total five-year investment ranges from approximately $67 million to $89 million depending on technology choices, scope, and operational decisions. Year 1 investment (highest) ranges $14.6-22M representing foundation-building. Steady-state annual operating cost (Years 3-5) ranges $23-29M annually at full operational capacity. Per-constituent-organization cost decreases as coverage scales, demonstrating economies of scale.</w:t>
      </w:r>
    </w:p>
    <w:p>
      <w:pPr>
        <w:pStyle w:val="Heading2"/>
        <w:spacing w:after="150" w:before="300"/>
      </w:pPr>
      <w:bookmarkStart w:id="100135" w:name="_Toc100135"/>
      <w:r>
        <w:rPr>
          <w:rFonts w:ascii="SimHei" w:eastAsia="SimHei"/>
          <w:b/>
          <w:bCs/>
          <w:color w:val="1a365d"/>
          <w:sz w:val="28"/>
          <w:szCs w:val="28"/>
        </w:rPr>
        <w:t xml:space="preserve">Return on Investment Considerations</w:t>
      </w:r>
      <w:bookmarkEnd w:id="100135"/>
    </w:p>
    <w:p>
      <w:pPr>
        <w:spacing w:after="120" w:line="312"/>
        <w:ind w:firstLine="480"/>
        <w:jc w:val="both"/>
      </w:pPr>
      <w:r>
        <w:rPr>
          <w:rFonts w:ascii="SimSun" w:eastAsia="SimSun"/>
          <w:color w:val="2d3748"/>
          <w:sz w:val="24"/>
          <w:szCs w:val="24"/>
        </w:rPr>
        <w:t xml:space="preserve">SOC investment ROI derives from multiple value streams difficult to quantify precisely but collectively compelling. Avoided breach costs represent primary quantifiable benefit; average significant breach exceeds $4 million globally including detection, response, notification, and reputation impact. Insurance premium reduction for organizations with mature SOC coverage. Compliance cost avoidance through centralized capability vs. individual organization efforts. Operational efficiency gains from automation vs. manual processes. National economic resilience through protected critical infrastructure. International credibility and relationship value. Workforce development creating national cybersecurity expertise pool.</w:t>
      </w:r>
    </w:p>
    <w:p>
      <w:pPr>
        <w:pStyle w:val="Heading1"/>
        <w:spacing w:after="200" w:before="400"/>
      </w:pPr>
      <w:bookmarkStart w:id="100136" w:name="_Toc100136"/>
      <w:r>
        <w:rPr>
          <w:rFonts w:ascii="SimHei" w:eastAsia="SimHei"/>
          <w:b/>
          <w:bCs/>
          <w:color w:val="1a365d"/>
          <w:sz w:val="32"/>
          <w:szCs w:val="32"/>
        </w:rPr>
        <w:t xml:space="preserve">Risk Management &amp; Mitigation</w:t>
      </w:r>
      <w:bookmarkEnd w:id="100136"/>
    </w:p>
    <w:p>
      <w:pPr>
        <w:pStyle w:val="Heading2"/>
        <w:spacing w:after="150" w:before="300"/>
      </w:pPr>
      <w:bookmarkStart w:id="100137" w:name="_Toc100137"/>
      <w:r>
        <w:rPr>
          <w:rFonts w:ascii="SimHei" w:eastAsia="SimHei"/>
          <w:b/>
          <w:bCs/>
          <w:color w:val="1a365d"/>
          <w:sz w:val="28"/>
          <w:szCs w:val="28"/>
        </w:rPr>
        <w:t xml:space="preserve">Implementation Risks</w:t>
      </w:r>
      <w:bookmarkEnd w:id="100137"/>
    </w:p>
    <w:p>
      <w:pPr>
        <w:pStyle w:val="Heading3"/>
        <w:spacing w:after="120" w:before="240"/>
      </w:pPr>
      <w:bookmarkStart w:id="100138" w:name="_Toc100138"/>
      <w:r>
        <w:rPr>
          <w:rFonts w:ascii="SimHei" w:eastAsia="SimHei"/>
          <w:b/>
          <w:bCs/>
          <w:color w:val="4a5568"/>
          <w:sz w:val="24"/>
          <w:szCs w:val="24"/>
        </w:rPr>
        <w:t xml:space="preserve">Risk: Technology Integration Failure</w:t>
      </w:r>
      <w:bookmarkEnd w:id="100138"/>
    </w:p>
    <w:p>
      <w:pPr>
        <w:spacing w:after="120" w:line="312"/>
        <w:ind w:firstLine="480"/>
        <w:jc w:val="both"/>
      </w:pPr>
      <w:r>
        <w:rPr>
          <w:rFonts w:ascii="SimSun" w:eastAsia="SimSun"/>
          <w:color w:val="2d3748"/>
          <w:sz w:val="24"/>
          <w:szCs w:val="24"/>
        </w:rPr>
        <w:t xml:space="preserve">Description: Selected platform components fail to integrate effectively, causing data gaps, delayed detection, or operational inefficiencies. Likelihood: Medium. Impact: High. Mitigation: Conduct proof-of-concept evaluations before commitment, select vendors with proven integration track record, retain integration expertise through professional services engagement, define integration acceptance criteria contractually, maintain fallback options for critical integrations.</w:t>
      </w:r>
    </w:p>
    <w:p>
      <w:pPr>
        <w:pStyle w:val="Heading3"/>
        <w:spacing w:after="120" w:before="240"/>
      </w:pPr>
      <w:bookmarkStart w:id="100139" w:name="_Toc100139"/>
      <w:r>
        <w:rPr>
          <w:rFonts w:ascii="SimHei" w:eastAsia="SimHei"/>
          <w:b/>
          <w:bCs/>
          <w:color w:val="4a5568"/>
          <w:sz w:val="24"/>
          <w:szCs w:val="24"/>
        </w:rPr>
        <w:t xml:space="preserve">Risk: Talent Acquisition Challenges</w:t>
      </w:r>
      <w:bookmarkEnd w:id="100139"/>
    </w:p>
    <w:p>
      <w:pPr>
        <w:spacing w:after="120" w:line="312"/>
        <w:ind w:firstLine="480"/>
        <w:jc w:val="both"/>
      </w:pPr>
      <w:r>
        <w:rPr>
          <w:rFonts w:ascii="SimSun" w:eastAsia="SimSun"/>
          <w:color w:val="2d3748"/>
          <w:sz w:val="24"/>
          <w:szCs w:val="24"/>
        </w:rPr>
        <w:t xml:space="preserve">Description: Unable to recruit sufficient qualified personnel, delaying capability maturation or forcing quality compromises. Likelihood: High. Impact: High. Mitigation: Develop compelling employer brand emphasizing mission importance and professional growth, offer competitive compensation benchmarked against market, invest in training programs developing junior talent, engage specialized recruiters with cybersecurity focus, consider remote work options expanding candidate geography, partner with universities developing pipeline.</w:t>
      </w:r>
    </w:p>
    <w:p>
      <w:pPr>
        <w:pStyle w:val="Heading3"/>
        <w:spacing w:after="120" w:before="240"/>
      </w:pPr>
      <w:bookmarkStart w:id="100140" w:name="_Toc100140"/>
      <w:r>
        <w:rPr>
          <w:rFonts w:ascii="SimHei" w:eastAsia="SimHei"/>
          <w:b/>
          <w:bCs/>
          <w:color w:val="4a5568"/>
          <w:sz w:val="24"/>
          <w:szCs w:val="24"/>
        </w:rPr>
        <w:t xml:space="preserve">Risk: Scope Creep</w:t>
      </w:r>
      <w:bookmarkEnd w:id="100140"/>
    </w:p>
    <w:p>
      <w:pPr>
        <w:spacing w:after="120" w:line="312"/>
        <w:ind w:firstLine="480"/>
        <w:jc w:val="both"/>
      </w:pPr>
      <w:r>
        <w:rPr>
          <w:rFonts w:ascii="SimSun" w:eastAsia="SimSun"/>
          <w:color w:val="2d3748"/>
          <w:sz w:val="24"/>
          <w:szCs w:val="24"/>
        </w:rPr>
        <w:t xml:space="preserve">Description: Stakeholder demands expand scope beyond planned capacity, stretching resources thin and degrading service quality. Likelihood: Medium. Impact: Medium. Mitigation: Define clear scope boundaries in charter and contracts, establish formal change request process for scope additions, prioritize ruthlessly deferring lower-value additions, communicate capacity constraints transparently, charge appropriately for scope increases requiring resources.</w:t>
      </w:r>
    </w:p>
    <w:p>
      <w:pPr>
        <w:pStyle w:val="Heading2"/>
        <w:spacing w:after="150" w:before="300"/>
      </w:pPr>
      <w:bookmarkStart w:id="100141" w:name="_Toc100141"/>
      <w:r>
        <w:rPr>
          <w:rFonts w:ascii="SimHei" w:eastAsia="SimHei"/>
          <w:b/>
          <w:bCs/>
          <w:color w:val="1a365d"/>
          <w:sz w:val="28"/>
          <w:szCs w:val="28"/>
        </w:rPr>
        <w:t xml:space="preserve">Operational Risks</w:t>
      </w:r>
      <w:bookmarkEnd w:id="100141"/>
    </w:p>
    <w:p>
      <w:pPr>
        <w:pStyle w:val="Heading3"/>
        <w:spacing w:after="120" w:before="240"/>
      </w:pPr>
      <w:bookmarkStart w:id="100142" w:name="_Toc100142"/>
      <w:r>
        <w:rPr>
          <w:rFonts w:ascii="SimHei" w:eastAsia="SimHei"/>
          <w:b/>
          <w:bCs/>
          <w:color w:val="4a5568"/>
          <w:sz w:val="24"/>
          <w:szCs w:val="24"/>
        </w:rPr>
        <w:t xml:space="preserve">Risk: Analyst Burnout</w:t>
      </w:r>
      <w:bookmarkEnd w:id="100142"/>
    </w:p>
    <w:p>
      <w:pPr>
        <w:spacing w:after="120" w:line="312"/>
        <w:ind w:firstLine="480"/>
        <w:jc w:val="both"/>
      </w:pPr>
      <w:r>
        <w:rPr>
          <w:rFonts w:ascii="SimSun" w:eastAsia="SimSun"/>
          <w:color w:val="2d3748"/>
          <w:sz w:val="24"/>
          <w:szCs w:val="24"/>
        </w:rPr>
        <w:t xml:space="preserve">Description: High-stress 24/7 operations environment leads to turnover, errors, and knowledge loss. Likelihood: High. Impact: High. Mitigation: Design sustainable shift rotations with adequate rest, vary work assignments preventing monotony, provide mental health support and stress management resources, maintain adequate staffing allowing reasonable workload, recognize and reward contributions meaningfully, foster supportive team culture.</w:t>
      </w:r>
    </w:p>
    <w:p>
      <w:pPr>
        <w:pStyle w:val="Heading3"/>
        <w:spacing w:after="120" w:before="240"/>
      </w:pPr>
      <w:bookmarkStart w:id="100143" w:name="_Toc100143"/>
      <w:r>
        <w:rPr>
          <w:rFonts w:ascii="SimHei" w:eastAsia="SimHei"/>
          <w:b/>
          <w:bCs/>
          <w:color w:val="4a5568"/>
          <w:sz w:val="24"/>
          <w:szCs w:val="24"/>
        </w:rPr>
        <w:t xml:space="preserve">Risk: False Positive Fatigue</w:t>
      </w:r>
      <w:bookmarkEnd w:id="100143"/>
    </w:p>
    <w:p>
      <w:pPr>
        <w:spacing w:after="120" w:line="312"/>
        <w:ind w:firstLine="480"/>
        <w:jc w:val="both"/>
      </w:pPr>
      <w:r>
        <w:rPr>
          <w:rFonts w:ascii="SimSun" w:eastAsia="SimSun"/>
          <w:color w:val="2d3748"/>
          <w:sz w:val="24"/>
          <w:szCs w:val="24"/>
        </w:rPr>
        <w:t xml:space="preserve">Description: High volumes of false positive alerts desensitize analysts, causing real threats to be missed. Likelihood: Medium. Impact: High. Mitigation: Invest heavily in detection tuning from day one, establish systematic false positive feedback loop, track and publicly display false positive metrics, implement alert deduplication and correlation reducing noise, set quality targets holding detection content developers accountable.</w:t>
      </w:r>
    </w:p>
    <w:p>
      <w:pPr>
        <w:pStyle w:val="Heading3"/>
        <w:spacing w:after="120" w:before="240"/>
      </w:pPr>
      <w:bookmarkStart w:id="100144" w:name="_Toc100144"/>
      <w:r>
        <w:rPr>
          <w:rFonts w:ascii="SimHei" w:eastAsia="SimHei"/>
          <w:b/>
          <w:bCs/>
          <w:color w:val="4a5568"/>
          <w:sz w:val="24"/>
          <w:szCs w:val="24"/>
        </w:rPr>
        <w:t xml:space="preserve">Risk: Vendor Lock-In</w:t>
      </w:r>
      <w:bookmarkEnd w:id="100144"/>
    </w:p>
    <w:p>
      <w:pPr>
        <w:spacing w:after="120" w:line="312"/>
        <w:ind w:firstLine="480"/>
        <w:jc w:val="both"/>
      </w:pPr>
      <w:r>
        <w:rPr>
          <w:rFonts w:ascii="SimSun" w:eastAsia="SimSun"/>
          <w:color w:val="2d3748"/>
          <w:sz w:val="24"/>
          <w:szCs w:val="24"/>
        </w:rPr>
        <w:t xml:space="preserve">Description: Heavy dependence on single vendor creates leverage imbalance, limits options, and risks service disruption. Likelihood: Medium. Impact: Medium. Mitigation: Prefer open standards and APIs where possible, avoid excessive customization tying to specific platform, maintain documentation enabling transition if needed, negotiate favorable contract terms including exit provisions, diversify across vendors where practical.</w:t>
      </w:r>
    </w:p>
    <w:p>
      <w:pPr>
        <w:pStyle w:val="Heading2"/>
        <w:spacing w:after="150" w:before="300"/>
      </w:pPr>
      <w:bookmarkStart w:id="100145" w:name="_Toc100145"/>
      <w:r>
        <w:rPr>
          <w:rFonts w:ascii="SimHei" w:eastAsia="SimHei"/>
          <w:b/>
          <w:bCs/>
          <w:color w:val="1a365d"/>
          <w:sz w:val="28"/>
          <w:szCs w:val="28"/>
        </w:rPr>
        <w:t xml:space="preserve">Business Continuity</w:t>
      </w:r>
      <w:bookmarkEnd w:id="100145"/>
    </w:p>
    <w:p>
      <w:pPr>
        <w:spacing w:after="120" w:line="312"/>
        <w:ind w:firstLine="480"/>
        <w:jc w:val="both"/>
      </w:pPr>
      <w:r>
        <w:rPr>
          <w:rFonts w:ascii="SimSun" w:eastAsia="SimSun"/>
          <w:color w:val="2d3748"/>
          <w:sz w:val="24"/>
          <w:szCs w:val="24"/>
        </w:rPr>
        <w:t xml:space="preserve">The SOC itself must maintain operations despite disruptions. Business continuity measures include redundant facilities with synchronized data and documented failover procedures tested quarterly, cross-trained personnel able to cover critical functions during absences, documented procedures enabling backup personnel effectiveness, vendor SLAs with penalties for service disruption, crisis communication plans for stakeholder notification, and cyber resilience measures protecting SOC systems from compromise.</w:t>
      </w:r>
    </w:p>
    <w:p>
      <w:pPr>
        <w:pStyle w:val="Heading1"/>
        <w:spacing w:after="200" w:before="400"/>
      </w:pPr>
      <w:bookmarkStart w:id="100146" w:name="_Toc100146"/>
      <w:r>
        <w:rPr>
          <w:rFonts w:ascii="SimHei" w:eastAsia="SimHei"/>
          <w:b/>
          <w:bCs/>
          <w:color w:val="1a365d"/>
          <w:sz w:val="32"/>
          <w:szCs w:val="32"/>
        </w:rPr>
        <w:t xml:space="preserve">KPIs &amp; Success Metrics</w:t>
      </w:r>
      <w:bookmarkEnd w:id="100146"/>
    </w:p>
    <w:p>
      <w:pPr>
        <w:pStyle w:val="Heading2"/>
        <w:spacing w:after="150" w:before="300"/>
      </w:pPr>
      <w:bookmarkStart w:id="100147" w:name="_Toc100147"/>
      <w:r>
        <w:rPr>
          <w:rFonts w:ascii="SimHei" w:eastAsia="SimHei"/>
          <w:b/>
          <w:bCs/>
          <w:color w:val="1a365d"/>
          <w:sz w:val="28"/>
          <w:szCs w:val="28"/>
        </w:rPr>
        <w:t xml:space="preserve">Operational KPIs</w:t>
      </w:r>
      <w:bookmarkEnd w:id="100147"/>
    </w:p>
    <w:p>
      <w:pPr>
        <w:spacing w:after="120" w:line="312"/>
        <w:ind w:firstLine="480"/>
        <w:jc w:val="both"/>
      </w:pPr>
      <w:r>
        <w:rPr>
          <w:rFonts w:ascii="SimSun" w:eastAsia="SimSun"/>
          <w:color w:val="2d3748"/>
          <w:sz w:val="24"/>
          <w:szCs w:val="24"/>
        </w:rPr>
        <w:t xml:space="preserve">Operational KPIs measure day-to-day SOC performance, enabling management identification of issues and demonstration of value. Targets reflect best-in-class benchmarks while acknowledging realistic progression from initial operation.</w:t>
      </w:r>
    </w:p>
    <w:tbl>
      <w:tblPr>
        <w:tblW w:type="pct" w:w="100%"/>
        <w:tblBorders>
          <w:top w:val="single" w:color="CBD5E0" w:sz="1"/>
          <w:left w:val="single" w:color="CBD5E0" w:sz="1"/>
          <w:bottom w:val="single" w:color="CBD5E0" w:sz="1"/>
          <w:right w:val="single" w:color="CBD5E0" w:sz="1"/>
          <w:insideH w:val="single" w:color="E2E8F0" w:sz="1"/>
          <w:insideV w:val="single" w:color="E2E8F0" w:sz="1"/>
        </w:tblBorders>
      </w:tblPr>
      <w:tblGrid>
        <w:gridCol w:w="100"/>
        <w:gridCol w:w="100"/>
        <w:gridCol w:w="100"/>
        <w:gridCol w:w="100"/>
        <w:gridCol w:w="100"/>
      </w:tblGrid>
      <w:tr>
        <w:trPr>
          <w:cantSplit/>
          <w:tblHeader/>
        </w:trPr>
        <w:tc>
          <w:tcPr>
            <w:tcW w:type="pct" w:w="22%"/>
            <w:shd w:fill="1a365d" w:val="clear"/>
            <w:tcMar>
              <w:top w:type="dxa" w:w="80"/>
              <w:left w:type="dxa" w:w="120"/>
              <w:bottom w:type="dxa" w:w="80"/>
              <w:right w:type="dxa" w:w="120"/>
            </w:tcMar>
          </w:tcPr>
          <w:p>
            <w:pPr>
              <w:jc w:val="center"/>
            </w:pPr>
            <w:r>
              <w:rPr>
                <w:rFonts w:ascii="SimHei" w:eastAsia="SimHei"/>
                <w:b/>
                <w:bCs/>
                <w:color w:val="FFFFFF"/>
                <w:sz w:val="21"/>
                <w:szCs w:val="21"/>
              </w:rPr>
              <w:t xml:space="preserve">KPI</w:t>
            </w:r>
          </w:p>
        </w:tc>
        <w:tc>
          <w:tcPr>
            <w:tcW w:type="pct" w:w="30%"/>
            <w:shd w:fill="1a365d" w:val="clear"/>
            <w:tcMar>
              <w:top w:type="dxa" w:w="80"/>
              <w:left w:type="dxa" w:w="120"/>
              <w:bottom w:type="dxa" w:w="80"/>
              <w:right w:type="dxa" w:w="120"/>
            </w:tcMar>
          </w:tcPr>
          <w:p>
            <w:pPr>
              <w:jc w:val="center"/>
            </w:pPr>
            <w:r>
              <w:rPr>
                <w:rFonts w:ascii="SimHei" w:eastAsia="SimHei"/>
                <w:b/>
                <w:bCs/>
                <w:color w:val="FFFFFF"/>
                <w:sz w:val="21"/>
                <w:szCs w:val="21"/>
              </w:rPr>
              <w:t xml:space="preserve">Definition</w:t>
            </w:r>
          </w:p>
        </w:tc>
        <w:tc>
          <w:tcPr>
            <w:tcW w:type="pct" w:w="16%"/>
            <w:shd w:fill="1a365d" w:val="clear"/>
            <w:tcMar>
              <w:top w:type="dxa" w:w="80"/>
              <w:left w:type="dxa" w:w="120"/>
              <w:bottom w:type="dxa" w:w="80"/>
              <w:right w:type="dxa" w:w="120"/>
            </w:tcMar>
          </w:tcPr>
          <w:p>
            <w:pPr>
              <w:jc w:val="center"/>
            </w:pPr>
            <w:r>
              <w:rPr>
                <w:rFonts w:ascii="SimHei" w:eastAsia="SimHei"/>
                <w:b/>
                <w:bCs/>
                <w:color w:val="FFFFFF"/>
                <w:sz w:val="21"/>
                <w:szCs w:val="21"/>
              </w:rPr>
              <w:t xml:space="preserve">Target (Year 1)</w:t>
            </w:r>
          </w:p>
        </w:tc>
        <w:tc>
          <w:tcPr>
            <w:tcW w:type="pct" w:w="16%"/>
            <w:shd w:fill="1a365d" w:val="clear"/>
            <w:tcMar>
              <w:top w:type="dxa" w:w="80"/>
              <w:left w:type="dxa" w:w="120"/>
              <w:bottom w:type="dxa" w:w="80"/>
              <w:right w:type="dxa" w:w="120"/>
            </w:tcMar>
          </w:tcPr>
          <w:p>
            <w:pPr>
              <w:jc w:val="center"/>
            </w:pPr>
            <w:r>
              <w:rPr>
                <w:rFonts w:ascii="SimHei" w:eastAsia="SimHei"/>
                <w:b/>
                <w:bCs/>
                <w:color w:val="FFFFFF"/>
                <w:sz w:val="21"/>
                <w:szCs w:val="21"/>
              </w:rPr>
              <w:t xml:space="preserve">Target (Year 3)</w:t>
            </w:r>
          </w:p>
        </w:tc>
        <w:tc>
          <w:tcPr>
            <w:tcW w:type="pct" w:w="16%"/>
            <w:shd w:fill="1a365d" w:val="clear"/>
            <w:tcMar>
              <w:top w:type="dxa" w:w="80"/>
              <w:left w:type="dxa" w:w="120"/>
              <w:bottom w:type="dxa" w:w="80"/>
              <w:right w:type="dxa" w:w="120"/>
            </w:tcMar>
          </w:tcPr>
          <w:p>
            <w:pPr>
              <w:jc w:val="center"/>
            </w:pPr>
            <w:r>
              <w:rPr>
                <w:rFonts w:ascii="SimHei" w:eastAsia="SimHei"/>
                <w:b/>
                <w:bCs/>
                <w:color w:val="FFFFFF"/>
                <w:sz w:val="21"/>
                <w:szCs w:val="21"/>
              </w:rPr>
              <w:t xml:space="preserve">Target (Year 5)</w:t>
            </w:r>
          </w:p>
        </w:tc>
      </w:tr>
      <w:tr>
        <w:trPr>
          <w:cantSplit/>
        </w:trPr>
        <w:tc>
          <w:tcPr>
            <w:tcW w:type="pct" w:w="22%"/>
            <w:tcMar>
              <w:top w:type="dxa" w:w="60"/>
              <w:left w:type="dxa" w:w="100"/>
              <w:bottom w:type="dxa" w:w="60"/>
              <w:right w:type="dxa" w:w="100"/>
            </w:tcMar>
          </w:tcPr>
          <w:p>
            <w:r>
              <w:rPr>
                <w:rFonts w:ascii="SimSun" w:eastAsia="SimSun"/>
                <w:color w:val="2d3748"/>
                <w:sz w:val="21"/>
                <w:szCs w:val="21"/>
              </w:rPr>
              <w:t xml:space="preserve">Mean Time to Detect (MTTD)</w:t>
            </w:r>
          </w:p>
        </w:tc>
        <w:tc>
          <w:tcPr>
            <w:tcW w:type="pct" w:w="30%"/>
            <w:tcMar>
              <w:top w:type="dxa" w:w="60"/>
              <w:left w:type="dxa" w:w="100"/>
              <w:bottom w:type="dxa" w:w="60"/>
              <w:right w:type="dxa" w:w="100"/>
            </w:tcMar>
          </w:tcPr>
          <w:p>
            <w:r>
              <w:rPr>
                <w:rFonts w:ascii="SimSun" w:eastAsia="SimSun"/>
                <w:color w:val="2d3748"/>
                <w:sz w:val="21"/>
                <w:szCs w:val="21"/>
              </w:rPr>
              <w:t xml:space="preserve">Time from occurrence to alert creation</w:t>
            </w:r>
          </w:p>
        </w:tc>
        <w:tc>
          <w:tcPr>
            <w:tcW w:type="pct" w:w="16%"/>
            <w:tcMar>
              <w:top w:type="dxa" w:w="60"/>
              <w:left w:type="dxa" w:w="100"/>
              <w:bottom w:type="dxa" w:w="60"/>
              <w:right w:type="dxa" w:w="100"/>
            </w:tcMar>
          </w:tcPr>
          <w:p>
            <w:r>
              <w:rPr>
                <w:rFonts w:ascii="SimSun" w:eastAsia="SimSun"/>
                <w:color w:val="2d3748"/>
                <w:sz w:val="21"/>
                <w:szCs w:val="21"/>
              </w:rPr>
              <w:t xml:space="preserve">&lt; 30 min</w:t>
            </w:r>
          </w:p>
        </w:tc>
        <w:tc>
          <w:tcPr>
            <w:tcW w:type="pct" w:w="16%"/>
            <w:tcMar>
              <w:top w:type="dxa" w:w="60"/>
              <w:left w:type="dxa" w:w="100"/>
              <w:bottom w:type="dxa" w:w="60"/>
              <w:right w:type="dxa" w:w="100"/>
            </w:tcMar>
          </w:tcPr>
          <w:p>
            <w:r>
              <w:rPr>
                <w:rFonts w:ascii="SimSun" w:eastAsia="SimSun"/>
                <w:color w:val="2d3748"/>
                <w:sz w:val="21"/>
                <w:szCs w:val="21"/>
              </w:rPr>
              <w:t xml:space="preserve">&lt; 10 min</w:t>
            </w:r>
          </w:p>
        </w:tc>
        <w:tc>
          <w:tcPr>
            <w:tcW w:type="pct" w:w="16%"/>
            <w:tcMar>
              <w:top w:type="dxa" w:w="60"/>
              <w:left w:type="dxa" w:w="100"/>
              <w:bottom w:type="dxa" w:w="60"/>
              <w:right w:type="dxa" w:w="100"/>
            </w:tcMar>
          </w:tcPr>
          <w:p>
            <w:r>
              <w:rPr>
                <w:rFonts w:ascii="SimSun" w:eastAsia="SimSun"/>
                <w:color w:val="2d3748"/>
                <w:sz w:val="21"/>
                <w:szCs w:val="21"/>
              </w:rPr>
              <w:t xml:space="preserve">&lt; 5 min</w:t>
            </w:r>
          </w:p>
        </w:tc>
      </w:tr>
      <w:tr>
        <w:trPr>
          <w:cantSplit/>
        </w:trPr>
        <w:tc>
          <w:tcPr>
            <w:tcW w:type="pct" w:w="22%"/>
            <w:tcMar>
              <w:top w:type="dxa" w:w="60"/>
              <w:left w:type="dxa" w:w="100"/>
              <w:bottom w:type="dxa" w:w="60"/>
              <w:right w:type="dxa" w:w="100"/>
            </w:tcMar>
          </w:tcPr>
          <w:p>
            <w:r>
              <w:rPr>
                <w:rFonts w:ascii="SimSun" w:eastAsia="SimSun"/>
                <w:color w:val="2d3748"/>
                <w:sz w:val="21"/>
                <w:szCs w:val="21"/>
              </w:rPr>
              <w:t xml:space="preserve">Mean Time to Acknowledge</w:t>
            </w:r>
          </w:p>
        </w:tc>
        <w:tc>
          <w:tcPr>
            <w:tcW w:type="pct" w:w="30%"/>
            <w:tcMar>
              <w:top w:type="dxa" w:w="60"/>
              <w:left w:type="dxa" w:w="100"/>
              <w:bottom w:type="dxa" w:w="60"/>
              <w:right w:type="dxa" w:w="100"/>
            </w:tcMar>
          </w:tcPr>
          <w:p>
            <w:r>
              <w:rPr>
                <w:rFonts w:ascii="SimSun" w:eastAsia="SimSun"/>
                <w:color w:val="2d3748"/>
                <w:sz w:val="21"/>
                <w:szCs w:val="21"/>
              </w:rPr>
              <w:t xml:space="preserve">Time from alert to analyst action</w:t>
            </w:r>
          </w:p>
        </w:tc>
        <w:tc>
          <w:tcPr>
            <w:tcW w:type="pct" w:w="16%"/>
            <w:tcMar>
              <w:top w:type="dxa" w:w="60"/>
              <w:left w:type="dxa" w:w="100"/>
              <w:bottom w:type="dxa" w:w="60"/>
              <w:right w:type="dxa" w:w="100"/>
            </w:tcMar>
          </w:tcPr>
          <w:p>
            <w:r>
              <w:rPr>
                <w:rFonts w:ascii="SimSun" w:eastAsia="SimSun"/>
                <w:color w:val="2d3748"/>
                <w:sz w:val="21"/>
                <w:szCs w:val="21"/>
              </w:rPr>
              <w:t xml:space="preserve">&lt; 15 min</w:t>
            </w:r>
          </w:p>
        </w:tc>
        <w:tc>
          <w:tcPr>
            <w:tcW w:type="pct" w:w="16%"/>
            <w:tcMar>
              <w:top w:type="dxa" w:w="60"/>
              <w:left w:type="dxa" w:w="100"/>
              <w:bottom w:type="dxa" w:w="60"/>
              <w:right w:type="dxa" w:w="100"/>
            </w:tcMar>
          </w:tcPr>
          <w:p>
            <w:r>
              <w:rPr>
                <w:rFonts w:ascii="SimSun" w:eastAsia="SimSun"/>
                <w:color w:val="2d3748"/>
                <w:sz w:val="21"/>
                <w:szCs w:val="21"/>
              </w:rPr>
              <w:t xml:space="preserve">&lt; 5 min</w:t>
            </w:r>
          </w:p>
        </w:tc>
        <w:tc>
          <w:tcPr>
            <w:tcW w:type="pct" w:w="16%"/>
            <w:tcMar>
              <w:top w:type="dxa" w:w="60"/>
              <w:left w:type="dxa" w:w="100"/>
              <w:bottom w:type="dxa" w:w="60"/>
              <w:right w:type="dxa" w:w="100"/>
            </w:tcMar>
          </w:tcPr>
          <w:p>
            <w:r>
              <w:rPr>
                <w:rFonts w:ascii="SimSun" w:eastAsia="SimSun"/>
                <w:color w:val="2d3748"/>
                <w:sz w:val="21"/>
                <w:szCs w:val="21"/>
              </w:rPr>
              <w:t xml:space="preserve">&lt; 2 min</w:t>
            </w:r>
          </w:p>
        </w:tc>
      </w:tr>
      <w:tr>
        <w:trPr>
          <w:cantSplit/>
        </w:trPr>
        <w:tc>
          <w:tcPr>
            <w:tcW w:type="pct" w:w="22%"/>
            <w:tcMar>
              <w:top w:type="dxa" w:w="60"/>
              <w:left w:type="dxa" w:w="100"/>
              <w:bottom w:type="dxa" w:w="60"/>
              <w:right w:type="dxa" w:w="100"/>
            </w:tcMar>
          </w:tcPr>
          <w:p>
            <w:r>
              <w:rPr>
                <w:rFonts w:ascii="SimSun" w:eastAsia="SimSun"/>
                <w:color w:val="2d3748"/>
                <w:sz w:val="21"/>
                <w:szCs w:val="21"/>
              </w:rPr>
              <w:t xml:space="preserve">Mean Time to Respond (MTTR)</w:t>
            </w:r>
          </w:p>
        </w:tc>
        <w:tc>
          <w:tcPr>
            <w:tcW w:type="pct" w:w="30%"/>
            <w:tcMar>
              <w:top w:type="dxa" w:w="60"/>
              <w:left w:type="dxa" w:w="100"/>
              <w:bottom w:type="dxa" w:w="60"/>
              <w:right w:type="dxa" w:w="100"/>
            </w:tcMar>
          </w:tcPr>
          <w:p>
            <w:r>
              <w:rPr>
                <w:rFonts w:ascii="SimSun" w:eastAsia="SimSun"/>
                <w:color w:val="2d3748"/>
                <w:sz w:val="21"/>
                <w:szCs w:val="21"/>
              </w:rPr>
              <w:t xml:space="preserve">Time from alert to initial containment</w:t>
            </w:r>
          </w:p>
        </w:tc>
        <w:tc>
          <w:tcPr>
            <w:tcW w:type="pct" w:w="16%"/>
            <w:tcMar>
              <w:top w:type="dxa" w:w="60"/>
              <w:left w:type="dxa" w:w="100"/>
              <w:bottom w:type="dxa" w:w="60"/>
              <w:right w:type="dxa" w:w="100"/>
            </w:tcMar>
          </w:tcPr>
          <w:p>
            <w:r>
              <w:rPr>
                <w:rFonts w:ascii="SimSun" w:eastAsia="SimSun"/>
                <w:color w:val="2d3748"/>
                <w:sz w:val="21"/>
                <w:szCs w:val="21"/>
              </w:rPr>
              <w:t xml:space="preserve">&lt; 4 hours</w:t>
            </w:r>
          </w:p>
        </w:tc>
        <w:tc>
          <w:tcPr>
            <w:tcW w:type="pct" w:w="16%"/>
            <w:tcMar>
              <w:top w:type="dxa" w:w="60"/>
              <w:left w:type="dxa" w:w="100"/>
              <w:bottom w:type="dxa" w:w="60"/>
              <w:right w:type="dxa" w:w="100"/>
            </w:tcMar>
          </w:tcPr>
          <w:p>
            <w:r>
              <w:rPr>
                <w:rFonts w:ascii="SimSun" w:eastAsia="SimSun"/>
                <w:color w:val="2d3748"/>
                <w:sz w:val="21"/>
                <w:szCs w:val="21"/>
              </w:rPr>
              <w:t xml:space="preserve">&lt; 1 hour</w:t>
            </w:r>
          </w:p>
        </w:tc>
        <w:tc>
          <w:tcPr>
            <w:tcW w:type="pct" w:w="16%"/>
            <w:tcMar>
              <w:top w:type="dxa" w:w="60"/>
              <w:left w:type="dxa" w:w="100"/>
              <w:bottom w:type="dxa" w:w="60"/>
              <w:right w:type="dxa" w:w="100"/>
            </w:tcMar>
          </w:tcPr>
          <w:p>
            <w:r>
              <w:rPr>
                <w:rFonts w:ascii="SimSun" w:eastAsia="SimSun"/>
                <w:color w:val="2d3748"/>
                <w:sz w:val="21"/>
                <w:szCs w:val="21"/>
              </w:rPr>
              <w:t xml:space="preserve">&lt; 15 min</w:t>
            </w:r>
          </w:p>
        </w:tc>
      </w:tr>
      <w:tr>
        <w:trPr>
          <w:cantSplit/>
        </w:trPr>
        <w:tc>
          <w:tcPr>
            <w:tcW w:type="pct" w:w="22%"/>
            <w:tcMar>
              <w:top w:type="dxa" w:w="60"/>
              <w:left w:type="dxa" w:w="100"/>
              <w:bottom w:type="dxa" w:w="60"/>
              <w:right w:type="dxa" w:w="100"/>
            </w:tcMar>
          </w:tcPr>
          <w:p>
            <w:r>
              <w:rPr>
                <w:rFonts w:ascii="SimSun" w:eastAsia="SimSun"/>
                <w:color w:val="2d3748"/>
                <w:sz w:val="21"/>
                <w:szCs w:val="21"/>
              </w:rPr>
              <w:t xml:space="preserve">False Positive Rate</w:t>
            </w:r>
          </w:p>
        </w:tc>
        <w:tc>
          <w:tcPr>
            <w:tcW w:type="pct" w:w="30%"/>
            <w:tcMar>
              <w:top w:type="dxa" w:w="60"/>
              <w:left w:type="dxa" w:w="100"/>
              <w:bottom w:type="dxa" w:w="60"/>
              <w:right w:type="dxa" w:w="100"/>
            </w:tcMar>
          </w:tcPr>
          <w:p>
            <w:r>
              <w:rPr>
                <w:rFonts w:ascii="SimSun" w:eastAsia="SimSun"/>
                <w:color w:val="2d3748"/>
                <w:sz w:val="21"/>
                <w:szCs w:val="21"/>
              </w:rPr>
              <w:t xml:space="preserve">% of alerts determined benign</w:t>
            </w:r>
          </w:p>
        </w:tc>
        <w:tc>
          <w:tcPr>
            <w:tcW w:type="pct" w:w="16%"/>
            <w:tcMar>
              <w:top w:type="dxa" w:w="60"/>
              <w:left w:type="dxa" w:w="100"/>
              <w:bottom w:type="dxa" w:w="60"/>
              <w:right w:type="dxa" w:w="100"/>
            </w:tcMar>
          </w:tcPr>
          <w:p>
            <w:r>
              <w:rPr>
                <w:rFonts w:ascii="SimSun" w:eastAsia="SimSun"/>
                <w:color w:val="2d3748"/>
                <w:sz w:val="21"/>
                <w:szCs w:val="21"/>
              </w:rPr>
              <w:t xml:space="preserve">&lt; 10%</w:t>
            </w:r>
          </w:p>
        </w:tc>
        <w:tc>
          <w:tcPr>
            <w:tcW w:type="pct" w:w="16%"/>
            <w:tcMar>
              <w:top w:type="dxa" w:w="60"/>
              <w:left w:type="dxa" w:w="100"/>
              <w:bottom w:type="dxa" w:w="60"/>
              <w:right w:type="dxa" w:w="100"/>
            </w:tcMar>
          </w:tcPr>
          <w:p>
            <w:r>
              <w:rPr>
                <w:rFonts w:ascii="SimSun" w:eastAsia="SimSun"/>
                <w:color w:val="2d3748"/>
                <w:sz w:val="21"/>
                <w:szCs w:val="21"/>
              </w:rPr>
              <w:t xml:space="preserve">&lt; 5%</w:t>
            </w:r>
          </w:p>
        </w:tc>
        <w:tc>
          <w:tcPr>
            <w:tcW w:type="pct" w:w="16%"/>
            <w:tcMar>
              <w:top w:type="dxa" w:w="60"/>
              <w:left w:type="dxa" w:w="100"/>
              <w:bottom w:type="dxa" w:w="60"/>
              <w:right w:type="dxa" w:w="100"/>
            </w:tcMar>
          </w:tcPr>
          <w:p>
            <w:r>
              <w:rPr>
                <w:rFonts w:ascii="SimSun" w:eastAsia="SimSun"/>
                <w:color w:val="2d3748"/>
                <w:sz w:val="21"/>
                <w:szCs w:val="21"/>
              </w:rPr>
              <w:t xml:space="preserve">&lt; 3%</w:t>
            </w:r>
          </w:p>
        </w:tc>
      </w:tr>
      <w:tr>
        <w:trPr>
          <w:cantSplit/>
        </w:trPr>
        <w:tc>
          <w:tcPr>
            <w:tcW w:type="pct" w:w="22%"/>
            <w:tcMar>
              <w:top w:type="dxa" w:w="60"/>
              <w:left w:type="dxa" w:w="100"/>
              <w:bottom w:type="dxa" w:w="60"/>
              <w:right w:type="dxa" w:w="100"/>
            </w:tcMar>
          </w:tcPr>
          <w:p>
            <w:r>
              <w:rPr>
                <w:rFonts w:ascii="SimSun" w:eastAsia="SimSun"/>
                <w:color w:val="2d3748"/>
                <w:sz w:val="21"/>
                <w:szCs w:val="21"/>
              </w:rPr>
              <w:t xml:space="preserve">Automation Rate</w:t>
            </w:r>
          </w:p>
        </w:tc>
        <w:tc>
          <w:tcPr>
            <w:tcW w:type="pct" w:w="30%"/>
            <w:tcMar>
              <w:top w:type="dxa" w:w="60"/>
              <w:left w:type="dxa" w:w="100"/>
              <w:bottom w:type="dxa" w:w="60"/>
              <w:right w:type="dxa" w:w="100"/>
            </w:tcMar>
          </w:tcPr>
          <w:p>
            <w:r>
              <w:rPr>
                <w:rFonts w:ascii="SimSun" w:eastAsia="SimSun"/>
                <w:color w:val="2d3748"/>
                <w:sz w:val="21"/>
                <w:szCs w:val="21"/>
              </w:rPr>
              <w:t xml:space="preserve">% of alerts handled without human</w:t>
            </w:r>
          </w:p>
        </w:tc>
        <w:tc>
          <w:tcPr>
            <w:tcW w:type="pct" w:w="16%"/>
            <w:tcMar>
              <w:top w:type="dxa" w:w="60"/>
              <w:left w:type="dxa" w:w="100"/>
              <w:bottom w:type="dxa" w:w="60"/>
              <w:right w:type="dxa" w:w="100"/>
            </w:tcMar>
          </w:tcPr>
          <w:p>
            <w:r>
              <w:rPr>
                <w:rFonts w:ascii="SimSun" w:eastAsia="SimSun"/>
                <w:color w:val="2d3748"/>
                <w:sz w:val="21"/>
                <w:szCs w:val="21"/>
              </w:rPr>
              <w:t xml:space="preserve">&gt; 20%</w:t>
            </w:r>
          </w:p>
        </w:tc>
        <w:tc>
          <w:tcPr>
            <w:tcW w:type="pct" w:w="16%"/>
            <w:tcMar>
              <w:top w:type="dxa" w:w="60"/>
              <w:left w:type="dxa" w:w="100"/>
              <w:bottom w:type="dxa" w:w="60"/>
              <w:right w:type="dxa" w:w="100"/>
            </w:tcMar>
          </w:tcPr>
          <w:p>
            <w:r>
              <w:rPr>
                <w:rFonts w:ascii="SimSun" w:eastAsia="SimSun"/>
                <w:color w:val="2d3748"/>
                <w:sz w:val="21"/>
                <w:szCs w:val="21"/>
              </w:rPr>
              <w:t xml:space="preserve">&gt; 50%</w:t>
            </w:r>
          </w:p>
        </w:tc>
        <w:tc>
          <w:tcPr>
            <w:tcW w:type="pct" w:w="16%"/>
            <w:tcMar>
              <w:top w:type="dxa" w:w="60"/>
              <w:left w:type="dxa" w:w="100"/>
              <w:bottom w:type="dxa" w:w="60"/>
              <w:right w:type="dxa" w:w="100"/>
            </w:tcMar>
          </w:tcPr>
          <w:p>
            <w:r>
              <w:rPr>
                <w:rFonts w:ascii="SimSun" w:eastAsia="SimSun"/>
                <w:color w:val="2d3748"/>
                <w:sz w:val="21"/>
                <w:szCs w:val="21"/>
              </w:rPr>
              <w:t xml:space="preserve">&gt; 80%</w:t>
            </w:r>
          </w:p>
        </w:tc>
      </w:tr>
      <w:tr>
        <w:trPr>
          <w:cantSplit/>
        </w:trPr>
        <w:tc>
          <w:tcPr>
            <w:tcW w:type="pct" w:w="22%"/>
            <w:tcMar>
              <w:top w:type="dxa" w:w="60"/>
              <w:left w:type="dxa" w:w="100"/>
              <w:bottom w:type="dxa" w:w="60"/>
              <w:right w:type="dxa" w:w="100"/>
            </w:tcMar>
          </w:tcPr>
          <w:p>
            <w:r>
              <w:rPr>
                <w:rFonts w:ascii="SimSun" w:eastAsia="SimSun"/>
                <w:color w:val="2d3748"/>
                <w:sz w:val="21"/>
                <w:szCs w:val="21"/>
              </w:rPr>
              <w:t xml:space="preserve">Alert Volume (Daily)</w:t>
            </w:r>
          </w:p>
        </w:tc>
        <w:tc>
          <w:tcPr>
            <w:tcW w:type="pct" w:w="30%"/>
            <w:tcMar>
              <w:top w:type="dxa" w:w="60"/>
              <w:left w:type="dxa" w:w="100"/>
              <w:bottom w:type="dxa" w:w="60"/>
              <w:right w:type="dxa" w:w="100"/>
            </w:tcMar>
          </w:tcPr>
          <w:p>
            <w:r>
              <w:rPr>
                <w:rFonts w:ascii="SimSun" w:eastAsia="SimSun"/>
                <w:color w:val="2d3748"/>
                <w:sz w:val="21"/>
                <w:szCs w:val="21"/>
              </w:rPr>
              <w:t xml:space="preserve">Total alerts generated per day</w:t>
            </w:r>
          </w:p>
        </w:tc>
        <w:tc>
          <w:tcPr>
            <w:tcW w:type="pct" w:w="16%"/>
            <w:tcMar>
              <w:top w:type="dxa" w:w="60"/>
              <w:left w:type="dxa" w:w="100"/>
              <w:bottom w:type="dxa" w:w="60"/>
              <w:right w:type="dxa" w:w="100"/>
            </w:tcMar>
          </w:tcPr>
          <w:p>
            <w:r>
              <w:rPr>
                <w:rFonts w:ascii="SimSun" w:eastAsia="SimSun"/>
                <w:color w:val="2d3748"/>
                <w:sz w:val="21"/>
                <w:szCs w:val="21"/>
              </w:rPr>
              <w:t xml:space="preserve">Tracked</w:t>
            </w:r>
          </w:p>
        </w:tc>
        <w:tc>
          <w:tcPr>
            <w:tcW w:type="pct" w:w="16%"/>
            <w:tcMar>
              <w:top w:type="dxa" w:w="60"/>
              <w:left w:type="dxa" w:w="100"/>
              <w:bottom w:type="dxa" w:w="60"/>
              <w:right w:type="dxa" w:w="100"/>
            </w:tcMar>
          </w:tcPr>
          <w:p>
            <w:r>
              <w:rPr>
                <w:rFonts w:ascii="SimSun" w:eastAsia="SimSun"/>
                <w:color w:val="2d3748"/>
                <w:sz w:val="21"/>
                <w:szCs w:val="21"/>
              </w:rPr>
              <w:t xml:space="preserve">Tracked</w:t>
            </w:r>
          </w:p>
        </w:tc>
        <w:tc>
          <w:tcPr>
            <w:tcW w:type="pct" w:w="16%"/>
            <w:tcMar>
              <w:top w:type="dxa" w:w="60"/>
              <w:left w:type="dxa" w:w="100"/>
              <w:bottom w:type="dxa" w:w="60"/>
              <w:right w:type="dxa" w:w="100"/>
            </w:tcMar>
          </w:tcPr>
          <w:p>
            <w:r>
              <w:rPr>
                <w:rFonts w:ascii="SimSun" w:eastAsia="SimSun"/>
                <w:color w:val="2d3748"/>
                <w:sz w:val="21"/>
                <w:szCs w:val="21"/>
              </w:rPr>
              <w:t xml:space="preserve">Tracked</w:t>
            </w:r>
          </w:p>
        </w:tc>
      </w:tr>
      <w:tr>
        <w:trPr>
          <w:cantSplit/>
        </w:trPr>
        <w:tc>
          <w:tcPr>
            <w:tcW w:type="pct" w:w="22%"/>
            <w:tcMar>
              <w:top w:type="dxa" w:w="60"/>
              <w:left w:type="dxa" w:w="100"/>
              <w:bottom w:type="dxa" w:w="60"/>
              <w:right w:type="dxa" w:w="100"/>
            </w:tcMar>
          </w:tcPr>
          <w:p>
            <w:r>
              <w:rPr>
                <w:rFonts w:ascii="SimSun" w:eastAsia="SimSun"/>
                <w:color w:val="2d3748"/>
                <w:sz w:val="21"/>
                <w:szCs w:val="21"/>
              </w:rPr>
              <w:t xml:space="preserve">Queue Depth (Peak)</w:t>
            </w:r>
          </w:p>
        </w:tc>
        <w:tc>
          <w:tcPr>
            <w:tcW w:type="pct" w:w="30%"/>
            <w:tcMar>
              <w:top w:type="dxa" w:w="60"/>
              <w:left w:type="dxa" w:w="100"/>
              <w:bottom w:type="dxa" w:w="60"/>
              <w:right w:type="dxa" w:w="100"/>
            </w:tcMar>
          </w:tcPr>
          <w:p>
            <w:r>
              <w:rPr>
                <w:rFonts w:ascii="SimSun" w:eastAsia="SimSun"/>
                <w:color w:val="2d3748"/>
                <w:sz w:val="21"/>
                <w:szCs w:val="21"/>
              </w:rPr>
              <w:t xml:space="preserve">Maximum unresolved alerts</w:t>
            </w:r>
          </w:p>
        </w:tc>
        <w:tc>
          <w:tcPr>
            <w:tcW w:type="pct" w:w="16%"/>
            <w:tcMar>
              <w:top w:type="dxa" w:w="60"/>
              <w:left w:type="dxa" w:w="100"/>
              <w:bottom w:type="dxa" w:w="60"/>
              <w:right w:type="dxa" w:w="100"/>
            </w:tcMar>
          </w:tcPr>
          <w:p>
            <w:r>
              <w:rPr>
                <w:rFonts w:ascii="SimSun" w:eastAsia="SimSun"/>
                <w:color w:val="2d3748"/>
                <w:sz w:val="21"/>
                <w:szCs w:val="21"/>
              </w:rPr>
              <w:t xml:space="preserve">&lt; 100</w:t>
            </w:r>
          </w:p>
        </w:tc>
        <w:tc>
          <w:tcPr>
            <w:tcW w:type="pct" w:w="16%"/>
            <w:tcMar>
              <w:top w:type="dxa" w:w="60"/>
              <w:left w:type="dxa" w:w="100"/>
              <w:bottom w:type="dxa" w:w="60"/>
              <w:right w:type="dxa" w:w="100"/>
            </w:tcMar>
          </w:tcPr>
          <w:p>
            <w:r>
              <w:rPr>
                <w:rFonts w:ascii="SimSun" w:eastAsia="SimSun"/>
                <w:color w:val="2d3748"/>
                <w:sz w:val="21"/>
                <w:szCs w:val="21"/>
              </w:rPr>
              <w:t xml:space="preserve">&lt; 50</w:t>
            </w:r>
          </w:p>
        </w:tc>
        <w:tc>
          <w:tcPr>
            <w:tcW w:type="pct" w:w="16%"/>
            <w:tcMar>
              <w:top w:type="dxa" w:w="60"/>
              <w:left w:type="dxa" w:w="100"/>
              <w:bottom w:type="dxa" w:w="60"/>
              <w:right w:type="dxa" w:w="100"/>
            </w:tcMar>
          </w:tcPr>
          <w:p>
            <w:r>
              <w:rPr>
                <w:rFonts w:ascii="SimSun" w:eastAsia="SimSun"/>
                <w:color w:val="2d3748"/>
                <w:sz w:val="21"/>
                <w:szCs w:val="21"/>
              </w:rPr>
              <w:t xml:space="preserve">&lt; 20</w:t>
            </w:r>
          </w:p>
        </w:tc>
      </w:tr>
      <w:tr>
        <w:trPr>
          <w:cantSplit/>
        </w:trPr>
        <w:tc>
          <w:tcPr>
            <w:tcW w:type="pct" w:w="22%"/>
            <w:tcMar>
              <w:top w:type="dxa" w:w="60"/>
              <w:left w:type="dxa" w:w="100"/>
              <w:bottom w:type="dxa" w:w="60"/>
              <w:right w:type="dxa" w:w="100"/>
            </w:tcMar>
          </w:tcPr>
          <w:p>
            <w:r>
              <w:rPr>
                <w:rFonts w:ascii="SimSun" w:eastAsia="SimSun"/>
                <w:color w:val="2d3748"/>
                <w:sz w:val="21"/>
                <w:szCs w:val="21"/>
              </w:rPr>
              <w:t xml:space="preserve">Escalation Rate</w:t>
            </w:r>
          </w:p>
        </w:tc>
        <w:tc>
          <w:tcPr>
            <w:tcW w:type="pct" w:w="30%"/>
            <w:tcMar>
              <w:top w:type="dxa" w:w="60"/>
              <w:left w:type="dxa" w:w="100"/>
              <w:bottom w:type="dxa" w:w="60"/>
              <w:right w:type="dxa" w:w="100"/>
            </w:tcMar>
          </w:tcPr>
          <w:p>
            <w:r>
              <w:rPr>
                <w:rFonts w:ascii="SimSun" w:eastAsia="SimSun"/>
                <w:color w:val="2d3748"/>
                <w:sz w:val="21"/>
                <w:szCs w:val="21"/>
              </w:rPr>
              <w:t xml:space="preserve">% of alerts escalating to L2/L3</w:t>
            </w:r>
          </w:p>
        </w:tc>
        <w:tc>
          <w:tcPr>
            <w:tcW w:type="pct" w:w="16%"/>
            <w:tcMar>
              <w:top w:type="dxa" w:w="60"/>
              <w:left w:type="dxa" w:w="100"/>
              <w:bottom w:type="dxa" w:w="60"/>
              <w:right w:type="dxa" w:w="100"/>
            </w:tcMar>
          </w:tcPr>
          <w:p>
            <w:r>
              <w:rPr>
                <w:rFonts w:ascii="SimSun" w:eastAsia="SimSun"/>
                <w:color w:val="2d3748"/>
                <w:sz w:val="21"/>
                <w:szCs w:val="21"/>
              </w:rPr>
              <w:t xml:space="preserve">&lt; 20%</w:t>
            </w:r>
          </w:p>
        </w:tc>
        <w:tc>
          <w:tcPr>
            <w:tcW w:type="pct" w:w="16%"/>
            <w:tcMar>
              <w:top w:type="dxa" w:w="60"/>
              <w:left w:type="dxa" w:w="100"/>
              <w:bottom w:type="dxa" w:w="60"/>
              <w:right w:type="dxa" w:w="100"/>
            </w:tcMar>
          </w:tcPr>
          <w:p>
            <w:r>
              <w:rPr>
                <w:rFonts w:ascii="SimSun" w:eastAsia="SimSun"/>
                <w:color w:val="2d3748"/>
                <w:sz w:val="21"/>
                <w:szCs w:val="21"/>
              </w:rPr>
              <w:t xml:space="preserve">&lt; 15%</w:t>
            </w:r>
          </w:p>
        </w:tc>
        <w:tc>
          <w:tcPr>
            <w:tcW w:type="pct" w:w="16%"/>
            <w:tcMar>
              <w:top w:type="dxa" w:w="60"/>
              <w:left w:type="dxa" w:w="100"/>
              <w:bottom w:type="dxa" w:w="60"/>
              <w:right w:type="dxa" w:w="100"/>
            </w:tcMar>
          </w:tcPr>
          <w:p>
            <w:r>
              <w:rPr>
                <w:rFonts w:ascii="SimSun" w:eastAsia="SimSun"/>
                <w:color w:val="2d3748"/>
                <w:sz w:val="21"/>
                <w:szCs w:val="21"/>
              </w:rPr>
              <w:t xml:space="preserve">&lt; 10%</w:t>
            </w:r>
          </w:p>
        </w:tc>
      </w:tr>
    </w:tbl>
    <w:p>
      <w:pPr>
        <w:spacing w:after="100" w:before="200"/>
      </w:pPr>
    </w:p>
    <w:p>
      <w:pPr>
        <w:pStyle w:val="Heading2"/>
        <w:spacing w:after="150" w:before="300"/>
      </w:pPr>
      <w:bookmarkStart w:id="100148" w:name="_Toc100148"/>
      <w:r>
        <w:rPr>
          <w:rFonts w:ascii="SimHei" w:eastAsia="SimHei"/>
          <w:b/>
          <w:bCs/>
          <w:color w:val="1a365d"/>
          <w:sz w:val="28"/>
          <w:szCs w:val="28"/>
        </w:rPr>
        <w:t xml:space="preserve">Business KPIs</w:t>
      </w:r>
      <w:bookmarkEnd w:id="100148"/>
    </w:p>
    <w:p>
      <w:pPr>
        <w:spacing w:after="120" w:line="312"/>
        <w:ind w:firstLine="480"/>
        <w:jc w:val="both"/>
      </w:pPr>
      <w:r>
        <w:rPr>
          <w:rFonts w:ascii="SimSun" w:eastAsia="SimSun"/>
          <w:color w:val="2d3748"/>
          <w:sz w:val="24"/>
          <w:szCs w:val="24"/>
        </w:rPr>
        <w:t xml:space="preserve">Business KPIs connect operational performance to organizational value, communicating impact to non-technical stakeholders.</w:t>
      </w:r>
    </w:p>
    <w:tbl>
      <w:tblPr>
        <w:tblW w:type="pct" w:w="100%"/>
        <w:tblBorders>
          <w:top w:val="single" w:color="CBD5E0" w:sz="1"/>
          <w:left w:val="single" w:color="CBD5E0" w:sz="1"/>
          <w:bottom w:val="single" w:color="CBD5E0" w:sz="1"/>
          <w:right w:val="single" w:color="CBD5E0" w:sz="1"/>
          <w:insideH w:val="single" w:color="E2E8F0" w:sz="1"/>
          <w:insideV w:val="single" w:color="E2E8F0" w:sz="1"/>
        </w:tblBorders>
      </w:tblPr>
      <w:tblGrid>
        <w:gridCol w:w="100"/>
        <w:gridCol w:w="100"/>
        <w:gridCol w:w="100"/>
      </w:tblGrid>
      <w:tr>
        <w:trPr>
          <w:cantSplit/>
          <w:tblHeader/>
        </w:trPr>
        <w:tc>
          <w:tcPr>
            <w:tcW w:type="pct" w:w="25%"/>
            <w:shd w:fill="1a365d" w:val="clear"/>
            <w:tcMar>
              <w:top w:type="dxa" w:w="80"/>
              <w:left w:type="dxa" w:w="120"/>
              <w:bottom w:type="dxa" w:w="80"/>
              <w:right w:type="dxa" w:w="120"/>
            </w:tcMar>
          </w:tcPr>
          <w:p>
            <w:pPr>
              <w:jc w:val="center"/>
            </w:pPr>
            <w:r>
              <w:rPr>
                <w:rFonts w:ascii="SimHei" w:eastAsia="SimHei"/>
                <w:b/>
                <w:bCs/>
                <w:color w:val="FFFFFF"/>
                <w:sz w:val="21"/>
                <w:szCs w:val="21"/>
              </w:rPr>
              <w:t xml:space="preserve">KPI</w:t>
            </w:r>
          </w:p>
        </w:tc>
        <w:tc>
          <w:tcPr>
            <w:tcW w:type="pct" w:w="45%"/>
            <w:shd w:fill="1a365d" w:val="clear"/>
            <w:tcMar>
              <w:top w:type="dxa" w:w="80"/>
              <w:left w:type="dxa" w:w="120"/>
              <w:bottom w:type="dxa" w:w="80"/>
              <w:right w:type="dxa" w:w="120"/>
            </w:tcMar>
          </w:tcPr>
          <w:p>
            <w:pPr>
              <w:jc w:val="center"/>
            </w:pPr>
            <w:r>
              <w:rPr>
                <w:rFonts w:ascii="SimHei" w:eastAsia="SimHei"/>
                <w:b/>
                <w:bCs/>
                <w:color w:val="FFFFFF"/>
                <w:sz w:val="21"/>
                <w:szCs w:val="21"/>
              </w:rPr>
              <w:t xml:space="preserve">Definition</w:t>
            </w:r>
          </w:p>
        </w:tc>
        <w:tc>
          <w:tcPr>
            <w:tcW w:type="pct" w:w="30%"/>
            <w:shd w:fill="1a365d" w:val="clear"/>
            <w:tcMar>
              <w:top w:type="dxa" w:w="80"/>
              <w:left w:type="dxa" w:w="120"/>
              <w:bottom w:type="dxa" w:w="80"/>
              <w:right w:type="dxa" w:w="120"/>
            </w:tcMar>
          </w:tcPr>
          <w:p>
            <w:pPr>
              <w:jc w:val="center"/>
            </w:pPr>
            <w:r>
              <w:rPr>
                <w:rFonts w:ascii="SimHei" w:eastAsia="SimHei"/>
                <w:b/>
                <w:bCs/>
                <w:color w:val="FFFFFF"/>
                <w:sz w:val="21"/>
                <w:szCs w:val="21"/>
              </w:rPr>
              <w:t xml:space="preserve">Target</w:t>
            </w:r>
          </w:p>
        </w:tc>
      </w:tr>
      <w:tr>
        <w:trPr>
          <w:cantSplit/>
        </w:trPr>
        <w:tc>
          <w:tcPr>
            <w:tcW w:type="pct" w:w="25%"/>
            <w:tcMar>
              <w:top w:type="dxa" w:w="60"/>
              <w:left w:type="dxa" w:w="100"/>
              <w:bottom w:type="dxa" w:w="60"/>
              <w:right w:type="dxa" w:w="100"/>
            </w:tcMar>
          </w:tcPr>
          <w:p>
            <w:r>
              <w:rPr>
                <w:rFonts w:ascii="SimSun" w:eastAsia="SimSun"/>
                <w:color w:val="2d3748"/>
                <w:sz w:val="21"/>
                <w:szCs w:val="21"/>
              </w:rPr>
              <w:t xml:space="preserve">Incidents Contained</w:t>
            </w:r>
          </w:p>
        </w:tc>
        <w:tc>
          <w:tcPr>
            <w:tcW w:type="pct" w:w="45%"/>
            <w:tcMar>
              <w:top w:type="dxa" w:w="60"/>
              <w:left w:type="dxa" w:w="100"/>
              <w:bottom w:type="dxa" w:w="60"/>
              <w:right w:type="dxa" w:w="100"/>
            </w:tcMar>
          </w:tcPr>
          <w:p>
            <w:r>
              <w:rPr>
                <w:rFonts w:ascii="SimSun" w:eastAsia="SimSun"/>
                <w:color w:val="2d3748"/>
                <w:sz w:val="21"/>
                <w:szCs w:val="21"/>
              </w:rPr>
              <w:t xml:space="preserve">Security incidents successfully contained before impact</w:t>
            </w:r>
          </w:p>
        </w:tc>
        <w:tc>
          <w:tcPr>
            <w:tcW w:type="pct" w:w="30%"/>
            <w:tcMar>
              <w:top w:type="dxa" w:w="60"/>
              <w:left w:type="dxa" w:w="100"/>
              <w:bottom w:type="dxa" w:w="60"/>
              <w:right w:type="dxa" w:w="100"/>
            </w:tcMar>
          </w:tcPr>
          <w:p>
            <w:r>
              <w:rPr>
                <w:rFonts w:ascii="SimSun" w:eastAsia="SimSun"/>
                <w:color w:val="2d3748"/>
                <w:sz w:val="21"/>
                <w:szCs w:val="21"/>
              </w:rPr>
              <w:t xml:space="preserve">&gt; 95%</w:t>
            </w:r>
          </w:p>
        </w:tc>
      </w:tr>
      <w:tr>
        <w:trPr>
          <w:cantSplit/>
        </w:trPr>
        <w:tc>
          <w:tcPr>
            <w:tcW w:type="pct" w:w="25%"/>
            <w:tcMar>
              <w:top w:type="dxa" w:w="60"/>
              <w:left w:type="dxa" w:w="100"/>
              <w:bottom w:type="dxa" w:w="60"/>
              <w:right w:type="dxa" w:w="100"/>
            </w:tcMar>
          </w:tcPr>
          <w:p>
            <w:r>
              <w:rPr>
                <w:rFonts w:ascii="SimSun" w:eastAsia="SimSun"/>
                <w:color w:val="2d3748"/>
                <w:sz w:val="21"/>
                <w:szCs w:val="21"/>
              </w:rPr>
              <w:t xml:space="preserve">Breach Prevention</w:t>
            </w:r>
          </w:p>
        </w:tc>
        <w:tc>
          <w:tcPr>
            <w:tcW w:type="pct" w:w="45%"/>
            <w:tcMar>
              <w:top w:type="dxa" w:w="60"/>
              <w:left w:type="dxa" w:w="100"/>
              <w:bottom w:type="dxa" w:w="60"/>
              <w:right w:type="dxa" w:w="100"/>
            </w:tcMar>
          </w:tcPr>
          <w:p>
            <w:r>
              <w:rPr>
                <w:rFonts w:ascii="SimSun" w:eastAsia="SimSun"/>
                <w:color w:val="2d3748"/>
                <w:sz w:val="21"/>
                <w:szCs w:val="21"/>
              </w:rPr>
              <w:t xml:space="preserve">Major breaches of monitored organizations prevented</w:t>
            </w:r>
          </w:p>
        </w:tc>
        <w:tc>
          <w:tcPr>
            <w:tcW w:type="pct" w:w="30%"/>
            <w:tcMar>
              <w:top w:type="dxa" w:w="60"/>
              <w:left w:type="dxa" w:w="100"/>
              <w:bottom w:type="dxa" w:w="60"/>
              <w:right w:type="dxa" w:w="100"/>
            </w:tcMar>
          </w:tcPr>
          <w:p>
            <w:r>
              <w:rPr>
                <w:rFonts w:ascii="SimSun" w:eastAsia="SimSun"/>
                <w:color w:val="2d3748"/>
                <w:sz w:val="21"/>
                <w:szCs w:val="21"/>
              </w:rPr>
              <w:t xml:space="preserve">Zero (target)</w:t>
            </w:r>
          </w:p>
        </w:tc>
      </w:tr>
      <w:tr>
        <w:trPr>
          <w:cantSplit/>
        </w:trPr>
        <w:tc>
          <w:tcPr>
            <w:tcW w:type="pct" w:w="25%"/>
            <w:tcMar>
              <w:top w:type="dxa" w:w="60"/>
              <w:left w:type="dxa" w:w="100"/>
              <w:bottom w:type="dxa" w:w="60"/>
              <w:right w:type="dxa" w:w="100"/>
            </w:tcMar>
          </w:tcPr>
          <w:p>
            <w:r>
              <w:rPr>
                <w:rFonts w:ascii="SimSun" w:eastAsia="SimSun"/>
                <w:color w:val="2d3748"/>
                <w:sz w:val="21"/>
                <w:szCs w:val="21"/>
              </w:rPr>
              <w:t xml:space="preserve">Customer Satisfaction</w:t>
            </w:r>
          </w:p>
        </w:tc>
        <w:tc>
          <w:tcPr>
            <w:tcW w:type="pct" w:w="45%"/>
            <w:tcMar>
              <w:top w:type="dxa" w:w="60"/>
              <w:left w:type="dxa" w:w="100"/>
              <w:bottom w:type="dxa" w:w="60"/>
              <w:right w:type="dxa" w:w="100"/>
            </w:tcMar>
          </w:tcPr>
          <w:p>
            <w:r>
              <w:rPr>
                <w:rFonts w:ascii="SimSun" w:eastAsia="SimSun"/>
                <w:color w:val="2d3748"/>
                <w:sz w:val="21"/>
                <w:szCs w:val="21"/>
              </w:rPr>
              <w:t xml:space="preserve">Constituent organization satisfaction score</w:t>
            </w:r>
          </w:p>
        </w:tc>
        <w:tc>
          <w:tcPr>
            <w:tcW w:type="pct" w:w="30%"/>
            <w:tcMar>
              <w:top w:type="dxa" w:w="60"/>
              <w:left w:type="dxa" w:w="100"/>
              <w:bottom w:type="dxa" w:w="60"/>
              <w:right w:type="dxa" w:w="100"/>
            </w:tcMar>
          </w:tcPr>
          <w:p>
            <w:r>
              <w:rPr>
                <w:rFonts w:ascii="SimSun" w:eastAsia="SimSun"/>
                <w:color w:val="2d3748"/>
                <w:sz w:val="21"/>
                <w:szCs w:val="21"/>
              </w:rPr>
              <w:t xml:space="preserve">&gt; 4.0/5.0</w:t>
            </w:r>
          </w:p>
        </w:tc>
      </w:tr>
      <w:tr>
        <w:trPr>
          <w:cantSplit/>
        </w:trPr>
        <w:tc>
          <w:tcPr>
            <w:tcW w:type="pct" w:w="25%"/>
            <w:tcMar>
              <w:top w:type="dxa" w:w="60"/>
              <w:left w:type="dxa" w:w="100"/>
              <w:bottom w:type="dxa" w:w="60"/>
              <w:right w:type="dxa" w:w="100"/>
            </w:tcMar>
          </w:tcPr>
          <w:p>
            <w:r>
              <w:rPr>
                <w:rFonts w:ascii="SimSun" w:eastAsia="SimSun"/>
                <w:color w:val="2d3748"/>
                <w:sz w:val="21"/>
                <w:szCs w:val="21"/>
              </w:rPr>
              <w:t xml:space="preserve">SLA Compliance</w:t>
            </w:r>
          </w:p>
        </w:tc>
        <w:tc>
          <w:tcPr>
            <w:tcW w:type="pct" w:w="45%"/>
            <w:tcMar>
              <w:top w:type="dxa" w:w="60"/>
              <w:left w:type="dxa" w:w="100"/>
              <w:bottom w:type="dxa" w:w="60"/>
              <w:right w:type="dxa" w:w="100"/>
            </w:tcMar>
          </w:tcPr>
          <w:p>
            <w:r>
              <w:rPr>
                <w:rFonts w:ascii="SimSun" w:eastAsia="SimSun"/>
                <w:color w:val="2d3748"/>
                <w:sz w:val="21"/>
                <w:szCs w:val="21"/>
              </w:rPr>
              <w:t xml:space="preserve">Service level agreement met</w:t>
            </w:r>
          </w:p>
        </w:tc>
        <w:tc>
          <w:tcPr>
            <w:tcW w:type="pct" w:w="30%"/>
            <w:tcMar>
              <w:top w:type="dxa" w:w="60"/>
              <w:left w:type="dxa" w:w="100"/>
              <w:bottom w:type="dxa" w:w="60"/>
              <w:right w:type="dxa" w:w="100"/>
            </w:tcMar>
          </w:tcPr>
          <w:p>
            <w:r>
              <w:rPr>
                <w:rFonts w:ascii="SimSun" w:eastAsia="SimSun"/>
                <w:color w:val="2d3748"/>
                <w:sz w:val="21"/>
                <w:szCs w:val="21"/>
              </w:rPr>
              <w:t xml:space="preserve">&gt; 98%</w:t>
            </w:r>
          </w:p>
        </w:tc>
      </w:tr>
      <w:tr>
        <w:trPr>
          <w:cantSplit/>
        </w:trPr>
        <w:tc>
          <w:tcPr>
            <w:tcW w:type="pct" w:w="25%"/>
            <w:tcMar>
              <w:top w:type="dxa" w:w="60"/>
              <w:left w:type="dxa" w:w="100"/>
              <w:bottom w:type="dxa" w:w="60"/>
              <w:right w:type="dxa" w:w="100"/>
            </w:tcMar>
          </w:tcPr>
          <w:p>
            <w:r>
              <w:rPr>
                <w:rFonts w:ascii="SimSun" w:eastAsia="SimSun"/>
                <w:color w:val="2d3748"/>
                <w:sz w:val="21"/>
                <w:szCs w:val="21"/>
              </w:rPr>
              <w:t xml:space="preserve">Coverage Achievement</w:t>
            </w:r>
          </w:p>
        </w:tc>
        <w:tc>
          <w:tcPr>
            <w:tcW w:type="pct" w:w="45%"/>
            <w:tcMar>
              <w:top w:type="dxa" w:w="60"/>
              <w:left w:type="dxa" w:w="100"/>
              <w:bottom w:type="dxa" w:w="60"/>
              <w:right w:type="dxa" w:w="100"/>
            </w:tcMar>
          </w:tcPr>
          <w:p>
            <w:r>
              <w:rPr>
                <w:rFonts w:ascii="SimSun" w:eastAsia="SimSun"/>
                <w:color w:val="2d3748"/>
                <w:sz w:val="21"/>
                <w:szCs w:val="21"/>
              </w:rPr>
              <w:t xml:space="preserve">Planned organizations onboarded</w:t>
            </w:r>
          </w:p>
        </w:tc>
        <w:tc>
          <w:tcPr>
            <w:tcW w:type="pct" w:w="30%"/>
            <w:tcMar>
              <w:top w:type="dxa" w:w="60"/>
              <w:left w:type="dxa" w:w="100"/>
              <w:bottom w:type="dxa" w:w="60"/>
              <w:right w:type="dxa" w:w="100"/>
            </w:tcMar>
          </w:tcPr>
          <w:p>
            <w:r>
              <w:rPr>
                <w:rFonts w:ascii="SimSun" w:eastAsia="SimSun"/>
                <w:color w:val="2d3748"/>
                <w:sz w:val="21"/>
                <w:szCs w:val="21"/>
              </w:rPr>
              <w:t xml:space="preserve">&gt; 90% of plan</w:t>
            </w:r>
          </w:p>
        </w:tc>
      </w:tr>
      <w:tr>
        <w:trPr>
          <w:cantSplit/>
        </w:trPr>
        <w:tc>
          <w:tcPr>
            <w:tcW w:type="pct" w:w="25%"/>
            <w:tcMar>
              <w:top w:type="dxa" w:w="60"/>
              <w:left w:type="dxa" w:w="100"/>
              <w:bottom w:type="dxa" w:w="60"/>
              <w:right w:type="dxa" w:w="100"/>
            </w:tcMar>
          </w:tcPr>
          <w:p>
            <w:r>
              <w:rPr>
                <w:rFonts w:ascii="SimSun" w:eastAsia="SimSun"/>
                <w:color w:val="2d3748"/>
                <w:sz w:val="21"/>
                <w:szCs w:val="21"/>
              </w:rPr>
              <w:t xml:space="preserve">Analyst Retention</w:t>
            </w:r>
          </w:p>
        </w:tc>
        <w:tc>
          <w:tcPr>
            <w:tcW w:type="pct" w:w="45%"/>
            <w:tcMar>
              <w:top w:type="dxa" w:w="60"/>
              <w:left w:type="dxa" w:w="100"/>
              <w:bottom w:type="dxa" w:w="60"/>
              <w:right w:type="dxa" w:w="100"/>
            </w:tcMar>
          </w:tcPr>
          <w:p>
            <w:r>
              <w:rPr>
                <w:rFonts w:ascii="SimSun" w:eastAsia="SimSun"/>
                <w:color w:val="2d3748"/>
                <w:sz w:val="21"/>
                <w:szCs w:val="21"/>
              </w:rPr>
              <w:t xml:space="preserve">Annual voluntary turnover rate</w:t>
            </w:r>
          </w:p>
        </w:tc>
        <w:tc>
          <w:tcPr>
            <w:tcW w:type="pct" w:w="30%"/>
            <w:tcMar>
              <w:top w:type="dxa" w:w="60"/>
              <w:left w:type="dxa" w:w="100"/>
              <w:bottom w:type="dxa" w:w="60"/>
              <w:right w:type="dxa" w:w="100"/>
            </w:tcMar>
          </w:tcPr>
          <w:p>
            <w:r>
              <w:rPr>
                <w:rFonts w:ascii="SimSun" w:eastAsia="SimSun"/>
                <w:color w:val="2d3748"/>
                <w:sz w:val="21"/>
                <w:szCs w:val="21"/>
              </w:rPr>
              <w:t xml:space="preserve">&lt; 15%</w:t>
            </w:r>
          </w:p>
        </w:tc>
      </w:tr>
      <w:tr>
        <w:trPr>
          <w:cantSplit/>
        </w:trPr>
        <w:tc>
          <w:tcPr>
            <w:tcW w:type="pct" w:w="25%"/>
            <w:tcMar>
              <w:top w:type="dxa" w:w="60"/>
              <w:left w:type="dxa" w:w="100"/>
              <w:bottom w:type="dxa" w:w="60"/>
              <w:right w:type="dxa" w:w="100"/>
            </w:tcMar>
          </w:tcPr>
          <w:p>
            <w:r>
              <w:rPr>
                <w:rFonts w:ascii="SimSun" w:eastAsia="SimSun"/>
                <w:color w:val="2d3748"/>
                <w:sz w:val="21"/>
                <w:szCs w:val="21"/>
              </w:rPr>
              <w:t xml:space="preserve">Training Completion</w:t>
            </w:r>
          </w:p>
        </w:tc>
        <w:tc>
          <w:tcPr>
            <w:tcW w:type="pct" w:w="45%"/>
            <w:tcMar>
              <w:top w:type="dxa" w:w="60"/>
              <w:left w:type="dxa" w:w="100"/>
              <w:bottom w:type="dxa" w:w="60"/>
              <w:right w:type="dxa" w:w="100"/>
            </w:tcMar>
          </w:tcPr>
          <w:p>
            <w:r>
              <w:rPr>
                <w:rFonts w:ascii="SimSun" w:eastAsia="SimSun"/>
                <w:color w:val="2d3748"/>
                <w:sz w:val="21"/>
                <w:szCs w:val="21"/>
              </w:rPr>
              <w:t xml:space="preserve">Required certifications current</w:t>
            </w:r>
          </w:p>
        </w:tc>
        <w:tc>
          <w:tcPr>
            <w:tcW w:type="pct" w:w="30%"/>
            <w:tcMar>
              <w:top w:type="dxa" w:w="60"/>
              <w:left w:type="dxa" w:w="100"/>
              <w:bottom w:type="dxa" w:w="60"/>
              <w:right w:type="dxa" w:w="100"/>
            </w:tcMar>
          </w:tcPr>
          <w:p>
            <w:r>
              <w:rPr>
                <w:rFonts w:ascii="SimSun" w:eastAsia="SimSun"/>
                <w:color w:val="2d3748"/>
                <w:sz w:val="21"/>
                <w:szCs w:val="21"/>
              </w:rPr>
              <w:t xml:space="preserve">&gt; 90%</w:t>
            </w:r>
          </w:p>
        </w:tc>
      </w:tr>
    </w:tbl>
    <w:p>
      <w:pPr>
        <w:spacing w:after="100" w:before="200"/>
      </w:pPr>
    </w:p>
    <w:p>
      <w:pPr>
        <w:pStyle w:val="Heading2"/>
        <w:spacing w:after="150" w:before="300"/>
      </w:pPr>
      <w:bookmarkStart w:id="100149" w:name="_Toc100149"/>
      <w:r>
        <w:rPr>
          <w:rFonts w:ascii="SimHei" w:eastAsia="SimHei"/>
          <w:b/>
          <w:bCs/>
          <w:color w:val="1a365d"/>
          <w:sz w:val="28"/>
          <w:szCs w:val="28"/>
        </w:rPr>
        <w:t xml:space="preserve">Maturity Assessment</w:t>
      </w:r>
      <w:bookmarkEnd w:id="100149"/>
    </w:p>
    <w:p>
      <w:pPr>
        <w:spacing w:after="120" w:line="312"/>
        <w:ind w:firstLine="480"/>
        <w:jc w:val="both"/>
      </w:pPr>
      <w:r>
        <w:rPr>
          <w:rFonts w:ascii="SimSun" w:eastAsia="SimSun"/>
          <w:color w:val="2d3748"/>
          <w:sz w:val="24"/>
          <w:szCs w:val="24"/>
        </w:rPr>
        <w:t xml:space="preserve">Beyond quantitative KPIs, periodic maturity assessments against frameworks provide qualitative progress measurement. Recommended annual assessment against NIST Cybersecurity Framework maturity levels, ISO 27001 control effectiveness, NIST SP 800-61 incident handling capability, and custom SOC maturity model addressing people, process, and technology dimensions. Assessment results drive improvement planning and demonstrate progress to stakeholders.</w:t>
      </w:r>
    </w:p>
    <w:p>
      <w:pPr>
        <w:pStyle w:val="Heading1"/>
        <w:spacing w:after="200" w:before="400"/>
      </w:pPr>
      <w:bookmarkStart w:id="100150" w:name="_Toc100150"/>
      <w:r>
        <w:rPr>
          <w:rFonts w:ascii="SimHei" w:eastAsia="SimHei"/>
          <w:b/>
          <w:bCs/>
          <w:color w:val="1a365d"/>
          <w:sz w:val="32"/>
          <w:szCs w:val="32"/>
        </w:rPr>
        <w:t xml:space="preserve">Appendices</w:t>
      </w:r>
      <w:bookmarkEnd w:id="100150"/>
    </w:p>
    <w:p>
      <w:pPr>
        <w:pStyle w:val="Heading2"/>
        <w:spacing w:after="150" w:before="300"/>
      </w:pPr>
      <w:bookmarkStart w:id="100151" w:name="_Toc100151"/>
      <w:r>
        <w:rPr>
          <w:rFonts w:ascii="SimHei" w:eastAsia="SimHei"/>
          <w:b/>
          <w:bCs/>
          <w:color w:val="1a365d"/>
          <w:sz w:val="28"/>
          <w:szCs w:val="28"/>
        </w:rPr>
        <w:t xml:space="preserve">Appendix A: Glossary of Terms</w:t>
      </w:r>
      <w:bookmarkEnd w:id="100151"/>
    </w:p>
    <w:p>
      <w:pPr>
        <w:spacing w:after="120" w:line="312"/>
        <w:ind w:firstLine="480"/>
        <w:jc w:val="both"/>
      </w:pPr>
      <w:r>
        <w:rPr>
          <w:rFonts w:ascii="SimSun" w:eastAsia="SimSun"/>
          <w:color w:val="2d3748"/>
          <w:sz w:val="24"/>
          <w:szCs w:val="24"/>
        </w:rPr>
        <w:t xml:space="preserve">APT (Advanced Persistent Threat): Sophisticated threat actor, typically nation-state or organized crime, conducting prolonged targeted attacks. EDR (Endpoint Detection and Response): Security solution monitoring endpoints for suspicious activity and enabling response actions. EPS (Events Per Second): Metric measuring data ingestion volume processed by SIEM platform. MITRE ATT&amp;CK: Adversary tactics, techniques, and common knowledge base classifying attack behavior. MTTD (Mean Time to Detect): Average time from threat occurrence to security system detection. MTTR (Mean Time to Respond): Average time from detection to initial response action. NDR (Network Detection and Response): Security solution monitoring network traffic for threats. SIEM (Security Information and Event Management): Platform aggregating and analyzing security data for detection. SOAR (Security Orchestration, Automation, and Response): Platform automating security operations workflows. TIP (Threat Intelligence Platform): System aggregating and operationalizing threat data. UEBA (User and Entity Behavior Analytics): Solution detecting anomalous behavior indicating threats. XDR (Extended Detection and Response): Unified detection across multiple security layers.</w:t>
      </w:r>
    </w:p>
    <w:p>
      <w:pPr>
        <w:pStyle w:val="Heading2"/>
        <w:spacing w:after="150" w:before="300"/>
      </w:pPr>
      <w:bookmarkStart w:id="100152" w:name="_Toc100152"/>
      <w:r>
        <w:rPr>
          <w:rFonts w:ascii="SimHei" w:eastAsia="SimHei"/>
          <w:b/>
          <w:bCs/>
          <w:color w:val="1a365d"/>
          <w:sz w:val="28"/>
          <w:szCs w:val="28"/>
        </w:rPr>
        <w:t xml:space="preserve">Appendix B: Vendor Contact Information</w:t>
      </w:r>
      <w:bookmarkEnd w:id="100152"/>
    </w:p>
    <w:p>
      <w:pPr>
        <w:spacing w:after="120" w:line="312"/>
        <w:ind w:firstLine="480"/>
        <w:jc w:val="both"/>
      </w:pPr>
      <w:r>
        <w:rPr>
          <w:rFonts w:ascii="SimSun" w:eastAsia="SimSun"/>
          <w:color w:val="2d3748"/>
          <w:sz w:val="24"/>
          <w:szCs w:val="24"/>
        </w:rPr>
        <w:t xml:space="preserve">[Placeholder for vendor contact details, account representatives, and procurement channels]</w:t>
      </w:r>
    </w:p>
    <w:p>
      <w:pPr>
        <w:pStyle w:val="Heading2"/>
        <w:spacing w:after="150" w:before="300"/>
      </w:pPr>
      <w:bookmarkStart w:id="100153" w:name="_Toc100153"/>
      <w:r>
        <w:rPr>
          <w:rFonts w:ascii="SimHei" w:eastAsia="SimHei"/>
          <w:b/>
          <w:bCs/>
          <w:color w:val="1a365d"/>
          <w:sz w:val="28"/>
          <w:szCs w:val="28"/>
        </w:rPr>
        <w:t xml:space="preserve">Appendix C: Sample RFP Templates</w:t>
      </w:r>
      <w:bookmarkEnd w:id="100153"/>
    </w:p>
    <w:p>
      <w:pPr>
        <w:spacing w:after="120" w:line="312"/>
        <w:ind w:firstLine="480"/>
        <w:jc w:val="both"/>
      </w:pPr>
      <w:r>
        <w:rPr>
          <w:rFonts w:ascii="SimSun" w:eastAsia="SimSun"/>
          <w:color w:val="2d3748"/>
          <w:sz w:val="24"/>
          <w:szCs w:val="24"/>
        </w:rPr>
        <w:t xml:space="preserve">[Placeholder for Request for Proposal templates for SIEM, SOAR, XDR, and related platform procurements]</w:t>
      </w:r>
    </w:p>
    <w:p>
      <w:pPr>
        <w:pStyle w:val="Heading2"/>
        <w:spacing w:after="150" w:before="300"/>
      </w:pPr>
      <w:bookmarkStart w:id="100154" w:name="_Toc100154"/>
      <w:r>
        <w:rPr>
          <w:rFonts w:ascii="SimHei" w:eastAsia="SimHei"/>
          <w:b/>
          <w:bCs/>
          <w:color w:val="1a365d"/>
          <w:sz w:val="28"/>
          <w:szCs w:val="28"/>
        </w:rPr>
        <w:t xml:space="preserve">Appendix D: Architecture Diagrams</w:t>
      </w:r>
      <w:bookmarkEnd w:id="100154"/>
    </w:p>
    <w:p>
      <w:pPr>
        <w:spacing w:after="120" w:line="312"/>
        <w:ind w:firstLine="480"/>
        <w:jc w:val="both"/>
      </w:pPr>
      <w:r>
        <w:rPr>
          <w:rFonts w:ascii="SimSun" w:eastAsia="SimSun"/>
          <w:color w:val="2d3748"/>
          <w:sz w:val="24"/>
          <w:szCs w:val="24"/>
        </w:rPr>
        <w:t xml:space="preserve">[Placeholder for detailed architecture diagrams including network topology, data flows, integration maps, and deployment diagrams]</w:t>
      </w:r>
    </w:p>
    <w:p>
      <w:pPr>
        <w:pStyle w:val="Heading2"/>
        <w:spacing w:after="150" w:before="300"/>
      </w:pPr>
      <w:bookmarkStart w:id="100155" w:name="_Toc100155"/>
      <w:r>
        <w:rPr>
          <w:rFonts w:ascii="SimHei" w:eastAsia="SimHei"/>
          <w:b/>
          <w:bCs/>
          <w:color w:val="1a365d"/>
          <w:sz w:val="28"/>
          <w:szCs w:val="28"/>
        </w:rPr>
        <w:t xml:space="preserve">Appendix E: Compliance Checklists</w:t>
      </w:r>
      <w:bookmarkEnd w:id="100155"/>
    </w:p>
    <w:p>
      <w:pPr>
        <w:spacing w:after="120" w:line="312"/>
        <w:ind w:firstLine="480"/>
        <w:jc w:val="both"/>
      </w:pPr>
      <w:r>
        <w:rPr>
          <w:rFonts w:ascii="SimSun" w:eastAsia="SimSun"/>
          <w:color w:val="2d3748"/>
          <w:sz w:val="24"/>
          <w:szCs w:val="24"/>
        </w:rPr>
        <w:t xml:space="preserve">[Placeholder for compliance requirement checklists mapping controls to ISO 27001, NIST CSF, NIS2, and other applicable frameworks]</w:t>
      </w:r>
    </w:p>
    <w:p>
      <w:pPr>
        <w:pStyle w:val="Heading2"/>
        <w:spacing w:after="150" w:before="300"/>
      </w:pPr>
      <w:bookmarkStart w:id="100156" w:name="_Toc100156"/>
      <w:r>
        <w:rPr>
          <w:rFonts w:ascii="SimHei" w:eastAsia="SimHei"/>
          <w:b/>
          <w:bCs/>
          <w:color w:val="1a365d"/>
          <w:sz w:val="28"/>
          <w:szCs w:val="28"/>
        </w:rPr>
        <w:t xml:space="preserve">Appendix F: Procedure Templates</w:t>
      </w:r>
      <w:bookmarkEnd w:id="100156"/>
    </w:p>
    <w:p>
      <w:pPr>
        <w:spacing w:after="120" w:line="312"/>
        <w:ind w:firstLine="480"/>
        <w:jc w:val="both"/>
      </w:pPr>
      <w:r>
        <w:rPr>
          <w:rFonts w:ascii="SimSun" w:eastAsia="SimSun"/>
          <w:color w:val="2d3748"/>
          <w:sz w:val="24"/>
          <w:szCs w:val="24"/>
        </w:rPr>
        <w:t xml:space="preserve">[Placeholder for standard operating procedure templates including alert triage, incident response, escalation, customer communication, and reporting formats]</w:t>
      </w:r>
    </w:p>
    <w:sectPr>
      <w:headerReference w:type="default" r:id="rId9"/>
      <w:footerReference w:type="default" r:id="rId10"/>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SimSun" w:eastAsia="SimSun"/>
        <w:color w:val="808080"/>
        <w:sz w:val="18"/>
        <w:szCs w:val="18"/>
      </w:rPr>
      <w:t xml:space="preserve">National SOC Strategic Implementation Plan 2026-2030</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SimSun" w:eastAsia="SimSun"/>
        <w:color w:val="808080"/>
        <w:sz w:val="18"/>
        <w:szCs w:val="18"/>
      </w:rPr>
      <w:t xml:space="preserve">National SOC Strategic Implementation Plan 2026-2030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imSun" w:eastAsia="SimSun"/>
        <w:color w:val="2d3748"/>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00"/>
      <w:outlineLvl w:val="0"/>
    </w:pPr>
    <w:rPr>
      <w:rFonts w:ascii="SimHei" w:eastAsia="SimHei"/>
      <w:b/>
      <w:bCs/>
      <w:color w:val="1a365d"/>
      <w:sz w:val="32"/>
      <w:szCs w:val="32"/>
    </w:rPr>
  </w:style>
  <w:style w:type="paragraph" w:styleId="Heading2">
    <w:name w:val="Heading 2"/>
    <w:basedOn w:val="Normal"/>
    <w:next w:val="Normal"/>
    <w:qFormat/>
    <w:pPr>
      <w:spacing w:after="150" w:before="300"/>
      <w:outlineLvl w:val="1"/>
    </w:pPr>
    <w:rPr>
      <w:rFonts w:ascii="SimHei" w:eastAsia="SimHei"/>
      <w:b/>
      <w:bCs/>
      <w:color w:val="1a365d"/>
      <w:sz w:val="28"/>
      <w:szCs w:val="28"/>
    </w:rPr>
  </w:style>
  <w:style w:type="paragraph" w:styleId="Heading3">
    <w:name w:val="Heading 3"/>
    <w:basedOn w:val="Normal"/>
    <w:next w:val="Normal"/>
    <w:qFormat/>
    <w:pPr>
      <w:spacing w:after="120" w:before="240"/>
      <w:outlineLvl w:val="2"/>
    </w:pPr>
    <w:rPr>
      <w:rFonts w:ascii="SimHei" w:eastAsia="SimHei"/>
      <w:b/>
      <w:bCs/>
      <w:color w:val="4a5568"/>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2026-07-21T18:25:34.213Z</dcterms:created>
  <dcterms:modified xsi:type="dcterms:W3CDTF">2026-07-21T18:25:34.213Z</dcterms:modified>
</cp:coreProperties>
</file>

<file path=docProps/custom.xml><?xml version="1.0" encoding="utf-8"?>
<Properties xmlns="http://schemas.openxmlformats.org/officeDocument/2006/custom-properties" xmlns:vt="http://schemas.openxmlformats.org/officeDocument/2006/docPropsVTypes"/>
</file>