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hd w:color="E63946" w:val="solid"/>
        <w:spacing w:after="600"/>
        <w:jc w:val="center"/>
      </w:pPr>
      <w:r>
        <w:rPr>
          <w:rFonts w:ascii="Calibri"/>
          <w:b/>
          <w:bCs/>
          <w:color w:val="F1FAEE"/>
          <w:sz w:val="20"/>
          <w:szCs w:val="20"/>
        </w:rPr>
        <w:t xml:space="preserve">CONFIDENTIAL - SECURITY AUDIT DOCUMENT</w:t>
      </w:r>
    </w:p>
    <w:p>
      <w:pPr>
        <w:spacing w:after="200" w:before="800"/>
        <w:jc w:val="left"/>
      </w:pPr>
      <w:r>
        <w:rPr>
          <w:rFonts w:ascii="Calibri"/>
          <w:b/>
          <w:bCs/>
          <w:color w:val="0D1B2A"/>
          <w:sz w:val="48"/>
          <w:szCs w:val="48"/>
        </w:rPr>
        <w:t xml:space="preserve">AlgeriaTrade.dz B2B Platform</w:t>
      </w:r>
    </w:p>
    <w:p>
      <w:pPr>
        <w:spacing w:after="400"/>
        <w:jc w:val="left"/>
      </w:pPr>
      <w:r>
        <w:rPr>
          <w:rFonts w:ascii="Calibri"/>
          <w:b/>
          <w:bCs/>
          <w:color w:val="415A77"/>
          <w:sz w:val="36"/>
          <w:szCs w:val="36"/>
        </w:rPr>
        <w:t xml:space="preserve">Phase 2 Security Implementation Audit Report</w:t>
      </w:r>
    </w:p>
    <w:p>
      <w:pPr>
        <w:pBdr>
          <w:top w:val="single" w:color="E63946" w:sz="6"/>
        </w:pBdr>
        <w:spacing w:after="100" w:before="400"/>
      </w:pPr>
    </w:p>
    <w:p>
      <w:pPr>
        <w:spacing w:after="80" w:line="312"/>
      </w:pPr>
      <w:r>
        <w:rPr>
          <w:b/>
          <w:bCs/>
          <w:color w:val="1B263B"/>
          <w:sz w:val="24"/>
          <w:szCs w:val="24"/>
        </w:rPr>
        <w:t xml:space="preserve">Report Type: </w:t>
      </w:r>
      <w:r>
        <w:rPr>
          <w:color w:val="1B263B"/>
          <w:sz w:val="24"/>
          <w:szCs w:val="24"/>
        </w:rPr>
        <w:t xml:space="preserve">Security Hardening &amp; Production Readiness Assessment</w:t>
      </w:r>
    </w:p>
    <w:p>
      <w:pPr>
        <w:spacing w:after="80" w:line="312"/>
      </w:pPr>
      <w:r>
        <w:rPr>
          <w:b/>
          <w:bCs/>
          <w:color w:val="1B263B"/>
          <w:sz w:val="24"/>
          <w:szCs w:val="24"/>
        </w:rPr>
        <w:t xml:space="preserve">Version: </w:t>
      </w:r>
      <w:r>
        <w:rPr>
          <w:color w:val="1B263B"/>
          <w:sz w:val="24"/>
          <w:szCs w:val="24"/>
        </w:rPr>
        <w:t xml:space="preserve">2.0.0</w:t>
      </w:r>
    </w:p>
    <w:p>
      <w:pPr>
        <w:spacing w:after="80" w:line="312"/>
      </w:pPr>
      <w:r>
        <w:rPr>
          <w:b/>
          <w:bCs/>
          <w:color w:val="1B263B"/>
          <w:sz w:val="24"/>
          <w:szCs w:val="24"/>
        </w:rPr>
        <w:t xml:space="preserve">Date: </w:t>
      </w:r>
      <w:r>
        <w:rPr>
          <w:color w:val="1B263B"/>
          <w:sz w:val="24"/>
          <w:szCs w:val="24"/>
        </w:rPr>
        <w:t xml:space="preserve">2026-08-17</w:t>
      </w:r>
    </w:p>
    <w:p>
      <w:pPr>
        <w:spacing w:after="80" w:line="312"/>
      </w:pPr>
      <w:r>
        <w:rPr>
          <w:b/>
          <w:bCs/>
          <w:color w:val="1B263B"/>
          <w:sz w:val="24"/>
          <w:szCs w:val="24"/>
        </w:rPr>
        <w:t xml:space="preserve">Classification: </w:t>
      </w:r>
      <w:r>
        <w:rPr>
          <w:color w:val="1B263B"/>
          <w:sz w:val="24"/>
          <w:szCs w:val="24"/>
        </w:rPr>
        <w:t xml:space="preserve">Internal - Security Team</w:t>
      </w:r>
    </w:p>
    <w:p>
      <w:pPr>
        <w:spacing w:after="80" w:line="312"/>
      </w:pPr>
      <w:r>
        <w:rPr>
          <w:b/>
          <w:bCs/>
          <w:color w:val="1B263B"/>
          <w:sz w:val="24"/>
          <w:szCs w:val="24"/>
        </w:rPr>
        <w:t xml:space="preserve">Status: </w:t>
      </w:r>
      <w:r>
        <w:rPr>
          <w:color w:val="1B263B"/>
          <w:sz w:val="24"/>
          <w:szCs w:val="24"/>
        </w:rPr>
        <w:t xml:space="preserve">Complete</w:t>
      </w:r>
    </w:p>
    <w:p>
      <w:pPr>
        <w:spacing w:before="600"/>
      </w:pPr>
    </w:p>
    <w:tbl>
      <w:tblPr>
        <w:tblW w:type="pct" w:w="100%"/>
        <w:tblBorders>
          <w:top w:val="none"/>
          <w:left w:val="none"/>
          <w:bottom w:val="none"/>
          <w:right w:val="none"/>
          <w:insideH w:val="none"/>
          <w:insideV w:val="single" w:color="415A77" w:sz="1"/>
        </w:tblBorders>
      </w:tblPr>
      <w:tblGrid>
        <w:gridCol w:w="100"/>
        <w:gridCol w:w="100"/>
      </w:tblGrid>
      <w:tr>
        <w:tc>
          <w:tcPr>
            <w:tcW w:type="pct" w:w="30%"/>
            <w:tcBorders>
              <w:top w:val="none"/>
              <w:left w:val="none"/>
              <w:bottom w:val="none"/>
              <w:right w:val="none"/>
            </w:tcBorders>
          </w:tcPr>
          <w:p>
            <w:r>
              <w:rPr>
                <w:b/>
                <w:bCs/>
                <w:color w:val="415A77"/>
                <w:sz w:val="22"/>
                <w:szCs w:val="22"/>
              </w:rPr>
              <w:t xml:space="preserve">Prepared By:</w:t>
            </w:r>
          </w:p>
        </w:tc>
        <w:tc>
          <w:tcPr>
            <w:tcW w:type="pct" w:w="70%"/>
            <w:tcBorders>
              <w:top w:val="none"/>
              <w:left w:val="none"/>
              <w:bottom w:val="none"/>
              <w:right w:val="none"/>
            </w:tcBorders>
          </w:tcPr>
          <w:p>
            <w:r>
              <w:rPr>
                <w:color w:val="1B263B"/>
                <w:sz w:val="22"/>
                <w:szCs w:val="22"/>
              </w:rPr>
              <w:t xml:space="preserve">Security Engineering Team</w:t>
            </w:r>
          </w:p>
        </w:tc>
      </w:tr>
      <w:tr>
        <w:tc>
          <w:tcPr>
            <w:tcW w:type="pct" w:w="30%"/>
            <w:tcBorders>
              <w:top w:val="none"/>
              <w:left w:val="none"/>
              <w:bottom w:val="none"/>
              <w:right w:val="none"/>
            </w:tcBorders>
          </w:tcPr>
          <w:p>
            <w:r>
              <w:rPr>
                <w:b/>
                <w:bCs/>
                <w:color w:val="415A77"/>
                <w:sz w:val="22"/>
                <w:szCs w:val="22"/>
              </w:rPr>
              <w:t xml:space="preserve">Reviewed By:</w:t>
            </w:r>
          </w:p>
        </w:tc>
        <w:tc>
          <w:tcPr>
            <w:tcW w:type="pct" w:w="70%"/>
            <w:tcBorders>
              <w:top w:val="none"/>
              <w:left w:val="none"/>
              <w:bottom w:val="none"/>
              <w:right w:val="none"/>
            </w:tcBorders>
          </w:tcPr>
          <w:p>
            <w:r>
              <w:rPr>
                <w:color w:val="1B263B"/>
                <w:sz w:val="22"/>
                <w:szCs w:val="22"/>
              </w:rPr>
              <w:t xml:space="preserve">CTO / Chief Security Officer</w:t>
            </w:r>
          </w:p>
        </w:tc>
      </w:tr>
      <w:tr>
        <w:tc>
          <w:tcPr>
            <w:tcW w:type="pct" w:w="30%"/>
            <w:tcBorders>
              <w:top w:val="none"/>
              <w:left w:val="none"/>
              <w:bottom w:val="none"/>
              <w:right w:val="none"/>
            </w:tcBorders>
          </w:tcPr>
          <w:p>
            <w:r>
              <w:rPr>
                <w:b/>
                <w:bCs/>
                <w:color w:val="415A77"/>
                <w:sz w:val="22"/>
                <w:szCs w:val="22"/>
              </w:rPr>
              <w:t xml:space="preserve">Distribution:</w:t>
            </w:r>
          </w:p>
        </w:tc>
        <w:tc>
          <w:tcPr>
            <w:tcW w:type="pct" w:w="70%"/>
            <w:tcBorders>
              <w:top w:val="none"/>
              <w:left w:val="none"/>
              <w:bottom w:val="none"/>
              <w:right w:val="none"/>
            </w:tcBorders>
          </w:tcPr>
          <w:p>
            <w:r>
              <w:rPr>
                <w:color w:val="1B263B"/>
                <w:sz w:val="22"/>
                <w:szCs w:val="22"/>
              </w:rPr>
              <w:t xml:space="preserve">Engineering Leadership, DevOps, Security</w:t>
            </w:r>
          </w:p>
        </w:tc>
      </w:tr>
      <w:tr>
        <w:tc>
          <w:tcPr>
            <w:tcW w:type="pct" w:w="30%"/>
            <w:tcBorders>
              <w:top w:val="none"/>
              <w:left w:val="none"/>
              <w:bottom w:val="none"/>
              <w:right w:val="none"/>
            </w:tcBorders>
          </w:tcPr>
          <w:p>
            <w:r>
              <w:rPr>
                <w:b/>
                <w:bCs/>
                <w:color w:val="415A77"/>
                <w:sz w:val="22"/>
                <w:szCs w:val="22"/>
              </w:rPr>
              <w:t xml:space="preserve">Next Review:</w:t>
            </w:r>
          </w:p>
        </w:tc>
        <w:tc>
          <w:tcPr>
            <w:tcW w:type="pct" w:w="70%"/>
            <w:tcBorders>
              <w:top w:val="none"/>
              <w:left w:val="none"/>
              <w:bottom w:val="none"/>
              <w:right w:val="none"/>
            </w:tcBorders>
          </w:tcPr>
          <w:p>
            <w:r>
              <w:rPr>
                <w:color w:val="1B263B"/>
                <w:sz w:val="22"/>
                <w:szCs w:val="22"/>
              </w:rPr>
              <w:t xml:space="preserve">Quarterly or Post-Incident</w:t>
            </w:r>
          </w:p>
        </w:tc>
      </w:tr>
    </w:tbl>
    <w:p>
      <w:pPr>
        <w:sectPr>
          <w:pgSz w:w="11906" w:h="16838" w:orient="portrait"/>
          <w:pgMar w:top="0" w:right="1440" w:bottom="0" w:left="1440" w:header="708" w:footer="708" w:gutter="0"/>
          <w:pgNumType/>
          <w:docGrid w:linePitch="360"/>
        </w:sectPr>
      </w:pPr>
    </w:p>
    <w:sdt>
      <w:sdtPr>
        <w:alias w:val="Table of Contents"/>
      </w:sdtPr>
      <w:sdtContent>
        <w:p>
          <w:r>
            <w:fldChar w:fldCharType="begin" w:dirty="true"/>
            <w:instrText xml:space="preserve">TOC \h \o "[object Object]"</w:instrText>
            <w:fldChar w:fldCharType="separate"/>
          </w:r>
        </w:p>
        <w:p>
          <w:r>
            <w:fldChar w:fldCharType="end"/>
          </w:r>
        </w:p>
      </w:sdtContent>
    </w:sdt>
    <w:p>
      <w:r>
        <w:br w:type="page"/>
      </w:r>
    </w:p>
    <w:p>
      <w:pPr>
        <w:sectPr>
          <w:pgSz w:w="11906" w:h="16838" w:orient="portrait"/>
          <w:pgMar w:top="1440" w:right="1417" w:bottom="1440" w:left="1701" w:header="708" w:footer="708" w:gutter="0"/>
          <w:pgNumType/>
          <w:docGrid w:linePitch="360"/>
        </w:sectPr>
      </w:pPr>
    </w:p>
    <w:p>
      <w:pPr>
        <w:pStyle w:val="Heading1"/>
        <w:spacing w:after="200" w:before="400"/>
      </w:pPr>
      <w:r>
        <w:rPr>
          <w:rFonts w:ascii="Calibri" w:eastAsia="Microsoft YaHei"/>
          <w:b/>
          <w:bCs/>
          <w:color w:val="0D1B2A"/>
          <w:sz w:val="32"/>
          <w:szCs w:val="32"/>
        </w:rPr>
        <w:t xml:space="preserve">Executive Summary</w:t>
      </w:r>
    </w:p>
    <w:p>
      <w:pPr>
        <w:spacing w:after="120" w:line="312"/>
        <w:jc w:val="both"/>
      </w:pPr>
      <w:r>
        <w:rPr>
          <w:rFonts w:ascii="Calibri" w:cs="Calibri" w:eastAsia="Calibri" w:hAnsi="Calibri"/>
          <w:color w:val="1B263B"/>
          <w:sz w:val="24"/>
          <w:szCs w:val="24"/>
        </w:rPr>
        <w:t xml:space="preserve">This comprehensive security audit report documents the Phase 2 security hardening implementation for the AlgeriaTrade.dz B2B e-commerce platform. The primary objectives of this phase focused on four critical areas: upgrading the rate limiting infrastructure to support multi-instance deployments with Redis-backed distributed rate limiting, establishing automated penetration testing capabilities with OWASP ZAP integration, connecting the existing security monitoring system to enterprise alerting channels including Slack and PagerDuty, and ensuring production environments are properly configured with secure secret management practices.</w:t>
      </w:r>
    </w:p>
    <w:p>
      <w:pPr>
        <w:spacing w:after="120" w:line="312"/>
        <w:jc w:val="both"/>
      </w:pPr>
      <w:r>
        <w:rPr>
          <w:rFonts w:ascii="Calibri" w:cs="Calibri" w:eastAsia="Calibri" w:hAnsi="Calibri"/>
          <w:color w:val="1B263B"/>
          <w:sz w:val="24"/>
          <w:szCs w:val="24"/>
        </w:rPr>
        <w:t xml:space="preserve">The implementation successfully delivered production-ready security infrastructure that addresses key scalability and operational requirements. The Redis-backed rate limiter v2 introduces cluster support, distributed locking mechanisms via Lua scripts, circuit breaker patterns for fault tolerance, and comprehensive health monitoring metrics. The penetration testing suite provides automated vulnerability scanning covering OWASP Top 10 categories including injection attacks, cross-site scripting (XSS), authentication bypass attempts, and access control vulnerabilities. The alerting integration enables real-time security event notification with severity-based routing, deduplication logic, and escalation policies suitable for 24/7 operations.</w:t>
      </w:r>
    </w:p>
    <w:p>
      <w:pPr>
        <w:spacing w:after="120" w:line="312"/>
        <w:jc w:val="both"/>
      </w:pPr>
      <w:r>
        <w:rPr>
          <w:rFonts w:ascii="Calibri" w:cs="Calibri" w:eastAsia="Calibri" w:hAnsi="Calibri"/>
          <w:color w:val="1B263B"/>
          <w:sz w:val="24"/>
          <w:szCs w:val="24"/>
        </w:rPr>
        <w:t xml:space="preserve">Key findings indicate that the platform now meets enterprise-grade security standards for deployment readiness. All critical security controls have been implemented and validated through automated testing. The production environment template provides comprehensive configuration guidance with proper secret management practices, encryption requirements, and compliance considerations for Algerian data protection regulations.</w:t>
      </w:r>
    </w:p>
    <w:p>
      <w:pPr>
        <w:shd w:color="F1FAEE" w:val="solid"/>
        <w:spacing w:after="200" w:before="200"/>
      </w:pPr>
      <w:r>
        <w:rPr>
          <w:b/>
          <w:bCs/>
          <w:i/>
          <w:iCs/>
          <w:color w:val="0D1B2A"/>
          <w:sz w:val="22"/>
          <w:szCs w:val="22"/>
        </w:rPr>
        <w:t xml:space="preserve">Overall Assessment: PRODUCTION READY with recommendations for ongoing monitoring and regular security assessments.</w:t>
      </w:r>
    </w:p>
    <w:p>
      <w:pPr>
        <w:pStyle w:val="Heading1"/>
        <w:spacing w:after="200" w:before="400"/>
      </w:pPr>
      <w:r>
        <w:rPr>
          <w:rFonts w:ascii="Calibri" w:eastAsia="Microsoft YaHei"/>
          <w:b/>
          <w:bCs/>
          <w:color w:val="0D1B2A"/>
          <w:sz w:val="32"/>
          <w:szCs w:val="32"/>
        </w:rPr>
        <w:t xml:space="preserve">Test Scope &amp; Environment</w:t>
      </w:r>
    </w:p>
    <w:p>
      <w:pPr>
        <w:pStyle w:val="Heading2"/>
        <w:spacing w:after="200" w:before="300"/>
      </w:pPr>
      <w:r>
        <w:rPr>
          <w:rFonts w:ascii="Calibri" w:eastAsia="Microsoft YaHei"/>
          <w:b/>
          <w:bCs/>
          <w:color w:val="0D1B2A"/>
          <w:sz w:val="28"/>
          <w:szCs w:val="28"/>
        </w:rPr>
        <w:t xml:space="preserve">In-Scope Components</w:t>
      </w:r>
    </w:p>
    <w:p>
      <w:pPr>
        <w:spacing w:after="120" w:line="312"/>
        <w:jc w:val="both"/>
      </w:pPr>
      <w:r>
        <w:rPr>
          <w:rFonts w:ascii="Calibri" w:cs="Calibri" w:eastAsia="Calibri" w:hAnsi="Calibri"/>
          <w:color w:val="1B263B"/>
          <w:sz w:val="24"/>
          <w:szCs w:val="24"/>
        </w:rPr>
        <w:t xml:space="preserve">The security assessment covered the following components of the AlgeriaTrade.dz platform infrastructure:</w:t>
      </w:r>
    </w:p>
    <w:p>
      <w:pPr>
        <w:spacing w:after="100" w:before="100"/>
        <w:ind w:left="720"/>
      </w:pPr>
      <w:r>
        <w:rPr>
          <w:color w:val="1B263B"/>
          <w:sz w:val="24"/>
          <w:szCs w:val="24"/>
        </w:rPr>
        <w:t xml:space="preserve">Rate Limiting Infrastructure: Redis-backed rate limiting system with sliding window algorithm, Lua scripts for atomic operations, distributed locking support, circuit breaker patterns, health check endpoints, and metrics export capabilities.</w:t>
      </w:r>
    </w:p>
    <w:p>
      <w:pPr>
        <w:spacing w:after="100"/>
        <w:ind w:left="720"/>
      </w:pPr>
      <w:r>
        <w:rPr>
          <w:color w:val="1B263B"/>
          <w:sz w:val="24"/>
          <w:szCs w:val="24"/>
        </w:rPr>
        <w:t xml:space="preserve">Security Monitoring System: Event collection pipeline, alert rule engine, Slack integration with block kit formatting, PagerDuty incident creation with severity mapping, Discord webhook notifications, email alerts, and generic webhook support with HMAC signing.</w:t>
      </w:r>
    </w:p>
    <w:p>
      <w:pPr>
        <w:spacing w:after="100"/>
        <w:ind w:left="720"/>
      </w:pPr>
      <w:r>
        <w:rPr>
          <w:color w:val="1B263B"/>
          <w:sz w:val="24"/>
          <w:szCs w:val="24"/>
        </w:rPr>
        <w:t xml:space="preserve">Penetration Testing Suite: Automated OWASP Top 10 testing framework, SQL injection detection, XSS payload validation, CSRF protection verification, authentication bypass testing, access control validation, information disclosure checks, and API security assessment tools.</w:t>
      </w:r>
    </w:p>
    <w:p>
      <w:pPr>
        <w:spacing w:after="200"/>
        <w:ind w:left="720"/>
      </w:pPr>
      <w:r>
        <w:rPr>
          <w:color w:val="1B263B"/>
          <w:sz w:val="24"/>
          <w:szCs w:val="24"/>
        </w:rPr>
        <w:t xml:space="preserve">Production Configuration: Environment variable templates, secrets management utilities, Docker Compose production configurations, Nginx SSL termination settings, PostgreSQL connection pooling, Redis persistence options, and backup automation scripts.</w:t>
      </w:r>
    </w:p>
    <w:p>
      <w:pPr>
        <w:pStyle w:val="Heading2"/>
        <w:spacing w:after="200" w:before="300"/>
      </w:pPr>
      <w:r>
        <w:rPr>
          <w:rFonts w:ascii="Calibri" w:eastAsia="Microsoft YaHei"/>
          <w:b/>
          <w:bCs/>
          <w:color w:val="0D1B2A"/>
          <w:sz w:val="28"/>
          <w:szCs w:val="28"/>
        </w:rPr>
        <w:t xml:space="preserve">Out-of-Scope Components</w:t>
      </w:r>
    </w:p>
    <w:p>
      <w:pPr>
        <w:spacing w:after="120" w:line="312"/>
        <w:jc w:val="both"/>
      </w:pPr>
      <w:r>
        <w:rPr>
          <w:rFonts w:ascii="Calibri" w:cs="Calibri" w:eastAsia="Calibri" w:hAnsi="Calibri"/>
          <w:color w:val="1B263B"/>
          <w:sz w:val="24"/>
          <w:szCs w:val="24"/>
        </w:rPr>
        <w:t xml:space="preserve">The following items were explicitly excluded from this assessment phase and are scheduled for future evaluation: third-party payment gateway integrations requiring live transaction testing, mobile application binary security analysis, physical security of hosting infrastructure, social engineering awareness training effectiveness, and disaster recovery procedure validation through actual failover scenarios.</w:t>
      </w:r>
    </w:p>
    <w:p>
      <w:pPr>
        <w:pStyle w:val="Heading2"/>
        <w:spacing w:after="200" w:before="300"/>
      </w:pPr>
      <w:r>
        <w:rPr>
          <w:rFonts w:ascii="Calibri" w:eastAsia="Microsoft YaHei"/>
          <w:b/>
          <w:bCs/>
          <w:color w:val="0D1B2A"/>
          <w:sz w:val="28"/>
          <w:szCs w:val="28"/>
        </w:rPr>
        <w:t xml:space="preserve">Testing Environment</w:t>
      </w:r>
    </w:p>
    <w:tbl>
      <w:tblPr>
        <w:tblW w:type="pct" w:w="100%"/>
        <w:tblBorders>
          <w:top w:val="single" w:color="415A77" w:sz="1"/>
          <w:left w:val="single" w:color="415A77" w:sz="1"/>
          <w:bottom w:val="single" w:color="415A77" w:sz="1"/>
          <w:right w:val="single" w:color="415A77" w:sz="1"/>
          <w:insideH w:val="single" w:color="415A77" w:sz="1"/>
          <w:insideV w:val="single" w:color="415A77" w:sz="1"/>
        </w:tblBorders>
      </w:tblPr>
      <w:tblGrid>
        <w:gridCol w:w="100"/>
        <w:gridCol w:w="100"/>
        <w:gridCol w:w="100"/>
      </w:tblGrid>
      <w:tr>
        <w:trPr>
          <w:tblHeader/>
        </w:trPr>
        <w:tc>
          <w:tcPr>
            <w:shd w:color="0D1B2A" w:val="solid"/>
          </w:tcPr>
          <w:p>
            <w:r>
              <w:rPr>
                <w:b/>
                <w:bCs/>
                <w:color w:val="F1FAEE"/>
                <w:sz w:val="22"/>
                <w:szCs w:val="22"/>
              </w:rPr>
              <w:t xml:space="preserve">Component</w:t>
            </w:r>
          </w:p>
        </w:tc>
        <w:tc>
          <w:tcPr>
            <w:shd w:color="0D1B2A" w:val="solid"/>
          </w:tcPr>
          <w:p>
            <w:r>
              <w:rPr>
                <w:b/>
                <w:bCs/>
                <w:color w:val="F1FAEE"/>
                <w:sz w:val="22"/>
                <w:szCs w:val="22"/>
              </w:rPr>
              <w:t xml:space="preserve">Technology/Version</w:t>
            </w:r>
          </w:p>
        </w:tc>
        <w:tc>
          <w:tcPr>
            <w:shd w:color="0D1B2A" w:val="solid"/>
          </w:tcPr>
          <w:p>
            <w:r>
              <w:rPr>
                <w:b/>
                <w:bCs/>
                <w:color w:val="F1FAEE"/>
                <w:sz w:val="22"/>
                <w:szCs w:val="22"/>
              </w:rPr>
              <w:t xml:space="preserve">Purpose</w:t>
            </w:r>
          </w:p>
        </w:tc>
      </w:tr>
      <w:tr>
        <w:tc>
          <w:p>
            <w:r>
              <w:rPr>
                <w:color w:val="1B263B"/>
                <w:sz w:val="22"/>
                <w:szCs w:val="22"/>
              </w:rPr>
              <w:t xml:space="preserve">Application Framework</w:t>
            </w:r>
          </w:p>
        </w:tc>
        <w:tc>
          <w:p>
            <w:r>
              <w:rPr>
                <w:color w:val="1B263B"/>
                <w:sz w:val="22"/>
                <w:szCs w:val="22"/>
              </w:rPr>
              <w:t xml:space="preserve">Next.js 14+ (App Router)</w:t>
            </w:r>
          </w:p>
        </w:tc>
        <w:tc>
          <w:p>
            <w:r>
              <w:rPr>
                <w:color w:val="1B263B"/>
                <w:sz w:val="22"/>
                <w:szCs w:val="22"/>
              </w:rPr>
              <w:t xml:space="preserve">Primary web platform</w:t>
            </w:r>
          </w:p>
        </w:tc>
      </w:tr>
      <w:tr>
        <w:tc>
          <w:p>
            <w:r>
              <w:rPr>
                <w:color w:val="1B263B"/>
                <w:sz w:val="22"/>
                <w:szCs w:val="22"/>
              </w:rPr>
              <w:t xml:space="preserve">Database</w:t>
            </w:r>
          </w:p>
        </w:tc>
        <w:tc>
          <w:p>
            <w:r>
              <w:rPr>
                <w:color w:val="1B263B"/>
                <w:sz w:val="22"/>
                <w:szCs w:val="22"/>
              </w:rPr>
              <w:t xml:space="preserve">PostgreSQL 16</w:t>
            </w:r>
          </w:p>
        </w:tc>
        <w:tc>
          <w:p>
            <w:r>
              <w:rPr>
                <w:color w:val="1B263B"/>
                <w:sz w:val="22"/>
                <w:szCs w:val="22"/>
              </w:rPr>
              <w:t xml:space="preserve">Persistent data storage</w:t>
            </w:r>
          </w:p>
        </w:tc>
      </w:tr>
      <w:tr>
        <w:tc>
          <w:p>
            <w:r>
              <w:rPr>
                <w:color w:val="1B263B"/>
                <w:sz w:val="22"/>
                <w:szCs w:val="22"/>
              </w:rPr>
              <w:t xml:space="preserve">Cache/Rate Limiter</w:t>
            </w:r>
          </w:p>
        </w:tc>
        <w:tc>
          <w:p>
            <w:r>
              <w:rPr>
                <w:color w:val="1B263B"/>
                <w:sz w:val="22"/>
                <w:szCs w:val="22"/>
              </w:rPr>
              <w:t xml:space="preserve">Redis 7 (Cluster)</w:t>
            </w:r>
          </w:p>
        </w:tc>
        <w:tc>
          <w:p>
            <w:r>
              <w:rPr>
                <w:color w:val="1B263B"/>
                <w:sz w:val="22"/>
                <w:szCs w:val="22"/>
              </w:rPr>
              <w:t xml:space="preserve">Session cache &amp; rate limiting</w:t>
            </w:r>
          </w:p>
        </w:tc>
      </w:tr>
      <w:tr>
        <w:tc>
          <w:p>
            <w:r>
              <w:rPr>
                <w:color w:val="1B263B"/>
                <w:sz w:val="22"/>
                <w:szCs w:val="22"/>
              </w:rPr>
              <w:t xml:space="preserve">Web Server</w:t>
            </w:r>
          </w:p>
        </w:tc>
        <w:tc>
          <w:p>
            <w:r>
              <w:rPr>
                <w:color w:val="1B263B"/>
                <w:sz w:val="22"/>
                <w:szCs w:val="22"/>
              </w:rPr>
              <w:t xml:space="preserve">Nginx (Alpine)</w:t>
            </w:r>
          </w:p>
        </w:tc>
        <w:tc>
          <w:p>
            <w:r>
              <w:rPr>
                <w:color w:val="1B263B"/>
                <w:sz w:val="22"/>
                <w:szCs w:val="22"/>
              </w:rPr>
              <w:t xml:space="preserve">SSL termination &amp; reverse proxy</w:t>
            </w:r>
          </w:p>
        </w:tc>
      </w:tr>
      <w:tr>
        <w:tc>
          <w:p>
            <w:r>
              <w:rPr>
                <w:color w:val="1B263B"/>
                <w:sz w:val="22"/>
                <w:szCs w:val="22"/>
              </w:rPr>
              <w:t xml:space="preserve">Container Runtime</w:t>
            </w:r>
          </w:p>
        </w:tc>
        <w:tc>
          <w:p>
            <w:r>
              <w:rPr>
                <w:color w:val="1B263B"/>
                <w:sz w:val="22"/>
                <w:szCs w:val="22"/>
              </w:rPr>
              <w:t xml:space="preserve">Docker Compose</w:t>
            </w:r>
          </w:p>
        </w:tc>
        <w:tc>
          <w:p>
            <w:r>
              <w:rPr>
                <w:color w:val="1B263B"/>
                <w:sz w:val="22"/>
                <w:szCs w:val="22"/>
              </w:rPr>
              <w:t xml:space="preserve">Orchestration</w:t>
            </w:r>
          </w:p>
        </w:tc>
      </w:tr>
      <w:tr>
        <w:tc>
          <w:p>
            <w:r>
              <w:rPr>
                <w:color w:val="1B263B"/>
                <w:sz w:val="22"/>
                <w:szCs w:val="22"/>
              </w:rPr>
              <w:t xml:space="preserve">Security Scanner</w:t>
            </w:r>
          </w:p>
        </w:tc>
        <w:tc>
          <w:p>
            <w:r>
              <w:rPr>
                <w:color w:val="1B263B"/>
                <w:sz w:val="22"/>
                <w:szCs w:val="22"/>
              </w:rPr>
              <w:t xml:space="preserve">OWASP ZAP Stable</w:t>
            </w:r>
          </w:p>
        </w:tc>
        <w:tc>
          <w:p>
            <w:r>
              <w:rPr>
                <w:color w:val="1B263B"/>
                <w:sz w:val="22"/>
                <w:szCs w:val="22"/>
              </w:rPr>
              <w:t xml:space="preserve">Automated pen testing</w:t>
            </w:r>
          </w:p>
        </w:tc>
      </w:tr>
      <w:tr>
        <w:tc>
          <w:p>
            <w:r>
              <w:rPr>
                <w:color w:val="1B263B"/>
                <w:sz w:val="22"/>
                <w:szCs w:val="22"/>
              </w:rPr>
              <w:t xml:space="preserve">Node.js Runtime</w:t>
            </w:r>
          </w:p>
        </w:tc>
        <w:tc>
          <w:p>
            <w:r>
              <w:rPr>
                <w:color w:val="1B263B"/>
                <w:sz w:val="22"/>
                <w:szCs w:val="22"/>
              </w:rPr>
              <w:t xml:space="preserve">v20 LTS</w:t>
            </w:r>
          </w:p>
        </w:tc>
        <w:tc>
          <w:p>
            <w:r>
              <w:rPr>
                <w:color w:val="1B263B"/>
                <w:sz w:val="22"/>
                <w:szCs w:val="22"/>
              </w:rPr>
              <w:t xml:space="preserve">Server-side JavaScript</w:t>
            </w:r>
          </w:p>
        </w:tc>
      </w:tr>
    </w:tbl>
    <w:p>
      <w:pPr>
        <w:spacing w:after="120" w:line="312"/>
        <w:jc w:val="both"/>
      </w:pPr>
      <w:r>
        <w:rPr>
          <w:rFonts w:ascii="Calibri" w:cs="Calibri" w:eastAsia="Calibri" w:hAnsi="Calibri"/>
          <w:color w:val="1B263B"/>
          <w:sz w:val="24"/>
          <w:szCs w:val="24"/>
        </w:rPr>
        <w:t xml:space="preserve">All testing was conducted in isolated staging environments that mirror production architecture. No live production systems were subjected to active exploitation attempts during this assessment phase. Vulnerability findings were validated against staging instances before remediation guidance was provided.</w:t>
      </w:r>
    </w:p>
    <w:p>
      <w:pPr>
        <w:pStyle w:val="Heading1"/>
        <w:spacing w:after="200" w:before="400"/>
      </w:pPr>
      <w:r>
        <w:rPr>
          <w:rFonts w:ascii="Calibri" w:eastAsia="Microsoft YaHei"/>
          <w:b/>
          <w:bCs/>
          <w:color w:val="0D1B2A"/>
          <w:sz w:val="32"/>
          <w:szCs w:val="32"/>
        </w:rPr>
        <w:t xml:space="preserve">Phase 2 Implementation Results</w:t>
      </w:r>
    </w:p>
    <w:p>
      <w:pPr>
        <w:pStyle w:val="Heading2"/>
        <w:spacing w:after="200" w:before="300"/>
      </w:pPr>
      <w:r>
        <w:rPr>
          <w:rFonts w:ascii="Calibri" w:eastAsia="Microsoft YaHei"/>
          <w:b/>
          <w:bCs/>
          <w:color w:val="0D1B2A"/>
          <w:sz w:val="28"/>
          <w:szCs w:val="28"/>
        </w:rPr>
        <w:t xml:space="preserve">1. Redis-Backed Rate Limiting Upgrade</w:t>
      </w:r>
    </w:p>
    <w:p>
      <w:pPr>
        <w:spacing w:after="120" w:line="312"/>
        <w:jc w:val="both"/>
      </w:pPr>
      <w:r>
        <w:rPr>
          <w:rFonts w:ascii="Calibri" w:cs="Calibri" w:eastAsia="Calibri" w:hAnsi="Calibri"/>
          <w:color w:val="1B263B"/>
          <w:sz w:val="24"/>
          <w:szCs w:val="24"/>
        </w:rPr>
        <w:t xml:space="preserve">The upgraded rate limiting system represents a significant enhancement over the previous in-memory implementation. The new architecture supports horizontal scaling across multiple application instances while maintaining accurate request counting through Redis-based atomic operations. Key architectural improvements include the implementation of the sliding window log algorithm using sorted sets, which provides more precise rate limiting compared to fixed window approaches by tracking exact request timestamps within each time window.</w:t>
      </w:r>
    </w:p>
    <w:p>
      <w:pPr>
        <w:spacing w:after="120" w:line="312"/>
        <w:jc w:val="both"/>
      </w:pPr>
      <w:r>
        <w:rPr>
          <w:rFonts w:ascii="Calibri" w:cs="Calibri" w:eastAsia="Calibri" w:hAnsi="Calibri"/>
          <w:color w:val="1B263B"/>
          <w:sz w:val="24"/>
          <w:szCs w:val="24"/>
        </w:rPr>
        <w:t xml:space="preserve">Distributed locking mechanisms have been integrated using Lua scripts executed atomically within Redis, preventing race conditions during concurrent request processing from multiple application instances. The circuit breaker pattern automatically detects Redis connectivity failures and gracefully degrades to an in-memory fallback mode, ensuring service continuity even when the caching layer experiences outages. Health monitoring endpoints expose real-time metrics including total requests tracked, memory usage statistics, average and p99 latency measurements, and error rates by source backend.</w:t>
      </w:r>
    </w:p>
    <w:tbl>
      <w:tblPr>
        <w:tblW w:type="pct" w:w="100%"/>
        <w:tblBorders>
          <w:top w:val="single" w:color="415A77" w:sz="1"/>
          <w:left w:val="single" w:color="415A77" w:sz="1"/>
          <w:bottom w:val="single" w:color="415A77" w:sz="1"/>
          <w:right w:val="single" w:color="415A77" w:sz="1"/>
          <w:insideH w:val="single" w:color="415A77" w:sz="1"/>
          <w:insideV w:val="single" w:color="415A77" w:sz="1"/>
        </w:tblBorders>
      </w:tblPr>
      <w:tblGrid>
        <w:gridCol w:w="100"/>
        <w:gridCol w:w="100"/>
        <w:gridCol w:w="100"/>
      </w:tblGrid>
      <w:tr>
        <w:trPr>
          <w:tblHeader/>
        </w:trPr>
        <w:tc>
          <w:tcPr>
            <w:shd w:color="0D1B2A" w:val="solid"/>
          </w:tcPr>
          <w:p>
            <w:r>
              <w:rPr>
                <w:b/>
                <w:bCs/>
                <w:color w:val="F1FAEE"/>
                <w:sz w:val="22"/>
                <w:szCs w:val="22"/>
              </w:rPr>
              <w:t xml:space="preserve">Feature/Capability</w:t>
            </w:r>
          </w:p>
        </w:tc>
        <w:tc>
          <w:tcPr>
            <w:shd w:color="0D1B2A" w:val="solid"/>
          </w:tcPr>
          <w:p>
            <w:r>
              <w:rPr>
                <w:b/>
                <w:bCs/>
                <w:color w:val="F1FAEE"/>
                <w:sz w:val="22"/>
                <w:szCs w:val="22"/>
              </w:rPr>
              <w:t xml:space="preserve">Status</w:t>
            </w:r>
          </w:p>
        </w:tc>
        <w:tc>
          <w:tcPr>
            <w:shd w:color="0D1B2A" w:val="solid"/>
          </w:tcPr>
          <w:p>
            <w:r>
              <w:rPr>
                <w:b/>
                <w:bCs/>
                <w:color w:val="F1FAEE"/>
                <w:sz w:val="22"/>
                <w:szCs w:val="22"/>
              </w:rPr>
              <w:t xml:space="preserve">Details</w:t>
            </w:r>
          </w:p>
        </w:tc>
      </w:tr>
      <w:tr>
        <w:tc>
          <w:p>
            <w:r>
              <w:rPr>
                <w:color w:val="1B263B"/>
                <w:sz w:val="22"/>
                <w:szCs w:val="22"/>
              </w:rPr>
              <w:t xml:space="preserve">Sliding Window Algorithm</w:t>
            </w:r>
          </w:p>
        </w:tc>
        <w:tc>
          <w:p>
            <w:r>
              <w:rPr>
                <w:b/>
                <w:bCs/>
                <w:color w:val="2E7D32"/>
                <w:sz w:val="22"/>
                <w:szCs w:val="22"/>
              </w:rPr>
              <w:t xml:space="preserve">Implemented</w:t>
            </w:r>
          </w:p>
        </w:tc>
        <w:tc>
          <w:p>
            <w:r>
              <w:rPr>
                <w:color w:val="415A77"/>
                <w:sz w:val="22"/>
                <w:szCs w:val="22"/>
              </w:rPr>
              <w:t xml:space="preserve">Redis Sorted Sets with Lua scripts</w:t>
            </w:r>
          </w:p>
        </w:tc>
      </w:tr>
      <w:tr>
        <w:tc>
          <w:p>
            <w:r>
              <w:rPr>
                <w:color w:val="1B263B"/>
                <w:sz w:val="22"/>
                <w:szCs w:val="22"/>
              </w:rPr>
              <w:t xml:space="preserve">Cluster Support</w:t>
            </w:r>
          </w:p>
        </w:tc>
        <w:tc>
          <w:p>
            <w:r>
              <w:rPr>
                <w:b/>
                <w:bCs/>
                <w:color w:val="2E7D32"/>
                <w:sz w:val="22"/>
                <w:szCs w:val="22"/>
              </w:rPr>
              <w:t xml:space="preserve">Implemented</w:t>
            </w:r>
          </w:p>
        </w:tc>
        <w:tc>
          <w:p>
            <w:r>
              <w:rPr>
                <w:color w:val="415A77"/>
                <w:sz w:val="22"/>
                <w:szCs w:val="22"/>
              </w:rPr>
              <w:t xml:space="preserve">Redis Cluster with automatic node discovery</w:t>
            </w:r>
          </w:p>
        </w:tc>
      </w:tr>
      <w:tr>
        <w:tc>
          <w:p>
            <w:r>
              <w:rPr>
                <w:color w:val="1B263B"/>
                <w:sz w:val="22"/>
                <w:szCs w:val="22"/>
              </w:rPr>
              <w:t xml:space="preserve">Distributed Locking</w:t>
            </w:r>
          </w:p>
        </w:tc>
        <w:tc>
          <w:p>
            <w:r>
              <w:rPr>
                <w:b/>
                <w:bCs/>
                <w:color w:val="2E7D32"/>
                <w:sz w:val="22"/>
                <w:szCs w:val="22"/>
              </w:rPr>
              <w:t xml:space="preserve">Implemented</w:t>
            </w:r>
          </w:p>
        </w:tc>
        <w:tc>
          <w:p>
            <w:r>
              <w:rPr>
                <w:color w:val="415A77"/>
                <w:sz w:val="22"/>
                <w:szCs w:val="22"/>
              </w:rPr>
              <w:t xml:space="preserve">Atomic Lua scripts for critical sections</w:t>
            </w:r>
          </w:p>
        </w:tc>
      </w:tr>
      <w:tr>
        <w:tc>
          <w:p>
            <w:r>
              <w:rPr>
                <w:color w:val="1B263B"/>
                <w:sz w:val="22"/>
                <w:szCs w:val="22"/>
              </w:rPr>
              <w:t xml:space="preserve">Circuit Breaker Pattern</w:t>
            </w:r>
          </w:p>
        </w:tc>
        <w:tc>
          <w:p>
            <w:r>
              <w:rPr>
                <w:b/>
                <w:bCs/>
                <w:color w:val="2E7D32"/>
                <w:sz w:val="22"/>
                <w:szCs w:val="22"/>
              </w:rPr>
              <w:t xml:space="preserve">Implemented</w:t>
            </w:r>
          </w:p>
        </w:tc>
        <w:tc>
          <w:p>
            <w:r>
              <w:rPr>
                <w:color w:val="415A77"/>
                <w:sz w:val="22"/>
                <w:szCs w:val="22"/>
              </w:rPr>
              <w:t xml:space="preserve">Automatic fallback on Redis failures</w:t>
            </w:r>
          </w:p>
        </w:tc>
      </w:tr>
      <w:tr>
        <w:tc>
          <w:p>
            <w:r>
              <w:rPr>
                <w:color w:val="1B263B"/>
                <w:sz w:val="22"/>
                <w:szCs w:val="22"/>
              </w:rPr>
              <w:t xml:space="preserve">Local Cache Layer</w:t>
            </w:r>
          </w:p>
        </w:tc>
        <w:tc>
          <w:p>
            <w:r>
              <w:rPr>
                <w:b/>
                <w:bCs/>
                <w:color w:val="2E7D32"/>
                <w:sz w:val="22"/>
                <w:szCs w:val="22"/>
              </w:rPr>
              <w:t xml:space="preserve">Implemented</w:t>
            </w:r>
          </w:p>
        </w:tc>
        <w:tc>
          <w:p>
            <w:r>
              <w:rPr>
                <w:color w:val="415A77"/>
                <w:sz w:val="22"/>
                <w:szCs w:val="22"/>
              </w:rPr>
              <w:t xml:space="preserve">Read-through caching for performance</w:t>
            </w:r>
          </w:p>
        </w:tc>
      </w:tr>
      <w:tr>
        <w:tc>
          <w:p>
            <w:r>
              <w:rPr>
                <w:color w:val="1B263B"/>
                <w:sz w:val="22"/>
                <w:szCs w:val="22"/>
              </w:rPr>
              <w:t xml:space="preserve">Health Check Endpoints</w:t>
            </w:r>
          </w:p>
        </w:tc>
        <w:tc>
          <w:p>
            <w:r>
              <w:rPr>
                <w:b/>
                <w:bCs/>
                <w:color w:val="2E7D32"/>
                <w:sz w:val="22"/>
                <w:szCs w:val="22"/>
              </w:rPr>
              <w:t xml:space="preserve">Implemented</w:t>
            </w:r>
          </w:p>
        </w:tc>
        <w:tc>
          <w:p>
            <w:r>
              <w:rPr>
                <w:color w:val="415A77"/>
                <w:sz w:val="22"/>
                <w:szCs w:val="22"/>
              </w:rPr>
              <w:t xml:space="preserve">/api/health/rate-limiter with detailed metrics</w:t>
            </w:r>
          </w:p>
        </w:tc>
      </w:tr>
      <w:tr>
        <w:tc>
          <w:p>
            <w:r>
              <w:rPr>
                <w:color w:val="1B263B"/>
                <w:sz w:val="22"/>
                <w:szCs w:val="22"/>
              </w:rPr>
              <w:t xml:space="preserve">Metrics Export</w:t>
            </w:r>
          </w:p>
        </w:tc>
        <w:tc>
          <w:p>
            <w:r>
              <w:rPr>
                <w:b/>
                <w:bCs/>
                <w:color w:val="2E7D32"/>
                <w:sz w:val="22"/>
                <w:szCs w:val="22"/>
              </w:rPr>
              <w:t xml:space="preserve">Implemented</w:t>
            </w:r>
          </w:p>
        </w:tc>
        <w:tc>
          <w:p>
            <w:r>
              <w:rPr>
                <w:color w:val="415A77"/>
                <w:sz w:val="22"/>
                <w:szCs w:val="22"/>
              </w:rPr>
              <w:t xml:space="preserve">Prometheus-compatible format available</w:t>
            </w:r>
          </w:p>
        </w:tc>
      </w:tr>
      <w:tr>
        <w:tc>
          <w:p>
            <w:r>
              <w:rPr>
                <w:color w:val="1B263B"/>
                <w:sz w:val="22"/>
                <w:szCs w:val="22"/>
              </w:rPr>
              <w:t xml:space="preserve">Graceful Degradation</w:t>
            </w:r>
          </w:p>
        </w:tc>
        <w:tc>
          <w:p>
            <w:r>
              <w:rPr>
                <w:b/>
                <w:bCs/>
                <w:color w:val="2E7D32"/>
                <w:sz w:val="22"/>
                <w:szCs w:val="22"/>
              </w:rPr>
              <w:t xml:space="preserve">Implemented</w:t>
            </w:r>
          </w:p>
        </w:tc>
        <w:tc>
          <w:p>
            <w:r>
              <w:rPr>
                <w:color w:val="415A77"/>
                <w:sz w:val="22"/>
                <w:szCs w:val="22"/>
              </w:rPr>
              <w:t xml:space="preserve">Automatic memory fallback</w:t>
            </w:r>
          </w:p>
        </w:tc>
      </w:tr>
    </w:tbl>
    <w:p>
      <w:pPr>
        <w:pStyle w:val="Heading2"/>
        <w:spacing w:after="200" w:before="300"/>
      </w:pPr>
      <w:r>
        <w:rPr>
          <w:rFonts w:ascii="Calibri" w:eastAsia="Microsoft YaHei"/>
          <w:b/>
          <w:bCs/>
          <w:color w:val="0D1B2A"/>
          <w:sz w:val="28"/>
          <w:szCs w:val="28"/>
        </w:rPr>
        <w:t xml:space="preserve">2. Penetration Testing Suite</w:t>
      </w:r>
    </w:p>
    <w:p>
      <w:pPr>
        <w:spacing w:after="120" w:line="312"/>
        <w:jc w:val="both"/>
      </w:pPr>
      <w:r>
        <w:rPr>
          <w:rFonts w:ascii="Calibri" w:cs="Calibri" w:eastAsia="Calibri" w:hAnsi="Calibri"/>
          <w:color w:val="1B263B"/>
          <w:sz w:val="24"/>
          <w:szCs w:val="24"/>
        </w:rPr>
        <w:t xml:space="preserve">A comprehensive automated penetration testing framework has been developed to enable continuous security validation throughout the development lifecycle. The testing suite covers all major categories from the OWASP Top 10 vulnerability classification and includes specialized tests for B2B e-commerce platform attack surfaces. The framework is designed for integration into CI/CD pipelines, enabling automatic security gates that can block deployments when critical vulnerabilities are detected.</w:t>
      </w:r>
    </w:p>
    <w:p>
      <w:pPr>
        <w:spacing w:after="120" w:line="312"/>
        <w:jc w:val="both"/>
      </w:pPr>
      <w:r>
        <w:rPr>
          <w:rFonts w:ascii="Calibri" w:cs="Calibri" w:eastAsia="Calibri" w:hAnsi="Calibri"/>
          <w:color w:val="1B263B"/>
          <w:sz w:val="24"/>
          <w:szCs w:val="24"/>
        </w:rPr>
        <w:t xml:space="preserve">The penetration testing implementation includes multiple test modules targeting different vulnerability classes. Injection attack testing covers SQL injection, NoSQL injection, command injection, and LDAP injection vectors with extensive payload libraries derived from real-world attack patterns. Cross-site scripting (XSS) testing validates both reflected and stored XSS prevention mechanisms across all user input endpoints. Authentication security testing verifies protection against brute force attacks, user enumeration, credential stuffing, and session hijacking scenarios.</w:t>
      </w:r>
    </w:p>
    <w:tbl>
      <w:tblPr>
        <w:tblW w:type="pct" w:w="100%"/>
        <w:tblBorders>
          <w:top w:val="single" w:color="415A77" w:sz="1"/>
          <w:left w:val="single" w:color="415A77" w:sz="1"/>
          <w:bottom w:val="single" w:color="415A77" w:sz="1"/>
          <w:right w:val="single" w:color="415A77" w:sz="1"/>
          <w:insideH w:val="single" w:color="415A77" w:sz="1"/>
          <w:insideV w:val="single" w:color="415A77" w:sz="1"/>
        </w:tblBorders>
      </w:tblPr>
      <w:tblGrid>
        <w:gridCol w:w="100"/>
        <w:gridCol w:w="100"/>
        <w:gridCol w:w="100"/>
      </w:tblGrid>
      <w:tr>
        <w:trPr>
          <w:tblHeader/>
        </w:trPr>
        <w:tc>
          <w:tcPr>
            <w:shd w:color="0D1B2A" w:val="solid"/>
          </w:tcPr>
          <w:p>
            <w:r>
              <w:rPr>
                <w:b/>
                <w:bCs/>
                <w:color w:val="F1FAEE"/>
                <w:sz w:val="22"/>
                <w:szCs w:val="22"/>
              </w:rPr>
              <w:t xml:space="preserve">Feature/Capability</w:t>
            </w:r>
          </w:p>
        </w:tc>
        <w:tc>
          <w:tcPr>
            <w:shd w:color="0D1B2A" w:val="solid"/>
          </w:tcPr>
          <w:p>
            <w:r>
              <w:rPr>
                <w:b/>
                <w:bCs/>
                <w:color w:val="F1FAEE"/>
                <w:sz w:val="22"/>
                <w:szCs w:val="22"/>
              </w:rPr>
              <w:t xml:space="preserve">Status</w:t>
            </w:r>
          </w:p>
        </w:tc>
        <w:tc>
          <w:tcPr>
            <w:shd w:color="0D1B2A" w:val="solid"/>
          </w:tcPr>
          <w:p>
            <w:r>
              <w:rPr>
                <w:b/>
                <w:bCs/>
                <w:color w:val="F1FAEE"/>
                <w:sz w:val="22"/>
                <w:szCs w:val="22"/>
              </w:rPr>
              <w:t xml:space="preserve">Details</w:t>
            </w:r>
          </w:p>
        </w:tc>
      </w:tr>
      <w:tr>
        <w:tc>
          <w:p>
            <w:r>
              <w:rPr>
                <w:color w:val="1B263B"/>
                <w:sz w:val="22"/>
                <w:szCs w:val="22"/>
              </w:rPr>
              <w:t xml:space="preserve">SQL Injection Detection</w:t>
            </w:r>
          </w:p>
        </w:tc>
        <w:tc>
          <w:p>
            <w:r>
              <w:rPr>
                <w:b w:val="false"/>
                <w:bCs w:val="false"/>
                <w:color w:val="1B263B"/>
                <w:sz w:val="22"/>
                <w:szCs w:val="22"/>
              </w:rPr>
              <w:t xml:space="preserve">10+ Payloads</w:t>
            </w:r>
          </w:p>
        </w:tc>
        <w:tc>
          <w:p>
            <w:r>
              <w:rPr>
                <w:color w:val="415A77"/>
                <w:sz w:val="22"/>
                <w:szCs w:val="22"/>
              </w:rPr>
              <w:t xml:space="preserve">Error-based &amp; blind injection</w:t>
            </w:r>
          </w:p>
        </w:tc>
      </w:tr>
      <w:tr>
        <w:tc>
          <w:p>
            <w:r>
              <w:rPr>
                <w:color w:val="1B263B"/>
                <w:sz w:val="22"/>
                <w:szCs w:val="22"/>
              </w:rPr>
              <w:t xml:space="preserve">XSS Prevention Validation</w:t>
            </w:r>
          </w:p>
        </w:tc>
        <w:tc>
          <w:p>
            <w:r>
              <w:rPr>
                <w:b w:val="false"/>
                <w:bCs w:val="false"/>
                <w:color w:val="1B263B"/>
                <w:sz w:val="22"/>
                <w:szCs w:val="22"/>
              </w:rPr>
              <w:t xml:space="preserve">9 Payload Types</w:t>
            </w:r>
          </w:p>
        </w:tc>
        <w:tc>
          <w:p>
            <w:r>
              <w:rPr>
                <w:color w:val="415A77"/>
                <w:sz w:val="22"/>
                <w:szCs w:val="22"/>
              </w:rPr>
              <w:t xml:space="preserve">Reflected, stored, DOM-based</w:t>
            </w:r>
          </w:p>
        </w:tc>
      </w:tr>
      <w:tr>
        <w:tc>
          <w:p>
            <w:r>
              <w:rPr>
                <w:color w:val="1B263B"/>
                <w:sz w:val="22"/>
                <w:szCs w:val="22"/>
              </w:rPr>
              <w:t xml:space="preserve">CSRF Protection Testing</w:t>
            </w:r>
          </w:p>
        </w:tc>
        <w:tc>
          <w:p>
            <w:r>
              <w:rPr>
                <w:b w:val="false"/>
                <w:bCs w:val="false"/>
                <w:color w:val="1B263B"/>
                <w:sz w:val="22"/>
                <w:szCs w:val="22"/>
              </w:rPr>
              <w:t xml:space="preserve">Token Validation</w:t>
            </w:r>
          </w:p>
        </w:tc>
        <w:tc>
          <w:p>
            <w:r>
              <w:rPr>
                <w:color w:val="415A77"/>
                <w:sz w:val="22"/>
                <w:szCs w:val="22"/>
              </w:rPr>
              <w:t xml:space="preserve">Origin/Referer checking</w:t>
            </w:r>
          </w:p>
        </w:tc>
      </w:tr>
      <w:tr>
        <w:tc>
          <w:p>
            <w:r>
              <w:rPr>
                <w:color w:val="1B263B"/>
                <w:sz w:val="22"/>
                <w:szCs w:val="22"/>
              </w:rPr>
              <w:t xml:space="preserve">Authentication Security</w:t>
            </w:r>
          </w:p>
        </w:tc>
        <w:tc>
          <w:p>
            <w:r>
              <w:rPr>
                <w:b w:val="false"/>
                <w:bCs w:val="false"/>
                <w:color w:val="1B263B"/>
                <w:sz w:val="22"/>
                <w:szCs w:val="22"/>
              </w:rPr>
              <w:t xml:space="preserve">6 Test Categories</w:t>
            </w:r>
          </w:p>
        </w:tc>
        <w:tc>
          <w:p>
            <w:r>
              <w:rPr>
                <w:color w:val="415A77"/>
                <w:sz w:val="22"/>
                <w:szCs w:val="22"/>
              </w:rPr>
              <w:t xml:space="preserve">Brute force, enumeration, lockout</w:t>
            </w:r>
          </w:p>
        </w:tc>
      </w:tr>
      <w:tr>
        <w:tc>
          <w:p>
            <w:r>
              <w:rPr>
                <w:color w:val="1B263B"/>
                <w:sz w:val="22"/>
                <w:szCs w:val="22"/>
              </w:rPr>
              <w:t xml:space="preserve">Access Control (IDOR)</w:t>
            </w:r>
          </w:p>
        </w:tc>
        <w:tc>
          <w:p>
            <w:r>
              <w:rPr>
                <w:b w:val="false"/>
                <w:bCs w:val="false"/>
                <w:color w:val="1B263B"/>
                <w:sz w:val="22"/>
                <w:szCs w:val="22"/>
              </w:rPr>
              <w:t xml:space="preserve">Endpoint Testing</w:t>
            </w:r>
          </w:p>
        </w:tc>
        <w:tc>
          <w:p>
            <w:r>
              <w:rPr>
                <w:color w:val="415A77"/>
                <w:sz w:val="22"/>
                <w:szCs w:val="22"/>
              </w:rPr>
              <w:t xml:space="preserve">Admin &amp; user resource isolation</w:t>
            </w:r>
          </w:p>
        </w:tc>
      </w:tr>
      <w:tr>
        <w:tc>
          <w:p>
            <w:r>
              <w:rPr>
                <w:color w:val="1B263B"/>
                <w:sz w:val="22"/>
                <w:szCs w:val="22"/>
              </w:rPr>
              <w:t xml:space="preserve">Security Headers</w:t>
            </w:r>
          </w:p>
        </w:tc>
        <w:tc>
          <w:p>
            <w:r>
              <w:rPr>
                <w:b w:val="false"/>
                <w:bCs w:val="false"/>
                <w:color w:val="1B263B"/>
                <w:sz w:val="22"/>
                <w:szCs w:val="22"/>
              </w:rPr>
              <w:t xml:space="preserve">8 Headers Validated</w:t>
            </w:r>
          </w:p>
        </w:tc>
        <w:tc>
          <w:p>
            <w:r>
              <w:rPr>
                <w:color w:val="415A77"/>
                <w:sz w:val="22"/>
                <w:szCs w:val="22"/>
              </w:rPr>
              <w:t xml:space="preserve">HSTS, CSP, X-Frame-Options, etc.</w:t>
            </w:r>
          </w:p>
        </w:tc>
      </w:tr>
      <w:tr>
        <w:tc>
          <w:p>
            <w:r>
              <w:rPr>
                <w:color w:val="1B263B"/>
                <w:sz w:val="22"/>
                <w:szCs w:val="22"/>
              </w:rPr>
              <w:t xml:space="preserve">Information Disclosure</w:t>
            </w:r>
          </w:p>
        </w:tc>
        <w:tc>
          <w:p>
            <w:r>
              <w:rPr>
                <w:b w:val="false"/>
                <w:bCs w:val="false"/>
                <w:color w:val="1B263B"/>
                <w:sz w:val="22"/>
                <w:szCs w:val="22"/>
              </w:rPr>
              <w:t xml:space="preserve">15+ Sensitive Paths</w:t>
            </w:r>
          </w:p>
        </w:tc>
        <w:tc>
          <w:p>
            <w:r>
              <w:rPr>
                <w:color w:val="415A77"/>
                <w:sz w:val="22"/>
                <w:szCs w:val="22"/>
              </w:rPr>
              <w:t xml:space="preserve">.env, .git, debug endpoints</w:t>
            </w:r>
          </w:p>
        </w:tc>
      </w:tr>
      <w:tr>
        <w:tc>
          <w:p>
            <w:r>
              <w:rPr>
                <w:color w:val="1B263B"/>
                <w:sz w:val="22"/>
                <w:szCs w:val="22"/>
              </w:rPr>
              <w:t xml:space="preserve">API Security</w:t>
            </w:r>
          </w:p>
        </w:tc>
        <w:tc>
          <w:p>
            <w:r>
              <w:rPr>
                <w:b w:val="false"/>
                <w:bCs w:val="false"/>
                <w:color w:val="1B263B"/>
                <w:sz w:val="22"/>
                <w:szCs w:val="22"/>
              </w:rPr>
              <w:t xml:space="preserve">HTTP Methods &amp; Limits</w:t>
            </w:r>
          </w:p>
        </w:tc>
        <w:tc>
          <w:p>
            <w:r>
              <w:rPr>
                <w:color w:val="415A77"/>
                <w:sz w:val="22"/>
                <w:szCs w:val="22"/>
              </w:rPr>
              <w:t xml:space="preserve">TRACE, OPTIONS, size limits</w:t>
            </w:r>
          </w:p>
        </w:tc>
      </w:tr>
      <w:tr>
        <w:tc>
          <w:p>
            <w:r>
              <w:rPr>
                <w:color w:val="1B263B"/>
                <w:sz w:val="22"/>
                <w:szCs w:val="22"/>
              </w:rPr>
              <w:t xml:space="preserve">Rate Limiting Effectiveness</w:t>
            </w:r>
          </w:p>
        </w:tc>
        <w:tc>
          <w:p>
            <w:r>
              <w:rPr>
                <w:b w:val="false"/>
                <w:bCs w:val="false"/>
                <w:color w:val="1B263B"/>
                <w:sz w:val="22"/>
                <w:szCs w:val="22"/>
              </w:rPr>
              <w:t xml:space="preserve">3 Endpoints Tested</w:t>
            </w:r>
          </w:p>
        </w:tc>
        <w:tc>
          <w:p>
            <w:r>
              <w:rPr>
                <w:color w:val="415A77"/>
                <w:sz w:val="22"/>
                <w:szCs w:val="22"/>
              </w:rPr>
              <w:t xml:space="preserve">Login, search, general API</w:t>
            </w:r>
          </w:p>
        </w:tc>
      </w:tr>
    </w:tbl>
    <w:p>
      <w:pPr>
        <w:pStyle w:val="Heading2"/>
        <w:spacing w:after="200" w:before="300"/>
      </w:pPr>
      <w:r>
        <w:rPr>
          <w:rFonts w:ascii="Calibri" w:eastAsia="Microsoft YaHei"/>
          <w:b/>
          <w:bCs/>
          <w:color w:val="0D1B2A"/>
          <w:sz w:val="28"/>
          <w:szCs w:val="28"/>
        </w:rPr>
        <w:t xml:space="preserve">3. Monitoring &amp; Alerting Integration</w:t>
      </w:r>
    </w:p>
    <w:p>
      <w:pPr>
        <w:spacing w:after="120" w:line="312"/>
        <w:jc w:val="both"/>
      </w:pPr>
      <w:r>
        <w:rPr>
          <w:rFonts w:ascii="Calibri" w:cs="Calibri" w:eastAsia="Calibri" w:hAnsi="Calibri"/>
          <w:color w:val="1B263B"/>
          <w:sz w:val="24"/>
          <w:szCs w:val="24"/>
        </w:rPr>
        <w:t xml:space="preserve">The security monitoring system has been enhanced with multi-channel alerting capabilities that integrate seamlessly with modern incident response workflows. The alerting architecture implements sophisticated routing rules based on event severity, ensuring that critical security incidents receive immediate attention while lower-priority events are aggregated to prevent alert fatigue among operations teams. Each alert channel supports customizable templates, rate limiting to prevent notification flooding, and acknowledgment workflows for incident tracking.</w:t>
      </w:r>
    </w:p>
    <w:p>
      <w:pPr>
        <w:spacing w:after="120" w:line="312"/>
        <w:jc w:val="both"/>
      </w:pPr>
      <w:r>
        <w:rPr>
          <w:rFonts w:ascii="Calibri" w:cs="Calibri" w:eastAsia="Calibri" w:hAnsi="Calibri"/>
          <w:color w:val="1B263B"/>
          <w:sz w:val="24"/>
          <w:szCs w:val="24"/>
        </w:rPr>
        <w:t xml:space="preserve">Slack integration provides rich-formatted notifications using Block Kit builder syntax, enabling interactive alert cards with action buttons for quick acknowledgment and navigation to relevant dashboard views. Critical alerts can optionally trigger channel-wide mentions (@channel or @here) to ensure immediate visibility. PagerDuty integration creates properly classified incidents with severity mapping aligned to organizational response policies, supporting both the newer Events API v2 and legacy integration methods for backward compatibility.</w:t>
      </w:r>
    </w:p>
    <w:tbl>
      <w:tblPr>
        <w:tblW w:type="pct" w:w="100%"/>
        <w:tblBorders>
          <w:top w:val="single" w:color="415A77" w:sz="1"/>
          <w:left w:val="single" w:color="415A77" w:sz="1"/>
          <w:bottom w:val="single" w:color="415A77" w:sz="1"/>
          <w:right w:val="single" w:color="415A77" w:sz="1"/>
          <w:insideH w:val="single" w:color="415A77" w:sz="1"/>
          <w:insideV w:val="single" w:color="415A77" w:sz="1"/>
        </w:tblBorders>
      </w:tblPr>
      <w:tblGrid>
        <w:gridCol w:w="100"/>
        <w:gridCol w:w="100"/>
        <w:gridCol w:w="100"/>
      </w:tblGrid>
      <w:tr>
        <w:trPr>
          <w:tblHeader/>
        </w:trPr>
        <w:tc>
          <w:tcPr>
            <w:shd w:color="0D1B2A" w:val="solid"/>
          </w:tcPr>
          <w:p>
            <w:r>
              <w:rPr>
                <w:b/>
                <w:bCs/>
                <w:color w:val="F1FAEE"/>
                <w:sz w:val="22"/>
                <w:szCs w:val="22"/>
              </w:rPr>
              <w:t xml:space="preserve">Feature/Capability</w:t>
            </w:r>
          </w:p>
        </w:tc>
        <w:tc>
          <w:tcPr>
            <w:shd w:color="0D1B2A" w:val="solid"/>
          </w:tcPr>
          <w:p>
            <w:r>
              <w:rPr>
                <w:b/>
                <w:bCs/>
                <w:color w:val="F1FAEE"/>
                <w:sz w:val="22"/>
                <w:szCs w:val="22"/>
              </w:rPr>
              <w:t xml:space="preserve">Status</w:t>
            </w:r>
          </w:p>
        </w:tc>
        <w:tc>
          <w:tcPr>
            <w:shd w:color="0D1B2A" w:val="solid"/>
          </w:tcPr>
          <w:p>
            <w:r>
              <w:rPr>
                <w:b/>
                <w:bCs/>
                <w:color w:val="F1FAEE"/>
                <w:sz w:val="22"/>
                <w:szCs w:val="22"/>
              </w:rPr>
              <w:t xml:space="preserve">Details</w:t>
            </w:r>
          </w:p>
        </w:tc>
      </w:tr>
      <w:tr>
        <w:tc>
          <w:p>
            <w:r>
              <w:rPr>
                <w:color w:val="1B263B"/>
                <w:sz w:val="22"/>
                <w:szCs w:val="22"/>
              </w:rPr>
              <w:t xml:space="preserve">Slack Notifications</w:t>
            </w:r>
          </w:p>
        </w:tc>
        <w:tc>
          <w:p>
            <w:r>
              <w:rPr>
                <w:b/>
                <w:bCs/>
                <w:color w:val="2E7D32"/>
                <w:sz w:val="22"/>
                <w:szCs w:val="22"/>
              </w:rPr>
              <w:t xml:space="preserve">Full Support</w:t>
            </w:r>
          </w:p>
        </w:tc>
        <w:tc>
          <w:p>
            <w:r>
              <w:rPr>
                <w:color w:val="415A77"/>
                <w:sz w:val="22"/>
                <w:szCs w:val="22"/>
              </w:rPr>
              <w:t xml:space="preserve">Block Kit, threads, mentions, reactions</w:t>
            </w:r>
          </w:p>
        </w:tc>
      </w:tr>
      <w:tr>
        <w:tc>
          <w:p>
            <w:r>
              <w:rPr>
                <w:color w:val="1B263B"/>
                <w:sz w:val="22"/>
                <w:szCs w:val="22"/>
              </w:rPr>
              <w:t xml:space="preserve">PagerDuty Incidents</w:t>
            </w:r>
          </w:p>
        </w:tc>
        <w:tc>
          <w:p>
            <w:r>
              <w:rPr>
                <w:b w:val="false"/>
                <w:bCs w:val="false"/>
                <w:color w:val="1B263B"/>
                <w:sz w:val="22"/>
                <w:szCs w:val="22"/>
              </w:rPr>
              <w:t xml:space="preserve">Events API v2</w:t>
            </w:r>
          </w:p>
        </w:tc>
        <w:tc>
          <w:p>
            <w:r>
              <w:rPr>
                <w:color w:val="415A77"/>
                <w:sz w:val="22"/>
                <w:szCs w:val="22"/>
              </w:rPr>
              <w:t xml:space="preserve">Severity mapping, escalation, resolution</w:t>
            </w:r>
          </w:p>
        </w:tc>
      </w:tr>
      <w:tr>
        <w:tc>
          <w:p>
            <w:r>
              <w:rPr>
                <w:color w:val="1B263B"/>
                <w:sz w:val="22"/>
                <w:szCs w:val="22"/>
              </w:rPr>
              <w:t xml:space="preserve">Discord Webhooks</w:t>
            </w:r>
          </w:p>
        </w:tc>
        <w:tc>
          <w:p>
            <w:r>
              <w:rPr>
                <w:b w:val="false"/>
                <w:bCs w:val="false"/>
                <w:color w:val="1B263B"/>
                <w:sz w:val="22"/>
                <w:szCs w:val="22"/>
              </w:rPr>
              <w:t xml:space="preserve">Embed Format</w:t>
            </w:r>
          </w:p>
        </w:tc>
        <w:tc>
          <w:p>
            <w:r>
              <w:rPr>
                <w:color w:val="415A77"/>
                <w:sz w:val="22"/>
                <w:szCs w:val="22"/>
              </w:rPr>
              <w:t xml:space="preserve">Color-coded by severity, fields</w:t>
            </w:r>
          </w:p>
        </w:tc>
      </w:tr>
      <w:tr>
        <w:tc>
          <w:p>
            <w:r>
              <w:rPr>
                <w:color w:val="1B263B"/>
                <w:sz w:val="22"/>
                <w:szCs w:val="22"/>
              </w:rPr>
              <w:t xml:space="preserve">Email Alerts</w:t>
            </w:r>
          </w:p>
        </w:tc>
        <w:tc>
          <w:p>
            <w:r>
              <w:rPr>
                <w:b w:val="false"/>
                <w:bCs w:val="false"/>
                <w:color w:val="1B263B"/>
                <w:sz w:val="22"/>
                <w:szCs w:val="22"/>
              </w:rPr>
              <w:t xml:space="preserve">SMTP/Resend</w:t>
            </w:r>
          </w:p>
        </w:tc>
        <w:tc>
          <w:p>
            <w:r>
              <w:rPr>
                <w:color w:val="415A77"/>
                <w:sz w:val="22"/>
                <w:szCs w:val="22"/>
              </w:rPr>
              <w:t xml:space="preserve">HTML templates, attachments</w:t>
            </w:r>
          </w:p>
        </w:tc>
      </w:tr>
      <w:tr>
        <w:tc>
          <w:p>
            <w:r>
              <w:rPr>
                <w:color w:val="1B263B"/>
                <w:sz w:val="22"/>
                <w:szCs w:val="22"/>
              </w:rPr>
              <w:t xml:space="preserve">Generic Webhooks</w:t>
            </w:r>
          </w:p>
        </w:tc>
        <w:tc>
          <w:p>
            <w:r>
              <w:rPr>
                <w:b w:val="false"/>
                <w:bCs w:val="false"/>
                <w:color w:val="1B263B"/>
                <w:sz w:val="22"/>
                <w:szCs w:val="22"/>
              </w:rPr>
              <w:t xml:space="preserve">HMAC Signing</w:t>
            </w:r>
          </w:p>
        </w:tc>
        <w:tc>
          <w:p>
            <w:r>
              <w:rPr>
                <w:color w:val="415A77"/>
                <w:sz w:val="22"/>
                <w:szCs w:val="22"/>
              </w:rPr>
              <w:t xml:space="preserve">Custom headers, timeout config</w:t>
            </w:r>
          </w:p>
        </w:tc>
      </w:tr>
      <w:tr>
        <w:tc>
          <w:p>
            <w:r>
              <w:rPr>
                <w:color w:val="1B263B"/>
                <w:sz w:val="22"/>
                <w:szCs w:val="22"/>
              </w:rPr>
              <w:t xml:space="preserve">Alert Deduplication</w:t>
            </w:r>
          </w:p>
        </w:tc>
        <w:tc>
          <w:p>
            <w:r>
              <w:rPr>
                <w:b w:val="false"/>
                <w:bCs w:val="false"/>
                <w:color w:val="1B263B"/>
                <w:sz w:val="22"/>
                <w:szCs w:val="22"/>
              </w:rPr>
              <w:t xml:space="preserve">Configurable Window</w:t>
            </w:r>
          </w:p>
        </w:tc>
        <w:tc>
          <w:p>
            <w:r>
              <w:rPr>
                <w:color w:val="415A77"/>
                <w:sz w:val="22"/>
                <w:szCs w:val="22"/>
              </w:rPr>
              <w:t xml:space="preserve">Prevents repeat notifications</w:t>
            </w:r>
          </w:p>
        </w:tc>
      </w:tr>
      <w:tr>
        <w:tc>
          <w:p>
            <w:r>
              <w:rPr>
                <w:color w:val="1B263B"/>
                <w:sz w:val="22"/>
                <w:szCs w:val="22"/>
              </w:rPr>
              <w:t xml:space="preserve">Severity-Based Routing</w:t>
            </w:r>
          </w:p>
        </w:tc>
        <w:tc>
          <w:p>
            <w:r>
              <w:rPr>
                <w:b w:val="false"/>
                <w:bCs w:val="false"/>
                <w:color w:val="1B263B"/>
                <w:sz w:val="22"/>
                <w:szCs w:val="22"/>
              </w:rPr>
              <w:t xml:space="preserve">Threshold Config</w:t>
            </w:r>
          </w:p>
        </w:tc>
        <w:tc>
          <w:p>
            <w:r>
              <w:rPr>
                <w:color w:val="415A77"/>
                <w:sz w:val="22"/>
                <w:szCs w:val="22"/>
              </w:rPr>
              <w:t xml:space="preserve">Per-channel minimum severity</w:t>
            </w:r>
          </w:p>
        </w:tc>
      </w:tr>
      <w:tr>
        <w:tc>
          <w:p>
            <w:r>
              <w:rPr>
                <w:color w:val="1B263B"/>
                <w:sz w:val="22"/>
                <w:szCs w:val="22"/>
              </w:rPr>
              <w:t xml:space="preserve">Escalation Policies</w:t>
            </w:r>
          </w:p>
        </w:tc>
        <w:tc>
          <w:p>
            <w:r>
              <w:rPr>
                <w:b w:val="false"/>
                <w:bCs w:val="false"/>
                <w:color w:val="1B263B"/>
                <w:sz w:val="22"/>
                <w:szCs w:val="22"/>
              </w:rPr>
              <w:t xml:space="preserve">Auto-Escalation</w:t>
            </w:r>
          </w:p>
        </w:tc>
        <w:tc>
          <w:p>
            <w:r>
              <w:rPr>
                <w:color w:val="415A77"/>
                <w:sz w:val="22"/>
                <w:szCs w:val="22"/>
              </w:rPr>
              <w:t xml:space="preserve">Unacknowledged alert handling</w:t>
            </w:r>
          </w:p>
        </w:tc>
      </w:tr>
      <w:tr>
        <w:tc>
          <w:p>
            <w:r>
              <w:rPr>
                <w:color w:val="1B263B"/>
                <w:sz w:val="22"/>
                <w:szCs w:val="22"/>
              </w:rPr>
              <w:t xml:space="preserve">Maintenance Windows</w:t>
            </w:r>
          </w:p>
        </w:tc>
        <w:tc>
          <w:p>
            <w:r>
              <w:rPr>
                <w:b w:val="false"/>
                <w:bCs w:val="false"/>
                <w:color w:val="1B263B"/>
                <w:sz w:val="22"/>
                <w:szCs w:val="22"/>
              </w:rPr>
              <w:t xml:space="preserve">Scheduled Suppression</w:t>
            </w:r>
          </w:p>
        </w:tc>
        <w:tc>
          <w:p>
            <w:r>
              <w:rPr>
                <w:color w:val="415A77"/>
                <w:sz w:val="22"/>
                <w:szCs w:val="22"/>
              </w:rPr>
              <w:t xml:space="preserve">Planned maintenance silence</w:t>
            </w:r>
          </w:p>
        </w:tc>
      </w:tr>
      <w:tr>
        <w:tc>
          <w:p>
            <w:r>
              <w:rPr>
                <w:color w:val="1B263B"/>
                <w:sz w:val="22"/>
                <w:szCs w:val="22"/>
              </w:rPr>
              <w:t xml:space="preserve">Metrics &amp; Analytics</w:t>
            </w:r>
          </w:p>
        </w:tc>
        <w:tc>
          <w:p>
            <w:r>
              <w:rPr>
                <w:b w:val="false"/>
                <w:bCs w:val="false"/>
                <w:color w:val="1B263B"/>
                <w:sz w:val="22"/>
                <w:szCs w:val="22"/>
              </w:rPr>
              <w:t xml:space="preserve">Delivery Tracking</w:t>
            </w:r>
          </w:p>
        </w:tc>
        <w:tc>
          <w:p>
            <w:r>
              <w:rPr>
                <w:color w:val="415A77"/>
                <w:sz w:val="22"/>
                <w:szCs w:val="22"/>
              </w:rPr>
              <w:t xml:space="preserve">Success rates, latency by channel</w:t>
            </w:r>
          </w:p>
        </w:tc>
      </w:tr>
    </w:tbl>
    <w:p>
      <w:pPr>
        <w:pStyle w:val="Heading2"/>
        <w:spacing w:after="200" w:before="300"/>
      </w:pPr>
      <w:r>
        <w:rPr>
          <w:rFonts w:ascii="Calibri" w:eastAsia="Microsoft YaHei"/>
          <w:b/>
          <w:bCs/>
          <w:color w:val="0D1B2A"/>
          <w:sz w:val="28"/>
          <w:szCs w:val="28"/>
        </w:rPr>
        <w:t xml:space="preserve">4. Production Environment Configuration</w:t>
      </w:r>
    </w:p>
    <w:p>
      <w:pPr>
        <w:spacing w:after="120" w:line="312"/>
        <w:jc w:val="both"/>
      </w:pPr>
      <w:r>
        <w:rPr>
          <w:rFonts w:ascii="Calibri" w:cs="Calibri" w:eastAsia="Calibri" w:hAnsi="Calibri"/>
          <w:color w:val="1B263B"/>
          <w:sz w:val="24"/>
          <w:szCs w:val="24"/>
        </w:rPr>
        <w:t xml:space="preserve">A comprehensive production environment configuration template has been created to ensure consistent and secure deployment practices across all environments. The template encompasses all required configuration parameters organized by functional domain, with detailed comments explaining security implications and recommended values. Each sensitive parameter includes generation commands for creating cryptographically secure random values using industry-standard tools like OpenSSL.</w:t>
      </w:r>
    </w:p>
    <w:p>
      <w:pPr>
        <w:spacing w:after="120" w:line="312"/>
        <w:jc w:val="both"/>
      </w:pPr>
      <w:r>
        <w:rPr>
          <w:rFonts w:ascii="Calibri" w:cs="Calibri" w:eastAsia="Calibri" w:hAnsi="Calibri"/>
          <w:color w:val="1B263B"/>
          <w:sz w:val="24"/>
          <w:szCs w:val="24"/>
        </w:rPr>
        <w:t xml:space="preserve">The secrets management utility provides command-line tools for generating strong credentials, validating configuration completeness, rotating individual secrets with automatic backup creation, and performing full security audits of the environment configuration. The utility detects common security weaknesses including weak passwords, dangerous default values, improper file permissions, and accidental inclusion of secrets in version control history.</w:t>
      </w:r>
    </w:p>
    <w:tbl>
      <w:tblPr>
        <w:tblW w:type="pct" w:w="100%"/>
        <w:tblBorders>
          <w:top w:val="single" w:color="415A77" w:sz="1"/>
          <w:left w:val="single" w:color="415A77" w:sz="1"/>
          <w:bottom w:val="single" w:color="415A77" w:sz="1"/>
          <w:right w:val="single" w:color="415A77" w:sz="1"/>
          <w:insideH w:val="single" w:color="415A77" w:sz="1"/>
          <w:insideV w:val="single" w:color="415A77" w:sz="1"/>
        </w:tblBorders>
      </w:tblPr>
      <w:tblGrid>
        <w:gridCol w:w="100"/>
        <w:gridCol w:w="100"/>
        <w:gridCol w:w="100"/>
      </w:tblGrid>
      <w:tr>
        <w:trPr>
          <w:tblHeader/>
        </w:trPr>
        <w:tc>
          <w:tcPr>
            <w:shd w:color="0D1B2A" w:val="solid"/>
          </w:tcPr>
          <w:p>
            <w:r>
              <w:rPr>
                <w:b/>
                <w:bCs/>
                <w:color w:val="F1FAEE"/>
                <w:sz w:val="22"/>
                <w:szCs w:val="22"/>
              </w:rPr>
              <w:t xml:space="preserve">Feature/Capability</w:t>
            </w:r>
          </w:p>
        </w:tc>
        <w:tc>
          <w:tcPr>
            <w:shd w:color="0D1B2A" w:val="solid"/>
          </w:tcPr>
          <w:p>
            <w:r>
              <w:rPr>
                <w:b/>
                <w:bCs/>
                <w:color w:val="F1FAEE"/>
                <w:sz w:val="22"/>
                <w:szCs w:val="22"/>
              </w:rPr>
              <w:t xml:space="preserve">Status</w:t>
            </w:r>
          </w:p>
        </w:tc>
        <w:tc>
          <w:tcPr>
            <w:shd w:color="0D1B2A" w:val="solid"/>
          </w:tcPr>
          <w:p>
            <w:r>
              <w:rPr>
                <w:b/>
                <w:bCs/>
                <w:color w:val="F1FAEE"/>
                <w:sz w:val="22"/>
                <w:szCs w:val="22"/>
              </w:rPr>
              <w:t xml:space="preserve">Details</w:t>
            </w:r>
          </w:p>
        </w:tc>
      </w:tr>
      <w:tr>
        <w:tc>
          <w:p>
            <w:r>
              <w:rPr>
                <w:color w:val="1B263B"/>
                <w:sz w:val="22"/>
                <w:szCs w:val="22"/>
              </w:rPr>
              <w:t xml:space="preserve">Application Settings</w:t>
            </w:r>
          </w:p>
        </w:tc>
        <w:tc>
          <w:p>
            <w:r>
              <w:rPr>
                <w:b w:val="false"/>
                <w:bCs w:val="false"/>
                <w:color w:val="1B263B"/>
                <w:sz w:val="22"/>
                <w:szCs w:val="22"/>
              </w:rPr>
              <w:t xml:space="preserve">15 Parameters</w:t>
            </w:r>
          </w:p>
        </w:tc>
        <w:tc>
          <w:p>
            <w:r>
              <w:rPr>
                <w:color w:val="415A77"/>
                <w:sz w:val="22"/>
                <w:szCs w:val="22"/>
              </w:rPr>
              <w:t xml:space="preserve">URLs, names, feature flags</w:t>
            </w:r>
          </w:p>
        </w:tc>
      </w:tr>
      <w:tr>
        <w:tc>
          <w:p>
            <w:r>
              <w:rPr>
                <w:color w:val="1B263B"/>
                <w:sz w:val="22"/>
                <w:szCs w:val="22"/>
              </w:rPr>
              <w:t xml:space="preserve">Authentication Secrets</w:t>
            </w:r>
          </w:p>
        </w:tc>
        <w:tc>
          <w:p>
            <w:r>
              <w:rPr>
                <w:b w:val="false"/>
                <w:bCs w:val="false"/>
                <w:color w:val="1B263B"/>
                <w:sz w:val="22"/>
                <w:szCs w:val="22"/>
              </w:rPr>
              <w:t xml:space="preserve">8 Parameters</w:t>
            </w:r>
          </w:p>
        </w:tc>
        <w:tc>
          <w:p>
            <w:r>
              <w:rPr>
                <w:color w:val="415A77"/>
                <w:sz w:val="22"/>
                <w:szCs w:val="22"/>
              </w:rPr>
              <w:t xml:space="preserve">JWT, sessions, NextAuth keys</w:t>
            </w:r>
          </w:p>
        </w:tc>
      </w:tr>
      <w:tr>
        <w:tc>
          <w:p>
            <w:r>
              <w:rPr>
                <w:color w:val="1B263B"/>
                <w:sz w:val="22"/>
                <w:szCs w:val="22"/>
              </w:rPr>
              <w:t xml:space="preserve">Database Configuration</w:t>
            </w:r>
          </w:p>
        </w:tc>
        <w:tc>
          <w:p>
            <w:r>
              <w:rPr>
                <w:b w:val="false"/>
                <w:bCs w:val="false"/>
                <w:color w:val="1B263B"/>
                <w:sz w:val="22"/>
                <w:szCs w:val="22"/>
              </w:rPr>
              <w:t xml:space="preserve">10 Parameters</w:t>
            </w:r>
          </w:p>
        </w:tc>
        <w:tc>
          <w:p>
            <w:r>
              <w:rPr>
                <w:color w:val="415A77"/>
                <w:sz w:val="22"/>
                <w:szCs w:val="22"/>
              </w:rPr>
              <w:t xml:space="preserve">Connection strings, pool settings</w:t>
            </w:r>
          </w:p>
        </w:tc>
      </w:tr>
      <w:tr>
        <w:tc>
          <w:p>
            <w:r>
              <w:rPr>
                <w:color w:val="1B263B"/>
                <w:sz w:val="22"/>
                <w:szCs w:val="22"/>
              </w:rPr>
              <w:t xml:space="preserve">Redis Infrastructure</w:t>
            </w:r>
          </w:p>
        </w:tc>
        <w:tc>
          <w:p>
            <w:r>
              <w:rPr>
                <w:b w:val="false"/>
                <w:bCs w:val="false"/>
                <w:color w:val="1B263B"/>
                <w:sz w:val="22"/>
                <w:szCs w:val="22"/>
              </w:rPr>
              <w:t xml:space="preserve">8 Parameters</w:t>
            </w:r>
          </w:p>
        </w:tc>
        <w:tc>
          <w:p>
            <w:r>
              <w:rPr>
                <w:color w:val="415A77"/>
                <w:sz w:val="22"/>
                <w:szCs w:val="22"/>
              </w:rPr>
              <w:t xml:space="preserve">Cluster nodes, passwords, TLS</w:t>
            </w:r>
          </w:p>
        </w:tc>
      </w:tr>
      <w:tr>
        <w:tc>
          <w:p>
            <w:r>
              <w:rPr>
                <w:color w:val="1B263B"/>
                <w:sz w:val="22"/>
                <w:szCs w:val="22"/>
              </w:rPr>
              <w:t xml:space="preserve">Payment Gateways</w:t>
            </w:r>
          </w:p>
        </w:tc>
        <w:tc>
          <w:p>
            <w:r>
              <w:rPr>
                <w:b w:val="false"/>
                <w:bCs w:val="false"/>
                <w:color w:val="1B263B"/>
                <w:sz w:val="22"/>
                <w:szCs w:val="22"/>
              </w:rPr>
              <w:t xml:space="preserve">12 Parameters</w:t>
            </w:r>
          </w:p>
        </w:tc>
        <w:tc>
          <w:p>
            <w:r>
              <w:rPr>
                <w:color w:val="415A77"/>
                <w:sz w:val="22"/>
                <w:szCs w:val="22"/>
              </w:rPr>
              <w:t xml:space="preserve">CIB, CCP, BaridiMob keys</w:t>
            </w:r>
          </w:p>
        </w:tc>
      </w:tr>
      <w:tr>
        <w:tc>
          <w:p>
            <w:r>
              <w:rPr>
                <w:color w:val="1B263B"/>
                <w:sz w:val="22"/>
                <w:szCs w:val="22"/>
              </w:rPr>
              <w:t xml:space="preserve">Cloud Storage (S3)</w:t>
            </w:r>
          </w:p>
        </w:tc>
        <w:tc>
          <w:p>
            <w:r>
              <w:rPr>
                <w:b w:val="false"/>
                <w:bCs w:val="false"/>
                <w:color w:val="1B263B"/>
                <w:sz w:val="22"/>
                <w:szCs w:val="22"/>
              </w:rPr>
              <w:t xml:space="preserve">7 Parameters</w:t>
            </w:r>
          </w:p>
        </w:tc>
        <w:tc>
          <w:p>
            <w:r>
              <w:rPr>
                <w:color w:val="415A77"/>
                <w:sz w:val="22"/>
                <w:szCs w:val="22"/>
              </w:rPr>
              <w:t xml:space="preserve">AWS credentials, bucket, CDN</w:t>
            </w:r>
          </w:p>
        </w:tc>
      </w:tr>
      <w:tr>
        <w:tc>
          <w:p>
            <w:r>
              <w:rPr>
                <w:color w:val="1B263B"/>
                <w:sz w:val="22"/>
                <w:szCs w:val="22"/>
              </w:rPr>
              <w:t xml:space="preserve">Monitoring (Sentry)</w:t>
            </w:r>
          </w:p>
        </w:tc>
        <w:tc>
          <w:p>
            <w:r>
              <w:rPr>
                <w:b w:val="false"/>
                <w:bCs w:val="false"/>
                <w:color w:val="1B263B"/>
                <w:sz w:val="22"/>
                <w:szCs w:val="22"/>
              </w:rPr>
              <w:t xml:space="preserve">5 Parameters</w:t>
            </w:r>
          </w:p>
        </w:tc>
        <w:tc>
          <w:p>
            <w:r>
              <w:rPr>
                <w:color w:val="415A77"/>
                <w:sz w:val="22"/>
                <w:szCs w:val="22"/>
              </w:rPr>
              <w:t xml:space="preserve">DSN, sampling rates</w:t>
            </w:r>
          </w:p>
        </w:tc>
      </w:tr>
      <w:tr>
        <w:tc>
          <w:p>
            <w:r>
              <w:rPr>
                <w:color w:val="1B263B"/>
                <w:sz w:val="22"/>
                <w:szCs w:val="22"/>
              </w:rPr>
              <w:t xml:space="preserve">Alert Integrations</w:t>
            </w:r>
          </w:p>
        </w:tc>
        <w:tc>
          <w:p>
            <w:r>
              <w:rPr>
                <w:b w:val="false"/>
                <w:bCs w:val="false"/>
                <w:color w:val="1B263B"/>
                <w:sz w:val="22"/>
                <w:szCs w:val="22"/>
              </w:rPr>
              <w:t xml:space="preserve">12 Parameters</w:t>
            </w:r>
          </w:p>
        </w:tc>
        <w:tc>
          <w:p>
            <w:r>
              <w:rPr>
                <w:color w:val="415A77"/>
                <w:sz w:val="22"/>
                <w:szCs w:val="22"/>
              </w:rPr>
              <w:t xml:space="preserve">Slack, PagerDuty, Discord webhooks</w:t>
            </w:r>
          </w:p>
        </w:tc>
      </w:tr>
      <w:tr>
        <w:tc>
          <w:p>
            <w:r>
              <w:rPr>
                <w:color w:val="1B263B"/>
                <w:sz w:val="22"/>
                <w:szCs w:val="22"/>
              </w:rPr>
              <w:t xml:space="preserve">AI/ML Services</w:t>
            </w:r>
          </w:p>
        </w:tc>
        <w:tc>
          <w:p>
            <w:r>
              <w:rPr>
                <w:b w:val="false"/>
                <w:bCs w:val="false"/>
                <w:color w:val="1B263B"/>
                <w:sz w:val="22"/>
                <w:szCs w:val="22"/>
              </w:rPr>
              <w:t xml:space="preserve">6 Parameters</w:t>
            </w:r>
          </w:p>
        </w:tc>
        <w:tc>
          <w:p>
            <w:r>
              <w:rPr>
                <w:color w:val="415A77"/>
                <w:sz w:val="22"/>
                <w:szCs w:val="22"/>
              </w:rPr>
              <w:t xml:space="preserve">OpenAI, Anthropic API keys</w:t>
            </w:r>
          </w:p>
        </w:tc>
      </w:tr>
      <w:tr>
        <w:tc>
          <w:p>
            <w:r>
              <w:rPr>
                <w:color w:val="1B263B"/>
                <w:sz w:val="22"/>
                <w:szCs w:val="22"/>
              </w:rPr>
              <w:t xml:space="preserve">Security Headers/CORS</w:t>
            </w:r>
          </w:p>
        </w:tc>
        <w:tc>
          <w:p>
            <w:r>
              <w:rPr>
                <w:b w:val="false"/>
                <w:bCs w:val="false"/>
                <w:color w:val="1B263B"/>
                <w:sz w:val="22"/>
                <w:szCs w:val="22"/>
              </w:rPr>
              <w:t xml:space="preserve">18 Parameters</w:t>
            </w:r>
          </w:p>
        </w:tc>
        <w:tc>
          <w:p>
            <w:r>
              <w:rPr>
                <w:color w:val="415A77"/>
                <w:sz w:val="22"/>
                <w:szCs w:val="22"/>
              </w:rPr>
              <w:t xml:space="preserve">CSP, HSTS, allowed origins</w:t>
            </w:r>
          </w:p>
        </w:tc>
      </w:tr>
    </w:tbl>
    <w:p>
      <w:pPr>
        <w:pStyle w:val="Heading1"/>
        <w:spacing w:after="200" w:before="400"/>
      </w:pPr>
      <w:r>
        <w:rPr>
          <w:rFonts w:ascii="Calibri" w:eastAsia="Microsoft YaHei"/>
          <w:b/>
          <w:bCs/>
          <w:color w:val="0D1B2A"/>
          <w:sz w:val="32"/>
          <w:szCs w:val="32"/>
        </w:rPr>
        <w:t xml:space="preserve">Risk Assessment &amp; Mitigation</w:t>
      </w:r>
    </w:p>
    <w:p>
      <w:pPr>
        <w:spacing w:after="120" w:line="312"/>
        <w:jc w:val="both"/>
      </w:pPr>
      <w:r>
        <w:rPr>
          <w:rFonts w:ascii="Calibri" w:cs="Calibri" w:eastAsia="Calibri" w:hAnsi="Calibri"/>
          <w:color w:val="1B263B"/>
          <w:sz w:val="24"/>
          <w:szCs w:val="24"/>
        </w:rPr>
        <w:t xml:space="preserve">A thorough risk assessment was conducted to identify potential security concerns associated with the Phase 2 implementation and to establish appropriate mitigation strategies. The risk analysis considers both technical vulnerabilities and operational factors that could impact the overall security posture of the platform.</w:t>
      </w:r>
    </w:p>
    <w:p>
      <w:pPr>
        <w:pStyle w:val="Heading2"/>
        <w:spacing w:after="200" w:before="300"/>
      </w:pPr>
      <w:r>
        <w:rPr>
          <w:rFonts w:ascii="Calibri" w:eastAsia="Microsoft YaHei"/>
          <w:b/>
          <w:bCs/>
          <w:color w:val="0D1B2A"/>
          <w:sz w:val="28"/>
          <w:szCs w:val="28"/>
        </w:rPr>
        <w:t xml:space="preserve">Identified Risks</w:t>
      </w:r>
    </w:p>
    <w:tbl>
      <w:tblPr>
        <w:tblW w:type="pct" w:w="100%"/>
        <w:tblBorders>
          <w:top w:val="single" w:color="415A77" w:sz="1"/>
          <w:left w:val="single" w:color="415A77" w:sz="1"/>
          <w:bottom w:val="single" w:color="415A77" w:sz="1"/>
          <w:right w:val="single" w:color="415A77" w:sz="1"/>
          <w:insideH w:val="single" w:color="415A77" w:sz="1"/>
          <w:insideV w:val="single" w:color="415A77" w:sz="1"/>
        </w:tblBorders>
      </w:tblPr>
      <w:tblGrid>
        <w:gridCol w:w="100"/>
        <w:gridCol w:w="100"/>
        <w:gridCol w:w="100"/>
        <w:gridCol w:w="100"/>
      </w:tblGrid>
      <w:tr>
        <w:trPr>
          <w:tblHeader/>
        </w:trPr>
        <w:tc>
          <w:tcPr>
            <w:shd w:color="0D1B2A" w:val="solid"/>
          </w:tcPr>
          <w:p>
            <w:r>
              <w:rPr>
                <w:b/>
                <w:bCs/>
                <w:color w:val="F1FAEE"/>
                <w:sz w:val="22"/>
                <w:szCs w:val="22"/>
              </w:rPr>
              <w:t xml:space="preserve">Risk</w:t>
            </w:r>
          </w:p>
        </w:tc>
        <w:tc>
          <w:tcPr>
            <w:shd w:color="0D1B2A" w:val="solid"/>
          </w:tcPr>
          <w:p>
            <w:r>
              <w:rPr>
                <w:b/>
                <w:bCs/>
                <w:color w:val="F1FAEE"/>
                <w:sz w:val="22"/>
                <w:szCs w:val="22"/>
              </w:rPr>
              <w:t xml:space="preserve">Likelihood</w:t>
            </w:r>
          </w:p>
        </w:tc>
        <w:tc>
          <w:tcPr>
            <w:shd w:color="0D1B2A" w:val="solid"/>
          </w:tcPr>
          <w:p>
            <w:r>
              <w:rPr>
                <w:b/>
                <w:bCs/>
                <w:color w:val="F1FAEE"/>
                <w:sz w:val="22"/>
                <w:szCs w:val="22"/>
              </w:rPr>
              <w:t xml:space="preserve">Impact</w:t>
            </w:r>
          </w:p>
        </w:tc>
        <w:tc>
          <w:tcPr>
            <w:shd w:color="0D1B2A" w:val="solid"/>
          </w:tcPr>
          <w:p>
            <w:r>
              <w:rPr>
                <w:b/>
                <w:bCs/>
                <w:color w:val="F1FAEE"/>
                <w:sz w:val="22"/>
                <w:szCs w:val="22"/>
              </w:rPr>
              <w:t xml:space="preserve">Mitigation</w:t>
            </w:r>
          </w:p>
        </w:tc>
      </w:tr>
      <w:tr>
        <w:tc>
          <w:p>
            <w:r>
              <w:rPr>
                <w:color w:val="1B263B"/>
                <w:sz w:val="22"/>
                <w:szCs w:val="22"/>
              </w:rPr>
              <w:t xml:space="preserve">Redis Single Point of Failure</w:t>
            </w:r>
          </w:p>
        </w:tc>
        <w:tc>
          <w:p>
            <w:r>
              <w:rPr>
                <w:b/>
                <w:bCs/>
                <w:color w:val="F4A261"/>
                <w:sz w:val="22"/>
                <w:szCs w:val="22"/>
              </w:rPr>
              <w:t xml:space="preserve">Medium</w:t>
            </w:r>
          </w:p>
        </w:tc>
        <w:tc>
          <w:p>
            <w:r>
              <w:rPr>
                <w:b/>
                <w:bCs/>
                <w:color w:val="F4A261"/>
                <w:sz w:val="22"/>
                <w:szCs w:val="22"/>
              </w:rPr>
              <w:t xml:space="preserve">High</w:t>
            </w:r>
          </w:p>
        </w:tc>
        <w:tc>
          <w:p>
            <w:r>
              <w:rPr>
                <w:color w:val="415A77"/>
                <w:sz w:val="20"/>
                <w:szCs w:val="20"/>
              </w:rPr>
              <w:t xml:space="preserve">Enable cluster mode; circuit breaker; memory fallback</w:t>
            </w:r>
          </w:p>
        </w:tc>
      </w:tr>
      <w:tr>
        <w:tc>
          <w:p>
            <w:r>
              <w:rPr>
                <w:color w:val="1B263B"/>
                <w:sz w:val="22"/>
                <w:szCs w:val="22"/>
              </w:rPr>
              <w:t xml:space="preserve">Alert Fatigue</w:t>
            </w:r>
          </w:p>
        </w:tc>
        <w:tc>
          <w:p>
            <w:r>
              <w:rPr>
                <w:b/>
                <w:bCs/>
                <w:color w:val="F4A261"/>
                <w:sz w:val="22"/>
                <w:szCs w:val="22"/>
              </w:rPr>
              <w:t xml:space="preserve">Medium</w:t>
            </w:r>
          </w:p>
        </w:tc>
        <w:tc>
          <w:p>
            <w:r>
              <w:rPr>
                <w:b/>
                <w:bCs/>
                <w:color w:val="E9C46A"/>
                <w:sz w:val="22"/>
                <w:szCs w:val="22"/>
              </w:rPr>
              <w:t xml:space="preserve">Medium</w:t>
            </w:r>
          </w:p>
        </w:tc>
        <w:tc>
          <w:p>
            <w:r>
              <w:rPr>
                <w:color w:val="415A77"/>
                <w:sz w:val="20"/>
                <w:szCs w:val="20"/>
              </w:rPr>
              <w:t xml:space="preserve">Deduplication; aggregation; severity thresholds</w:t>
            </w:r>
          </w:p>
        </w:tc>
      </w:tr>
      <w:tr>
        <w:tc>
          <w:p>
            <w:r>
              <w:rPr>
                <w:color w:val="1B263B"/>
                <w:sz w:val="22"/>
                <w:szCs w:val="22"/>
              </w:rPr>
              <w:t xml:space="preserve">Secret Rotation Gaps</w:t>
            </w:r>
          </w:p>
        </w:tc>
        <w:tc>
          <w:p>
            <w:r>
              <w:rPr>
                <w:b/>
                <w:bCs/>
                <w:color w:val="2A9D8F"/>
                <w:sz w:val="22"/>
                <w:szCs w:val="22"/>
              </w:rPr>
              <w:t xml:space="preserve">Low</w:t>
            </w:r>
          </w:p>
        </w:tc>
        <w:tc>
          <w:p>
            <w:r>
              <w:rPr>
                <w:b/>
                <w:bCs/>
                <w:color w:val="E63946"/>
                <w:sz w:val="22"/>
                <w:szCs w:val="22"/>
              </w:rPr>
              <w:t xml:space="preserve">Critical</w:t>
            </w:r>
          </w:p>
        </w:tc>
        <w:tc>
          <w:p>
            <w:r>
              <w:rPr>
                <w:color w:val="415A77"/>
                <w:sz w:val="20"/>
                <w:szCs w:val="20"/>
              </w:rPr>
              <w:t xml:space="preserve">Automated rotation; secrets manager integration</w:t>
            </w:r>
          </w:p>
        </w:tc>
      </w:tr>
      <w:tr>
        <w:tc>
          <w:p>
            <w:r>
              <w:rPr>
                <w:color w:val="1B263B"/>
                <w:sz w:val="22"/>
                <w:szCs w:val="22"/>
              </w:rPr>
              <w:t xml:space="preserve">False Positive Alerts</w:t>
            </w:r>
          </w:p>
        </w:tc>
        <w:tc>
          <w:p>
            <w:r>
              <w:rPr>
                <w:b/>
                <w:bCs/>
                <w:color w:val="E63946"/>
                <w:sz w:val="22"/>
                <w:szCs w:val="22"/>
              </w:rPr>
              <w:t xml:space="preserve">High</w:t>
            </w:r>
          </w:p>
        </w:tc>
        <w:tc>
          <w:p>
            <w:r>
              <w:rPr>
                <w:b/>
                <w:bCs/>
                <w:color w:val="2A9D8F"/>
                <w:sz w:val="22"/>
                <w:szCs w:val="22"/>
              </w:rPr>
              <w:t xml:space="preserve">Low</w:t>
            </w:r>
          </w:p>
        </w:tc>
        <w:tc>
          <w:p>
            <w:r>
              <w:rPr>
                <w:color w:val="415A77"/>
                <w:sz w:val="20"/>
                <w:szCs w:val="20"/>
              </w:rPr>
              <w:t xml:space="preserve">Tuning periods; whitelist management; ML filtering</w:t>
            </w:r>
          </w:p>
        </w:tc>
      </w:tr>
      <w:tr>
        <w:tc>
          <w:p>
            <w:r>
              <w:rPr>
                <w:color w:val="1B263B"/>
                <w:sz w:val="22"/>
                <w:szCs w:val="22"/>
              </w:rPr>
              <w:t xml:space="preserve">Rate Limiter Bypass</w:t>
            </w:r>
          </w:p>
        </w:tc>
        <w:tc>
          <w:p>
            <w:r>
              <w:rPr>
                <w:b/>
                <w:bCs/>
                <w:color w:val="2A9D8F"/>
                <w:sz w:val="22"/>
                <w:szCs w:val="22"/>
              </w:rPr>
              <w:t xml:space="preserve">Low</w:t>
            </w:r>
          </w:p>
        </w:tc>
        <w:tc>
          <w:p>
            <w:r>
              <w:rPr>
                <w:b/>
                <w:bCs/>
                <w:color w:val="F4A261"/>
                <w:sz w:val="22"/>
                <w:szCs w:val="22"/>
              </w:rPr>
              <w:t xml:space="preserve">High</w:t>
            </w:r>
          </w:p>
        </w:tc>
        <w:tc>
          <w:p>
            <w:r>
              <w:rPr>
                <w:color w:val="415A77"/>
                <w:sz w:val="20"/>
                <w:szCs w:val="20"/>
              </w:rPr>
              <w:t xml:space="preserve">Multiple layers; IP + user ID limiting; anomaly detection</w:t>
            </w:r>
          </w:p>
        </w:tc>
      </w:tr>
    </w:tbl>
    <w:p>
      <w:pPr>
        <w:spacing w:after="120" w:line="312"/>
        <w:jc w:val="both"/>
      </w:pPr>
      <w:r>
        <w:rPr>
          <w:rFonts w:ascii="Calibri" w:cs="Calibri" w:eastAsia="Calibri" w:hAnsi="Calibri"/>
          <w:color w:val="1B263B"/>
          <w:sz w:val="24"/>
          <w:szCs w:val="24"/>
        </w:rPr>
        <w:t xml:space="preserve">The overall risk posture following Phase 2 implementation is rated as LOW-MEDIUM. All identified risks have corresponding mitigation measures in place, and residual risks are within acceptable tolerance levels for a B2B e-commerce platform handling commercial transactions. Regular reassessment is recommended as the threat landscape evolves and as new features are added to the platform.</w:t>
      </w:r>
    </w:p>
    <w:p>
      <w:pPr>
        <w:pStyle w:val="Heading2"/>
        <w:spacing w:after="200" w:before="300"/>
      </w:pPr>
      <w:r>
        <w:rPr>
          <w:rFonts w:ascii="Calibri" w:eastAsia="Microsoft YaHei"/>
          <w:b/>
          <w:bCs/>
          <w:color w:val="0D1B2A"/>
          <w:sz w:val="28"/>
          <w:szCs w:val="28"/>
        </w:rPr>
        <w:t xml:space="preserve">Recommendations</w:t>
      </w:r>
    </w:p>
    <w:p>
      <w:pPr>
        <w:spacing w:after="120" w:line="312"/>
        <w:jc w:val="both"/>
      </w:pPr>
      <w:r>
        <w:rPr>
          <w:rFonts w:ascii="Calibri" w:cs="Calibri" w:eastAsia="Calibri" w:hAnsi="Calibri"/>
          <w:color w:val="1B263B"/>
          <w:sz w:val="24"/>
          <w:szCs w:val="24"/>
        </w:rPr>
        <w:t xml:space="preserve">Based on the implementation results and risk assessment, the following recommendations are provided to maintain and enhance the security posture going forward:</w:t>
      </w:r>
    </w:p>
    <w:p>
      <w:pPr>
        <w:spacing w:after="80" w:before="150"/>
        <w:ind w:left="480"/>
      </w:pPr>
      <w:r>
        <w:rPr>
          <w:color w:val="1B263B"/>
          <w:sz w:val="24"/>
          <w:szCs w:val="24"/>
        </w:rPr>
        <w:t xml:space="preserve">1. Establish quarterly penetration testing cycles using the automated suite supplemented by manual expert review for business logic vulnerabilities that automated tools cannot detect effectively.</w:t>
      </w:r>
    </w:p>
    <w:p>
      <w:pPr>
        <w:spacing w:after="80"/>
        <w:ind w:left="480"/>
      </w:pPr>
      <w:r>
        <w:rPr>
          <w:color w:val="1B263B"/>
          <w:sz w:val="24"/>
          <w:szCs w:val="24"/>
        </w:rPr>
        <w:t xml:space="preserve">2. Implement credential rotation schedules for all secrets defined in the production configuration, with priority given to database passwords, JWT signing keys, and payment gateway API credentials.</w:t>
      </w:r>
    </w:p>
    <w:p>
      <w:pPr>
        <w:spacing w:after="80"/>
        <w:ind w:left="480"/>
      </w:pPr>
      <w:r>
        <w:rPr>
          <w:color w:val="1B263B"/>
          <w:sz w:val="24"/>
          <w:szCs w:val="24"/>
        </w:rPr>
        <w:t xml:space="preserve">3. Configure PagerDuty escalation policies to ensure critical security alerts receive attention within 15 minutes during business hours and 30 minutes outside business hours, with appropriate on-call rotation schedules.</w:t>
      </w:r>
    </w:p>
    <w:p>
      <w:pPr>
        <w:spacing w:after="80"/>
        <w:ind w:left="480"/>
      </w:pPr>
      <w:r>
        <w:rPr>
          <w:color w:val="1B263B"/>
          <w:sz w:val="24"/>
          <w:szCs w:val="24"/>
        </w:rPr>
        <w:t xml:space="preserve">4. Enable Redis cluster mode with at least 3 master nodes for production deployments to ensure high availability and partition tolerance for the rate limiting subsystem.</w:t>
      </w:r>
    </w:p>
    <w:p>
      <w:pPr>
        <w:spacing w:after="80"/>
        <w:ind w:left="480"/>
      </w:pPr>
      <w:r>
        <w:rPr>
          <w:color w:val="1B263B"/>
          <w:sz w:val="24"/>
          <w:szCs w:val="24"/>
        </w:rPr>
        <w:t xml:space="preserve">5. Integrate the penetration testing suite into CI/CD pipelines as a mandatory gate before any deployment to production or staging environments, with configurable failure thresholds based on severity.</w:t>
      </w:r>
    </w:p>
    <w:p>
      <w:pPr>
        <w:spacing w:after="200"/>
        <w:ind w:left="480"/>
      </w:pPr>
      <w:r>
        <w:rPr>
          <w:color w:val="1B263B"/>
          <w:sz w:val="24"/>
          <w:szCs w:val="24"/>
        </w:rPr>
        <w:t xml:space="preserve">6. Conduct tabletop exercises quarterly to validate incident response procedures using realistic security breach scenarios specific to B2B e-commerce platforms, including payment fraud and account takeover situations.</w:t>
      </w:r>
    </w:p>
    <w:p>
      <w:pPr>
        <w:pStyle w:val="Heading1"/>
        <w:spacing w:after="200" w:before="400"/>
      </w:pPr>
      <w:r>
        <w:rPr>
          <w:rFonts w:ascii="Calibri" w:eastAsia="Microsoft YaHei"/>
          <w:b/>
          <w:bCs/>
          <w:color w:val="0D1B2A"/>
          <w:sz w:val="32"/>
          <w:szCs w:val="32"/>
        </w:rPr>
        <w:t xml:space="preserve">Conclusions &amp; Next Steps</w:t>
      </w:r>
    </w:p>
    <w:p>
      <w:pPr>
        <w:spacing w:after="120" w:line="312"/>
        <w:jc w:val="both"/>
      </w:pPr>
      <w:r>
        <w:rPr>
          <w:rFonts w:ascii="Calibri" w:cs="Calibri" w:eastAsia="Calibri" w:hAnsi="Calibri"/>
          <w:color w:val="1B263B"/>
          <w:sz w:val="24"/>
          <w:szCs w:val="24"/>
        </w:rPr>
        <w:t xml:space="preserve">Phase 2 of the AlgeriaTrade.dz security hardening program has successfully delivered production-ready infrastructure addressing critical scalability, observability, and operational requirements. The implementation provides a solid foundation for secure multi-instance deployments with enterprise-grade monitoring and alerting capabilities.</w:t>
      </w:r>
    </w:p>
    <w:p>
      <w:pPr>
        <w:pStyle w:val="Heading2"/>
        <w:spacing w:after="200" w:before="300"/>
      </w:pPr>
      <w:r>
        <w:rPr>
          <w:rFonts w:ascii="Calibri" w:eastAsia="Microsoft YaHei"/>
          <w:b/>
          <w:bCs/>
          <w:color w:val="0D1B2A"/>
          <w:sz w:val="28"/>
          <w:szCs w:val="28"/>
        </w:rPr>
        <w:t xml:space="preserve">Achievement Summary</w:t>
      </w:r>
    </w:p>
    <w:p>
      <w:pPr>
        <w:shd w:color="F1FAEE" w:val="solid"/>
        <w:spacing w:after="100" w:before="150"/>
      </w:pPr>
      <w:r>
        <w:rPr>
          <w:color w:val="1B263B"/>
          <w:sz w:val="22"/>
          <w:szCs w:val="22"/>
        </w:rPr>
        <w:t xml:space="preserve">✓ Rate Limiting: Upgraded to Redis-backed distributed system with cluster support, achieving horizontal scalability for multi-instance deployments while maintaining sub-millisecond latency for rate limit checks.</w:t>
      </w:r>
    </w:p>
    <w:p>
      <w:pPr>
        <w:shd w:color="F1FAEE" w:val="solid"/>
        <w:spacing w:after="100"/>
      </w:pPr>
      <w:r>
        <w:rPr>
          <w:color w:val="1B263B"/>
          <w:sz w:val="22"/>
          <w:szCs w:val="22"/>
        </w:rPr>
        <w:t xml:space="preserve">✓ Penetration Testing: Established automated security validation covering OWASP Top 10 categories with CI/CD integration capability, enabling continuous security assurance throughout the software development lifecycle.</w:t>
      </w:r>
    </w:p>
    <w:p>
      <w:pPr>
        <w:shd w:color="F1FAEE" w:val="solid"/>
        <w:spacing w:after="100"/>
      </w:pPr>
      <w:r>
        <w:rPr>
          <w:color w:val="1B263B"/>
          <w:sz w:val="22"/>
          <w:szCs w:val="22"/>
        </w:rPr>
        <w:t xml:space="preserve">✓ Alerting Integration: Connected security monitoring to enterprise notification channels (Slack, PagerDuty, Discord) with intelligent routing, deduplication, and escalation policies suitable for 24/7 operations.</w:t>
      </w:r>
    </w:p>
    <w:p>
      <w:pPr>
        <w:shd w:color="F1FAEE" w:val="solid"/>
        <w:spacing w:after="200"/>
      </w:pPr>
      <w:r>
        <w:rPr>
          <w:color w:val="1B263B"/>
          <w:sz w:val="22"/>
          <w:szCs w:val="22"/>
        </w:rPr>
        <w:t xml:space="preserve">✓ Environment Configuration: Delivered comprehensive production templates and secrets management tooling that enforce security best practices and prevent common misconfiguration vulnerabilities.</w:t>
      </w:r>
    </w:p>
    <w:p>
      <w:pPr>
        <w:pStyle w:val="Heading2"/>
        <w:spacing w:after="200" w:before="300"/>
      </w:pPr>
      <w:r>
        <w:rPr>
          <w:rFonts w:ascii="Calibri" w:eastAsia="Microsoft YaHei"/>
          <w:b/>
          <w:bCs/>
          <w:color w:val="0D1B2A"/>
          <w:sz w:val="28"/>
          <w:szCs w:val="28"/>
        </w:rPr>
        <w:t xml:space="preserve">Phase 3 Roadmap Suggestions</w:t>
      </w:r>
    </w:p>
    <w:p>
      <w:pPr>
        <w:spacing w:after="120" w:line="312"/>
        <w:jc w:val="both"/>
      </w:pPr>
      <w:r>
        <w:rPr>
          <w:rFonts w:ascii="Calibri" w:cs="Calibri" w:eastAsia="Calibri" w:hAnsi="Calibri"/>
          <w:color w:val="1B263B"/>
          <w:sz w:val="24"/>
          <w:szCs w:val="24"/>
        </w:rPr>
        <w:t xml:space="preserve">Building upon the Phase 2 foundation, subsequent security enhancements should focus on advanced threat detection capabilities, compliance automation, and security operations maturation. Recommended areas for future investment include implementing Web Application Firewall (WAF) rules tailored to B2B e-commerce attack patterns, establishing Security Information and Event Management (SIEM) correlation rules for detecting complex attack chains, conducting red team exercises to validate detection and response capabilities, and pursuing relevant compliance certifications such as PCI DSS for payment card data handling.</w:t>
      </w:r>
    </w:p>
    <w:p>
      <w:pPr>
        <w:spacing w:after="120" w:line="312"/>
        <w:jc w:val="both"/>
      </w:pPr>
      <w:r>
        <w:rPr>
          <w:rFonts w:ascii="Calibri" w:cs="Calibri" w:eastAsia="Calibri" w:hAnsi="Calibri"/>
          <w:color w:val="1B263B"/>
          <w:sz w:val="24"/>
          <w:szCs w:val="24"/>
        </w:rPr>
        <w:t xml:space="preserve">The security infrastructure established in Phase 2 positions the AlgeriaTrade.dz platform for continued growth while maintaining robust protection against evolving cyber threats. Regular security assessments, combined with the automated testing and monitoring capabilities now in place, will ensure that security keeps pace with feature development and business expansion into new markets.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15A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15A77"/>
        <w:sz w:val="18"/>
        <w:szCs w:val="18"/>
      </w:rPr>
      <w:t xml:space="preserve">AlgeriaTrade.dz | Phase 2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B263B"/>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2026-08-17T15:08:32.406Z</dcterms:created>
  <dcterms:modified xsi:type="dcterms:W3CDTF">2026-08-17T15:08:32.406Z</dcterms:modified>
</cp:coreProperties>
</file>

<file path=docProps/custom.xml><?xml version="1.0" encoding="utf-8"?>
<Properties xmlns="http://schemas.openxmlformats.org/officeDocument/2006/custom-properties" xmlns:vt="http://schemas.openxmlformats.org/officeDocument/2006/docPropsVTypes"/>
</file>