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rPr>
          <w:trHeight w:val="16838" w:hRule="exact"/>
        </w:trPr>
        <w:tc>
          <w:tcPr>
            <w:tcW w:type="pct" w:w="100%"/>
            <w:shd w:fill="1E3A5F" w:val="clear"/>
            <w:vAlign w:val="center"/>
          </w:tcPr>
          <w:p>
            <w:pPr>
              <w:spacing w:before="1500"/>
            </w:pPr>
          </w:p>
          <w:p>
            <w:pPr>
              <w:spacing w:line="828" w:lineRule="atLeast"/>
              <w:jc w:val="center"/>
            </w:pPr>
            <w:r>
              <w:rPr>
                <w:rFonts w:ascii="Calibri" w:eastAsia="SimHei"/>
                <w:b/>
                <w:bCs/>
                <w:color w:val="FFFFFF"/>
                <w:sz w:val="64"/>
                <w:szCs w:val="64"/>
              </w:rPr>
              <w:t xml:space="preserve">ALGERIATRADE.DZ</w:t>
            </w:r>
          </w:p>
          <w:p>
            <w:pPr>
              <w:spacing w:before="200" w:line="400"/>
              <w:jc w:val="center"/>
            </w:pPr>
            <w:r>
              <w:rPr>
                <w:rFonts w:ascii="Calibri" w:eastAsia="SimHei"/>
                <w:color w:val="E2E8F0"/>
                <w:sz w:val="40"/>
                <w:szCs w:val="40"/>
              </w:rPr>
              <w:t xml:space="preserve">PRODUCTION PLATFORM</w:t>
            </w:r>
          </w:p>
          <w:p>
            <w:pPr>
              <w:spacing w:before="100" w:line="400"/>
              <w:jc w:val="center"/>
            </w:pPr>
            <w:r>
              <w:rPr>
                <w:rFonts w:ascii="Calibri" w:eastAsia="Microsoft YaHei"/>
                <w:color w:val="CBD5E0"/>
                <w:sz w:val="32"/>
                <w:szCs w:val="32"/>
              </w:rPr>
              <w:t xml:space="preserve">PHASED IMPLEMENTATION PLAN</w:t>
            </w:r>
          </w:p>
          <w:p>
            <w:pPr>
              <w:spacing w:before="800"/>
            </w:pPr>
          </w:p>
          <w:tbl>
            <w:tblPr>
              <w:tblW w:type="pct" w:w="60%"/>
              <w:jc w:val="center"/>
              <w:tblBorders>
                <w:top w:val="single" w:color="4A5568" w:sz="1"/>
                <w:left w:val="none"/>
                <w:bottom w:val="single" w:color="4A5568" w:sz="1"/>
                <w:right w:val="none"/>
                <w:insideH w:val="none"/>
                <w:insideV w:val="none"/>
              </w:tblBorders>
            </w:tblPr>
            <w:tblGrid>
              <w:gridCol w:w="100"/>
            </w:tblGrid>
            <w:tr>
              <w:tc>
                <w:tcPr>
                  <w:tcW w:type="pct" w:w="100%"/>
                  <w:shd w:fill="FFFFFF" w:val="clear"/>
                </w:tcPr>
                <w:p>
                  <w:pPr>
                    <w:spacing w:after="150" w:before="150"/>
                    <w:jc w:val="center"/>
                  </w:pPr>
                  <w:r>
                    <w:rPr>
                      <w:rFonts w:ascii="Calibri" w:eastAsia="Microsoft YaHei"/>
                      <w:color w:val="E2E8F0"/>
                      <w:sz w:val="22"/>
                      <w:szCs w:val="22"/>
                    </w:rPr>
                    <w:t xml:space="preserve">Total Duration: 18 Months | Total Investment: $310K - $445K</w:t>
                  </w:r>
                </w:p>
              </w:tc>
            </w:tr>
          </w:tbl>
          <w:p>
            <w:pPr>
              <w:spacing w:before="600"/>
            </w:pPr>
          </w:p>
          <w:p>
            <w:pPr>
              <w:jc w:val="center"/>
            </w:pPr>
            <w:r>
              <w:rPr>
                <w:rFonts w:ascii="Calibri" w:eastAsia="Microsoft YaHei"/>
                <w:i/>
                <w:iCs/>
                <w:color w:val="A0AEC0"/>
                <w:sz w:val="18"/>
                <w:szCs w:val="18"/>
              </w:rPr>
              <w:t xml:space="preserve">Prepared: August 2026 | Version 1.0 | Confidential</w:t>
            </w:r>
          </w:p>
          <w:p>
            <w:pPr>
              <w:spacing w:before="1000"/>
            </w:pPr>
          </w:p>
        </w:tc>
      </w:tr>
    </w:tbl>
    <w:p>
      <w:pPr>
        <w:sectPr>
          <w:pgSz w:w="11906" w:h="16838" w:orient="portrait"/>
          <w:pgMar w:top="0" w:right="0" w:bottom="0" w:left="0" w:header="708" w:footer="708" w:gutter="0"/>
          <w:pgNumType/>
          <w:docGrid w:linePitch="360"/>
        </w:sectPr>
      </w:pPr>
    </w:p>
    <w:p>
      <w:pPr>
        <w:pStyle w:val="Heading1"/>
        <w:spacing w:after="200" w:before="400" w:line="312"/>
      </w:pPr>
      <w:r>
        <w:rPr>
          <w:rFonts w:ascii="Calibri" w:eastAsia="SimHei"/>
          <w:b/>
          <w:bCs/>
          <w:color w:val="1E3A5F"/>
          <w:sz w:val="32"/>
          <w:szCs w:val="32"/>
        </w:rPr>
        <w:t xml:space="preserve">Executive Summary</w:t>
      </w:r>
    </w:p>
    <w:p>
      <w:pPr>
        <w:shd w:fill="F7FAFC" w:val="clear"/>
        <w:spacing w:after="200" w:before="200" w:line="312"/>
        <w:jc w:val="center"/>
      </w:pPr>
      <w:r>
        <w:rPr>
          <w:rFonts w:ascii="Calibri" w:eastAsia="SimHei"/>
          <w:b/>
          <w:bCs/>
          <w:color w:val="1E3A5F"/>
          <w:sz w:val="26"/>
          <w:szCs w:val="26"/>
        </w:rPr>
        <w:t xml:space="preserve">B2B E-Commerce Platform for the Algerian Market | 18-Month Roadmap to Production</w:t>
      </w:r>
    </w:p>
    <w:p>
      <w:pPr>
        <w:spacing w:after="120" w:line="312"/>
        <w:ind w:firstLine="480"/>
        <w:jc w:val="both"/>
      </w:pPr>
      <w:r>
        <w:rPr>
          <w:rFonts w:ascii="Calibri" w:eastAsia="Microsoft YaHei"/>
          <w:color w:val="2D3748"/>
          <w:sz w:val="24"/>
          <w:szCs w:val="24"/>
        </w:rPr>
        <w:t xml:space="preserve">This production plan outlines a comprehensive five-phase approach to building AlgeriaTrade.dz, a B2B e-commerce platform specifically designed for the Algerian market. Drawing inspiration from established platforms like Made-in-China.com while addressing the unique requirements of North African trade dynamics, this plan delivers a fully functional, scalable platform within 18 months with an estimated total investment of $310,000 to $445,000.</w:t>
      </w:r>
    </w:p>
    <w:p>
      <w:pPr>
        <w:spacing w:after="120" w:line="312"/>
        <w:ind w:firstLine="480"/>
        <w:jc w:val="both"/>
      </w:pPr>
      <w:r>
        <w:rPr>
          <w:rFonts w:ascii="Calibri" w:eastAsia="Microsoft YaHei"/>
          <w:color w:val="2D3748"/>
          <w:sz w:val="24"/>
          <w:szCs w:val="24"/>
        </w:rPr>
        <w:t xml:space="preserve">The phased approach prioritizes rapid time-to-market through a Minimum Viable Product (MVP) strategy while building toward a feature-complete platform capable of handling thousands of concurrent users and millions in monthly transaction volume. Each phase delivers tangible business value while establishing the foundation for subsequent enhancements, ensuring continuous stakeholder engagement and revenue generation opportunities throughout the development lifecycle.</w:t>
      </w:r>
    </w:p>
    <w:p>
      <w:pPr>
        <w:spacing w:after="120" w:line="312"/>
        <w:ind w:firstLine="480"/>
        <w:jc w:val="both"/>
      </w:pPr>
      <w:r>
        <w:rPr>
          <w:rFonts w:ascii="Calibri" w:eastAsia="Microsoft YaHei"/>
          <w:color w:val="2D3748"/>
          <w:sz w:val="24"/>
          <w:szCs w:val="24"/>
        </w:rPr>
        <w:t xml:space="preserve">Key differentiators of this platform include native French/Arabic bilingual support, integration with Algerian banking systems (CIB cards, CCP payments), logistics optimization for major Algerian ports (Algiers, Oran, Skikda, Annaba), and compliance with local regulatory frameworks including customs procedures and commercial registry validation. The technical architecture emphasizes security, scalability, and maintainability using modern web technologies with containerized deployment pipelines.</w:t>
      </w:r>
    </w:p>
    <w:p>
      <w:pPr>
        <w:pStyle w:val="Heading2"/>
        <w:spacing w:after="160" w:before="300" w:line="312"/>
      </w:pPr>
      <w:r>
        <w:rPr>
          <w:rFonts w:ascii="Calibri" w:eastAsia="SimHei"/>
          <w:b/>
          <w:bCs/>
          <w:color w:val="1E3A5F"/>
          <w:sz w:val="28"/>
          <w:szCs w:val="28"/>
        </w:rPr>
        <w:t xml:space="preserve">Strategic Objectives</w:t>
      </w:r>
    </w:p>
    <w:tbl>
      <w:tblPr>
        <w:tblW w:type="pct" w:w="100%"/>
        <w:tblBorders>
          <w:top w:val="single" w:color="D0D5DD" w:sz="1"/>
          <w:left w:val="none"/>
          <w:bottom w:val="single" w:color="D0D5DD" w:sz="1"/>
          <w:right w:val="none"/>
          <w:insideH w:val="single" w:color="E5E7EB" w:sz="1"/>
          <w:insideV w:val="single" w:color="E5E7EB" w:sz="1"/>
        </w:tblBorders>
      </w:tblPr>
      <w:tblGrid>
        <w:gridCol w:w="100"/>
        <w:gridCol w:w="100"/>
        <w:gridCol w:w="100"/>
        <w:gridCol w:w="100"/>
      </w:tblGrid>
      <w:tr>
        <w:trPr>
          <w:cantSplit/>
          <w:tblHeader/>
        </w:trPr>
        <w:tc>
          <w:tcPr>
            <w:tcW w:type="pct" w:w="35%"/>
            <w:shd w:fill="1E3A5F" w:val="clear"/>
            <w:tcMar>
              <w:top w:type="dxa" w:w="80"/>
              <w:left w:type="dxa" w:w="120"/>
              <w:bottom w:type="dxa" w:w="80"/>
              <w:right w:type="dxa" w:w="120"/>
            </w:tcMar>
          </w:tcPr>
          <w:p>
            <w:r>
              <w:rPr>
                <w:rFonts w:ascii="Calibri" w:eastAsia="Microsoft YaHei"/>
                <w:b/>
                <w:bCs/>
                <w:color w:val="FFFFFF"/>
                <w:sz w:val="21"/>
                <w:szCs w:val="21"/>
              </w:rPr>
              <w:t xml:space="preserve">Objective</w:t>
            </w:r>
          </w:p>
        </w:tc>
        <w:tc>
          <w:tcPr>
            <w:tcW w:type="pct" w:w="25%"/>
            <w:shd w:fill="1E3A5F" w:val="clear"/>
            <w:tcMar>
              <w:top w:type="dxa" w:w="80"/>
              <w:left w:type="dxa" w:w="120"/>
              <w:bottom w:type="dxa" w:w="80"/>
              <w:right w:type="dxa" w:w="120"/>
            </w:tcMar>
          </w:tcPr>
          <w:p>
            <w:r>
              <w:rPr>
                <w:rFonts w:ascii="Calibri" w:eastAsia="Microsoft YaHei"/>
                <w:b/>
                <w:bCs/>
                <w:color w:val="FFFFFF"/>
                <w:sz w:val="21"/>
                <w:szCs w:val="21"/>
              </w:rPr>
              <w:t xml:space="preserve">Target Metric</w:t>
            </w:r>
          </w:p>
        </w:tc>
        <w:tc>
          <w:tcPr>
            <w:tcW w:type="pct" w:w="20%"/>
            <w:shd w:fill="1E3A5F" w:val="clear"/>
            <w:tcMar>
              <w:top w:type="dxa" w:w="80"/>
              <w:left w:type="dxa" w:w="120"/>
              <w:bottom w:type="dxa" w:w="80"/>
              <w:right w:type="dxa" w:w="120"/>
            </w:tcMar>
          </w:tcPr>
          <w:p>
            <w:r>
              <w:rPr>
                <w:rFonts w:ascii="Calibri" w:eastAsia="Microsoft YaHei"/>
                <w:b/>
                <w:bCs/>
                <w:color w:val="FFFFFF"/>
                <w:sz w:val="21"/>
                <w:szCs w:val="21"/>
              </w:rPr>
              <w:t xml:space="preserve">Timeline</w:t>
            </w:r>
          </w:p>
        </w:tc>
        <w:tc>
          <w:tcPr>
            <w:tcW w:type="pct" w:w="20%"/>
            <w:shd w:fill="1E3A5F" w:val="clear"/>
            <w:tcMar>
              <w:top w:type="dxa" w:w="80"/>
              <w:left w:type="dxa" w:w="120"/>
              <w:bottom w:type="dxa" w:w="80"/>
              <w:right w:type="dxa" w:w="120"/>
            </w:tcMar>
          </w:tcPr>
          <w:p>
            <w:r>
              <w:rPr>
                <w:rFonts w:ascii="Calibri" w:eastAsia="Microsoft YaHei"/>
                <w:b/>
                <w:bCs/>
                <w:color w:val="FFFFFF"/>
                <w:sz w:val="21"/>
                <w:szCs w:val="21"/>
              </w:rPr>
              <w:t xml:space="preserve">Priority</w:t>
            </w:r>
          </w:p>
        </w:tc>
      </w:tr>
      <w:tr>
        <w:trPr>
          <w:cantSplit/>
        </w:trPr>
        <w:tc>
          <w:tcPr>
            <w:tcW w:type="pct" w:w="35%"/>
            <w:tcMar>
              <w:top w:type="dxa" w:w="60"/>
              <w:left w:type="dxa" w:w="100"/>
              <w:bottom w:type="dxa" w:w="60"/>
              <w:right w:type="dxa" w:w="100"/>
            </w:tcMar>
          </w:tcPr>
          <w:p>
            <w:pPr>
              <w:jc w:val="left"/>
            </w:pPr>
            <w:r>
              <w:rPr>
                <w:rFonts w:ascii="Calibri" w:eastAsia="Microsoft YaHei"/>
                <w:sz w:val="20"/>
                <w:szCs w:val="20"/>
              </w:rPr>
              <w:t xml:space="preserve">Establish market presence as leading Algerian B2B platform</w:t>
            </w:r>
          </w:p>
        </w:tc>
        <w:tc>
          <w:tcPr>
            <w:tcW w:type="pct" w:w="25%"/>
            <w:tcMar>
              <w:top w:type="dxa" w:w="60"/>
              <w:left w:type="dxa" w:w="100"/>
              <w:bottom w:type="dxa" w:w="60"/>
              <w:right w:type="dxa" w:w="100"/>
            </w:tcMar>
          </w:tcPr>
          <w:p>
            <w:pPr>
              <w:jc w:val="left"/>
            </w:pPr>
            <w:r>
              <w:rPr>
                <w:rFonts w:ascii="Calibri" w:eastAsia="Microsoft YaHei"/>
                <w:sz w:val="20"/>
                <w:szCs w:val="20"/>
              </w:rPr>
              <w:t xml:space="preserve">#1 in Algeria by transaction volume</w:t>
            </w:r>
          </w:p>
        </w:tc>
        <w:tc>
          <w:tcPr>
            <w:tcW w:type="pct" w:w="20%"/>
            <w:tcMar>
              <w:top w:type="dxa" w:w="60"/>
              <w:left w:type="dxa" w:w="100"/>
              <w:bottom w:type="dxa" w:w="60"/>
              <w:right w:type="dxa" w:w="100"/>
            </w:tcMar>
          </w:tcPr>
          <w:p>
            <w:pPr>
              <w:jc w:val="left"/>
            </w:pPr>
            <w:r>
              <w:rPr>
                <w:rFonts w:ascii="Calibri" w:eastAsia="Microsoft YaHei"/>
                <w:sz w:val="20"/>
                <w:szCs w:val="20"/>
              </w:rPr>
              <w:t xml:space="preserve">Month 18</w:t>
            </w:r>
          </w:p>
        </w:tc>
        <w:tc>
          <w:tcPr>
            <w:tcW w:type="pct" w:w="20%"/>
            <w:tcMar>
              <w:top w:type="dxa" w:w="60"/>
              <w:left w:type="dxa" w:w="100"/>
              <w:bottom w:type="dxa" w:w="60"/>
              <w:right w:type="dxa" w:w="100"/>
            </w:tcMar>
          </w:tcPr>
          <w:p>
            <w:pPr>
              <w:jc w:val="center"/>
            </w:pPr>
            <w:r>
              <w:rPr>
                <w:rFonts w:ascii="Calibri" w:eastAsia="Microsoft YaHei"/>
                <w:b/>
                <w:bCs/>
                <w:color w:val="718096"/>
                <w:sz w:val="20"/>
                <w:szCs w:val="20"/>
              </w:rPr>
              <w:t xml:space="preserve">Critical</w:t>
            </w:r>
          </w:p>
        </w:tc>
      </w:tr>
      <w:tr>
        <w:trPr>
          <w:cantSplit/>
        </w:trPr>
        <w:tc>
          <w:tcPr>
            <w:tcW w:type="pct" w:w="35%"/>
            <w:tcMar>
              <w:top w:type="dxa" w:w="60"/>
              <w:left w:type="dxa" w:w="100"/>
              <w:bottom w:type="dxa" w:w="60"/>
              <w:right w:type="dxa" w:w="100"/>
            </w:tcMar>
          </w:tcPr>
          <w:p>
            <w:pPr>
              <w:jc w:val="left"/>
            </w:pPr>
            <w:r>
              <w:rPr>
                <w:rFonts w:ascii="Calibri" w:eastAsia="Microsoft YaHei"/>
                <w:sz w:val="20"/>
                <w:szCs w:val="20"/>
              </w:rPr>
              <w:t xml:space="preserve">Build verified supplier network across key industries</w:t>
            </w:r>
          </w:p>
        </w:tc>
        <w:tc>
          <w:tcPr>
            <w:tcW w:type="pct" w:w="25%"/>
            <w:tcMar>
              <w:top w:type="dxa" w:w="60"/>
              <w:left w:type="dxa" w:w="100"/>
              <w:bottom w:type="dxa" w:w="60"/>
              <w:right w:type="dxa" w:w="100"/>
            </w:tcMar>
          </w:tcPr>
          <w:p>
            <w:pPr>
              <w:jc w:val="left"/>
            </w:pPr>
            <w:r>
              <w:rPr>
                <w:rFonts w:ascii="Calibri" w:eastAsia="Microsoft YaHei"/>
                <w:sz w:val="20"/>
                <w:szCs w:val="20"/>
              </w:rPr>
              <w:t xml:space="preserve">1,500+ verified suppliers</w:t>
            </w:r>
          </w:p>
        </w:tc>
        <w:tc>
          <w:tcPr>
            <w:tcW w:type="pct" w:w="20%"/>
            <w:tcMar>
              <w:top w:type="dxa" w:w="60"/>
              <w:left w:type="dxa" w:w="100"/>
              <w:bottom w:type="dxa" w:w="60"/>
              <w:right w:type="dxa" w:w="100"/>
            </w:tcMar>
          </w:tcPr>
          <w:p>
            <w:pPr>
              <w:jc w:val="left"/>
            </w:pPr>
            <w:r>
              <w:rPr>
                <w:rFonts w:ascii="Calibri" w:eastAsia="Microsoft YaHei"/>
                <w:sz w:val="20"/>
                <w:szCs w:val="20"/>
              </w:rPr>
              <w:t xml:space="preserve">Month 18</w:t>
            </w:r>
          </w:p>
        </w:tc>
        <w:tc>
          <w:tcPr>
            <w:tcW w:type="pct" w:w="20%"/>
            <w:tcMar>
              <w:top w:type="dxa" w:w="60"/>
              <w:left w:type="dxa" w:w="100"/>
              <w:bottom w:type="dxa" w:w="60"/>
              <w:right w:type="dxa" w:w="100"/>
            </w:tcMar>
          </w:tcPr>
          <w:p>
            <w:pPr>
              <w:jc w:val="center"/>
            </w:pPr>
            <w:r>
              <w:rPr>
                <w:rFonts w:ascii="Calibri" w:eastAsia="Microsoft YaHei"/>
                <w:b/>
                <w:bCs/>
                <w:color w:val="718096"/>
                <w:sz w:val="20"/>
                <w:szCs w:val="20"/>
              </w:rPr>
              <w:t xml:space="preserve">Critical</w:t>
            </w:r>
          </w:p>
        </w:tc>
      </w:tr>
      <w:tr>
        <w:trPr>
          <w:cantSplit/>
        </w:trPr>
        <w:tc>
          <w:tcPr>
            <w:tcW w:type="pct" w:w="35%"/>
            <w:tcMar>
              <w:top w:type="dxa" w:w="60"/>
              <w:left w:type="dxa" w:w="100"/>
              <w:bottom w:type="dxa" w:w="60"/>
              <w:right w:type="dxa" w:w="100"/>
            </w:tcMar>
          </w:tcPr>
          <w:p>
            <w:pPr>
              <w:jc w:val="left"/>
            </w:pPr>
            <w:r>
              <w:rPr>
                <w:rFonts w:ascii="Calibri" w:eastAsia="Microsoft YaHei"/>
                <w:sz w:val="20"/>
                <w:szCs w:val="20"/>
              </w:rPr>
              <w:t xml:space="preserve">Achieve sustainable revenue from commission/subscription model</w:t>
            </w:r>
          </w:p>
        </w:tc>
        <w:tc>
          <w:tcPr>
            <w:tcW w:type="pct" w:w="25%"/>
            <w:tcMar>
              <w:top w:type="dxa" w:w="60"/>
              <w:left w:type="dxa" w:w="100"/>
              <w:bottom w:type="dxa" w:w="60"/>
              <w:right w:type="dxa" w:w="100"/>
            </w:tcMar>
          </w:tcPr>
          <w:p>
            <w:pPr>
              <w:jc w:val="left"/>
            </w:pPr>
            <w:r>
              <w:rPr>
                <w:rFonts w:ascii="Calibri" w:eastAsia="Microsoft YaHei"/>
                <w:sz w:val="20"/>
                <w:szCs w:val="20"/>
              </w:rPr>
              <w:t xml:space="preserve">$5M+ monthly GMV</w:t>
            </w:r>
          </w:p>
        </w:tc>
        <w:tc>
          <w:tcPr>
            <w:tcW w:type="pct" w:w="20%"/>
            <w:tcMar>
              <w:top w:type="dxa" w:w="60"/>
              <w:left w:type="dxa" w:w="100"/>
              <w:bottom w:type="dxa" w:w="60"/>
              <w:right w:type="dxa" w:w="100"/>
            </w:tcMar>
          </w:tcPr>
          <w:p>
            <w:pPr>
              <w:jc w:val="left"/>
            </w:pPr>
            <w:r>
              <w:rPr>
                <w:rFonts w:ascii="Calibri" w:eastAsia="Microsoft YaHei"/>
                <w:sz w:val="20"/>
                <w:szCs w:val="20"/>
              </w:rPr>
              <w:t xml:space="preserve">Month 18</w:t>
            </w:r>
          </w:p>
        </w:tc>
        <w:tc>
          <w:tcPr>
            <w:tcW w:type="pct" w:w="20%"/>
            <w:tcMar>
              <w:top w:type="dxa" w:w="60"/>
              <w:left w:type="dxa" w:w="100"/>
              <w:bottom w:type="dxa" w:w="60"/>
              <w:right w:type="dxa" w:w="100"/>
            </w:tcMar>
          </w:tcPr>
          <w:p>
            <w:pPr>
              <w:jc w:val="center"/>
            </w:pPr>
            <w:r>
              <w:rPr>
                <w:rFonts w:ascii="Calibri" w:eastAsia="Microsoft YaHei"/>
                <w:b/>
                <w:bCs/>
                <w:color w:val="718096"/>
                <w:sz w:val="20"/>
                <w:szCs w:val="20"/>
              </w:rPr>
              <w:t xml:space="preserve">High</w:t>
            </w:r>
          </w:p>
        </w:tc>
      </w:tr>
      <w:tr>
        <w:trPr>
          <w:cantSplit/>
        </w:trPr>
        <w:tc>
          <w:tcPr>
            <w:tcW w:type="pct" w:w="35%"/>
            <w:tcMar>
              <w:top w:type="dxa" w:w="60"/>
              <w:left w:type="dxa" w:w="100"/>
              <w:bottom w:type="dxa" w:w="60"/>
              <w:right w:type="dxa" w:w="100"/>
            </w:tcMar>
          </w:tcPr>
          <w:p>
            <w:pPr>
              <w:jc w:val="left"/>
            </w:pPr>
            <w:r>
              <w:rPr>
                <w:rFonts w:ascii="Calibri" w:eastAsia="Microsoft YaHei"/>
                <w:sz w:val="20"/>
                <w:szCs w:val="20"/>
              </w:rPr>
              <w:t xml:space="preserve">Deliver seamless bilingual user experience (French/Arabic)</w:t>
            </w:r>
          </w:p>
        </w:tc>
        <w:tc>
          <w:tcPr>
            <w:tcW w:type="pct" w:w="25%"/>
            <w:tcMar>
              <w:top w:type="dxa" w:w="60"/>
              <w:left w:type="dxa" w:w="100"/>
              <w:bottom w:type="dxa" w:w="60"/>
              <w:right w:type="dxa" w:w="100"/>
            </w:tcMar>
          </w:tcPr>
          <w:p>
            <w:pPr>
              <w:jc w:val="left"/>
            </w:pPr>
            <w:r>
              <w:rPr>
                <w:rFonts w:ascii="Calibri" w:eastAsia="Microsoft YaHei"/>
                <w:sz w:val="20"/>
                <w:szCs w:val="20"/>
              </w:rPr>
              <w:t xml:space="preserve">&lt;2s page load, 99.9% uptime</w:t>
            </w:r>
          </w:p>
        </w:tc>
        <w:tc>
          <w:tcPr>
            <w:tcW w:type="pct" w:w="20%"/>
            <w:tcMar>
              <w:top w:type="dxa" w:w="60"/>
              <w:left w:type="dxa" w:w="100"/>
              <w:bottom w:type="dxa" w:w="60"/>
              <w:right w:type="dxa" w:w="100"/>
            </w:tcMar>
          </w:tcPr>
          <w:p>
            <w:pPr>
              <w:jc w:val="left"/>
            </w:pPr>
            <w:r>
              <w:rPr>
                <w:rFonts w:ascii="Calibri" w:eastAsia="Microsoft YaHei"/>
                <w:sz w:val="20"/>
                <w:szCs w:val="20"/>
              </w:rPr>
              <w:t xml:space="preserve">Month 12</w:t>
            </w:r>
          </w:p>
        </w:tc>
        <w:tc>
          <w:tcPr>
            <w:tcW w:type="pct" w:w="20%"/>
            <w:tcMar>
              <w:top w:type="dxa" w:w="60"/>
              <w:left w:type="dxa" w:w="100"/>
              <w:bottom w:type="dxa" w:w="60"/>
              <w:right w:type="dxa" w:w="100"/>
            </w:tcMar>
          </w:tcPr>
          <w:p>
            <w:pPr>
              <w:jc w:val="center"/>
            </w:pPr>
            <w:r>
              <w:rPr>
                <w:rFonts w:ascii="Calibri" w:eastAsia="Microsoft YaHei"/>
                <w:b/>
                <w:bCs/>
                <w:color w:val="718096"/>
                <w:sz w:val="20"/>
                <w:szCs w:val="20"/>
              </w:rPr>
              <w:t xml:space="preserve">High</w:t>
            </w:r>
          </w:p>
        </w:tc>
      </w:tr>
      <w:tr>
        <w:trPr>
          <w:cantSplit/>
        </w:trPr>
        <w:tc>
          <w:tcPr>
            <w:tcW w:type="pct" w:w="35%"/>
            <w:tcMar>
              <w:top w:type="dxa" w:w="60"/>
              <w:left w:type="dxa" w:w="100"/>
              <w:bottom w:type="dxa" w:w="60"/>
              <w:right w:type="dxa" w:w="100"/>
            </w:tcMar>
          </w:tcPr>
          <w:p>
            <w:pPr>
              <w:jc w:val="left"/>
            </w:pPr>
            <w:r>
              <w:rPr>
                <w:rFonts w:ascii="Calibri" w:eastAsia="Microsoft YaHei"/>
                <w:sz w:val="20"/>
                <w:szCs w:val="20"/>
              </w:rPr>
              <w:t xml:space="preserve">Integrate with Algerian financial and logistics ecosystem</w:t>
            </w:r>
          </w:p>
        </w:tc>
        <w:tc>
          <w:tcPr>
            <w:tcW w:type="pct" w:w="25%"/>
            <w:tcMar>
              <w:top w:type="dxa" w:w="60"/>
              <w:left w:type="dxa" w:w="100"/>
              <w:bottom w:type="dxa" w:w="60"/>
              <w:right w:type="dxa" w:w="100"/>
            </w:tcMar>
          </w:tcPr>
          <w:p>
            <w:pPr>
              <w:jc w:val="left"/>
            </w:pPr>
            <w:r>
              <w:rPr>
                <w:rFonts w:ascii="Calibri" w:eastAsia="Microsoft YaHei"/>
                <w:sz w:val="20"/>
                <w:szCs w:val="20"/>
              </w:rPr>
              <w:t xml:space="preserve">5+ payment methods, all major ports</w:t>
            </w:r>
          </w:p>
        </w:tc>
        <w:tc>
          <w:tcPr>
            <w:tcW w:type="pct" w:w="20%"/>
            <w:tcMar>
              <w:top w:type="dxa" w:w="60"/>
              <w:left w:type="dxa" w:w="100"/>
              <w:bottom w:type="dxa" w:w="60"/>
              <w:right w:type="dxa" w:w="100"/>
            </w:tcMar>
          </w:tcPr>
          <w:p>
            <w:pPr>
              <w:jc w:val="left"/>
            </w:pPr>
            <w:r>
              <w:rPr>
                <w:rFonts w:ascii="Calibri" w:eastAsia="Microsoft YaHei"/>
                <w:sz w:val="20"/>
                <w:szCs w:val="20"/>
              </w:rPr>
              <w:t xml:space="preserve">Month 12</w:t>
            </w:r>
          </w:p>
        </w:tc>
        <w:tc>
          <w:tcPr>
            <w:tcW w:type="pct" w:w="20%"/>
            <w:tcMar>
              <w:top w:type="dxa" w:w="60"/>
              <w:left w:type="dxa" w:w="100"/>
              <w:bottom w:type="dxa" w:w="60"/>
              <w:right w:type="dxa" w:w="100"/>
            </w:tcMar>
          </w:tcPr>
          <w:p>
            <w:pPr>
              <w:jc w:val="center"/>
            </w:pPr>
            <w:r>
              <w:rPr>
                <w:rFonts w:ascii="Calibri" w:eastAsia="Microsoft YaHei"/>
                <w:b/>
                <w:bCs/>
                <w:color w:val="718096"/>
                <w:sz w:val="20"/>
                <w:szCs w:val="20"/>
              </w:rPr>
              <w:t xml:space="preserve">High</w:t>
            </w:r>
          </w:p>
        </w:tc>
      </w:tr>
    </w:tbl>
    <w:p>
      <w:pPr>
        <w:spacing w:before="300"/>
      </w:pPr>
    </w:p>
    <w:p>
      <w:pPr>
        <w:pStyle w:val="Heading1"/>
        <w:spacing w:after="200" w:before="400" w:line="312"/>
      </w:pPr>
      <w:r>
        <w:rPr>
          <w:rFonts w:ascii="Calibri" w:eastAsia="SimHei"/>
          <w:b/>
          <w:bCs/>
          <w:color w:val="1E3A5F"/>
          <w:sz w:val="32"/>
          <w:szCs w:val="32"/>
        </w:rPr>
        <w:t xml:space="preserve">Phase-by-Phase Implementation Plan</w:t>
      </w:r>
    </w:p>
    <w:p>
      <w:pPr>
        <w:spacing w:after="120" w:line="312"/>
        <w:ind w:firstLine="480"/>
        <w:jc w:val="both"/>
      </w:pPr>
      <w:r>
        <w:rPr>
          <w:rFonts w:ascii="Calibri" w:eastAsia="Microsoft YaHei"/>
          <w:color w:val="2D3748"/>
          <w:sz w:val="24"/>
          <w:szCs w:val="24"/>
        </w:rPr>
        <w:t xml:space="preserve">The following detailed breakdown presents each development phase with specific objectives, deliverables, resource requirements, and success criteria. This phased approach allows for iterative development, continuous feedback incorporation, and risk mitigation through incremental value delivery. Each phase builds upon the previous one while maintaining clear scope boundaries to prevent scope creep and ensure on-time delivery.</w:t>
      </w:r>
    </w:p>
    <w:tbl>
      <w:tblPr>
        <w:tblW w:type="pct" w:w="100%"/>
        <w:tblBorders>
          <w:top w:val="single" w:color="D0D5DD" w:sz="1"/>
          <w:left w:val="none"/>
          <w:bottom w:val="single" w:color="D0D5DD" w:sz="1"/>
          <w:right w:val="none"/>
          <w:insideH w:val="single" w:color="E5E7EB" w:sz="1"/>
          <w:insideV w:val="single" w:color="E5E7EB" w:sz="1"/>
        </w:tblBorders>
      </w:tblPr>
      <w:tblGrid>
        <w:gridCol w:w="100"/>
        <w:gridCol w:w="100"/>
        <w:gridCol w:w="100"/>
        <w:gridCol w:w="100"/>
        <w:gridCol w:w="100"/>
      </w:tblGrid>
      <w:tr>
        <w:trPr>
          <w:cantSplit/>
          <w:tblHeader/>
        </w:trPr>
        <w:tc>
          <w:tcPr>
            <w:tcW w:type="pct" w:w="15%"/>
            <w:shd w:fill="1E3A5F" w:val="clear"/>
            <w:tcMar>
              <w:top w:type="dxa" w:w="80"/>
              <w:left w:type="dxa" w:w="120"/>
              <w:bottom w:type="dxa" w:w="80"/>
              <w:right w:type="dxa" w:w="120"/>
            </w:tcMar>
          </w:tcPr>
          <w:p>
            <w:r>
              <w:rPr>
                <w:rFonts w:ascii="Calibri" w:eastAsia="Microsoft YaHei"/>
                <w:b/>
                <w:bCs/>
                <w:color w:val="FFFFFF"/>
                <w:sz w:val="21"/>
                <w:szCs w:val="21"/>
              </w:rPr>
              <w:t xml:space="preserve">Phase</w:t>
            </w:r>
          </w:p>
        </w:tc>
        <w:tc>
          <w:tcPr>
            <w:tcW w:type="pct" w:w="20%"/>
            <w:shd w:fill="1E3A5F" w:val="clear"/>
            <w:tcMar>
              <w:top w:type="dxa" w:w="80"/>
              <w:left w:type="dxa" w:w="120"/>
              <w:bottom w:type="dxa" w:w="80"/>
              <w:right w:type="dxa" w:w="120"/>
            </w:tcMar>
          </w:tcPr>
          <w:p>
            <w:r>
              <w:rPr>
                <w:rFonts w:ascii="Calibri" w:eastAsia="Microsoft YaHei"/>
                <w:b/>
                <w:bCs/>
                <w:color w:val="FFFFFF"/>
                <w:sz w:val="21"/>
                <w:szCs w:val="21"/>
              </w:rPr>
              <w:t xml:space="preserve">Name &amp; Duration</w:t>
            </w:r>
          </w:p>
        </w:tc>
        <w:tc>
          <w:tcPr>
            <w:tcW w:type="pct" w:w="15%"/>
            <w:shd w:fill="1E3A5F" w:val="clear"/>
            <w:tcMar>
              <w:top w:type="dxa" w:w="80"/>
              <w:left w:type="dxa" w:w="120"/>
              <w:bottom w:type="dxa" w:w="80"/>
              <w:right w:type="dxa" w:w="120"/>
            </w:tcMar>
          </w:tcPr>
          <w:p>
            <w:r>
              <w:rPr>
                <w:rFonts w:ascii="Calibri" w:eastAsia="Microsoft YaHei"/>
                <w:b/>
                <w:bCs/>
                <w:color w:val="FFFFFF"/>
                <w:sz w:val="21"/>
                <w:szCs w:val="21"/>
              </w:rPr>
              <w:t xml:space="preserve">Budget Range</w:t>
            </w:r>
          </w:p>
        </w:tc>
        <w:tc>
          <w:tcPr>
            <w:tcW w:type="pct" w:w="35%"/>
            <w:shd w:fill="1E3A5F" w:val="clear"/>
            <w:tcMar>
              <w:top w:type="dxa" w:w="80"/>
              <w:left w:type="dxa" w:w="120"/>
              <w:bottom w:type="dxa" w:w="80"/>
              <w:right w:type="dxa" w:w="120"/>
            </w:tcMar>
          </w:tcPr>
          <w:p>
            <w:r>
              <w:rPr>
                <w:rFonts w:ascii="Calibri" w:eastAsia="Microsoft YaHei"/>
                <w:b/>
                <w:bCs/>
                <w:color w:val="FFFFFF"/>
                <w:sz w:val="21"/>
                <w:szCs w:val="21"/>
              </w:rPr>
              <w:t xml:space="preserve">Key Objectives</w:t>
            </w:r>
          </w:p>
        </w:tc>
        <w:tc>
          <w:tcPr>
            <w:tcW w:type="pct" w:w="15%"/>
            <w:shd w:fill="1E3A5F" w:val="clear"/>
            <w:tcMar>
              <w:top w:type="dxa" w:w="80"/>
              <w:left w:type="dxa" w:w="120"/>
              <w:bottom w:type="dxa" w:w="80"/>
              <w:right w:type="dxa" w:w="120"/>
            </w:tcMar>
          </w:tcPr>
          <w:p>
            <w:r>
              <w:rPr>
                <w:rFonts w:ascii="Calibri" w:eastAsia="Microsoft YaHei"/>
                <w:b/>
                <w:bCs/>
                <w:color w:val="FFFFFF"/>
                <w:sz w:val="21"/>
                <w:szCs w:val="21"/>
              </w:rPr>
              <w:t xml:space="preserve">Status</w:t>
            </w:r>
          </w:p>
        </w:tc>
      </w:tr>
      <w:tr>
        <w:trPr>
          <w:cantSplit/>
        </w:trPr>
        <w:tc>
          <w:tcPr>
            <w:tcW w:type="pct" w:w="15%"/>
            <w:tcMar>
              <w:top w:type="dxa" w:w="60"/>
              <w:left w:type="dxa" w:w="100"/>
              <w:bottom w:type="dxa" w:w="60"/>
              <w:right w:type="dxa" w:w="100"/>
            </w:tcMar>
          </w:tcPr>
          <w:p>
            <w:pPr>
              <w:jc w:val="left"/>
            </w:pPr>
            <w:r>
              <w:rPr>
                <w:rFonts w:ascii="Calibri" w:eastAsia="Microsoft YaHei"/>
                <w:sz w:val="20"/>
                <w:szCs w:val="20"/>
              </w:rPr>
              <w:t xml:space="preserve">Phase 1</w:t>
            </w:r>
          </w:p>
        </w:tc>
        <w:tc>
          <w:tcPr>
            <w:tcW w:type="pct" w:w="20%"/>
            <w:tcMar>
              <w:top w:type="dxa" w:w="60"/>
              <w:left w:type="dxa" w:w="100"/>
              <w:bottom w:type="dxa" w:w="60"/>
              <w:right w:type="dxa" w:w="100"/>
            </w:tcMar>
          </w:tcPr>
          <w:p>
            <w:pPr>
              <w:jc w:val="left"/>
            </w:pPr>
            <w:r>
              <w:rPr>
                <w:rFonts w:ascii="Calibri" w:eastAsia="Microsoft YaHei"/>
                <w:sz w:val="20"/>
                <w:szCs w:val="20"/>
              </w:rPr>
              <w:t xml:space="preserve">Foundation &amp; MVP
Months 1-3</w:t>
            </w:r>
          </w:p>
        </w:tc>
        <w:tc>
          <w:tcPr>
            <w:tcW w:type="pct" w:w="15%"/>
            <w:tcMar>
              <w:top w:type="dxa" w:w="60"/>
              <w:left w:type="dxa" w:w="100"/>
              <w:bottom w:type="dxa" w:w="60"/>
              <w:right w:type="dxa" w:w="100"/>
            </w:tcMar>
          </w:tcPr>
          <w:p>
            <w:pPr>
              <w:jc w:val="left"/>
            </w:pPr>
            <w:r>
              <w:rPr>
                <w:rFonts w:ascii="Calibri" w:eastAsia="Microsoft YaHei"/>
                <w:sz w:val="20"/>
                <w:szCs w:val="20"/>
              </w:rPr>
              <w:t xml:space="preserve">$45,000-65,000</w:t>
            </w:r>
          </w:p>
        </w:tc>
        <w:tc>
          <w:tcPr>
            <w:tcW w:type="pct" w:w="35%"/>
            <w:tcMar>
              <w:top w:type="dxa" w:w="60"/>
              <w:left w:type="dxa" w:w="100"/>
              <w:bottom w:type="dxa" w:w="60"/>
              <w:right w:type="dxa" w:w="100"/>
            </w:tcMar>
          </w:tcPr>
          <w:p>
            <w:pPr>
              <w:jc w:val="left"/>
            </w:pPr>
            <w:r>
              <w:rPr>
                <w:rFonts w:ascii="Calibri" w:eastAsia="Microsoft YaHei"/>
                <w:sz w:val="20"/>
                <w:szCs w:val="20"/>
              </w:rPr>
              <w:t xml:space="preserve">Core platform infrastructure
Basic product catalog (10 categories)
User authentication (FR/AR)</w:t>
            </w:r>
          </w:p>
        </w:tc>
        <w:tc>
          <w:tcPr>
            <w:tcW w:type="pct" w:w="15%"/>
            <w:tcMar>
              <w:top w:type="dxa" w:w="60"/>
              <w:left w:type="dxa" w:w="100"/>
              <w:bottom w:type="dxa" w:w="60"/>
              <w:right w:type="dxa" w:w="100"/>
            </w:tcMar>
          </w:tcPr>
          <w:p>
            <w:pPr>
              <w:jc w:val="center"/>
            </w:pPr>
            <w:r>
              <w:rPr>
                <w:rFonts w:ascii="Calibri" w:eastAsia="Microsoft YaHei"/>
                <w:b/>
                <w:bCs/>
                <w:color w:val="DD6B20"/>
                <w:sz w:val="20"/>
                <w:szCs w:val="20"/>
              </w:rPr>
              <w:t xml:space="preserve">Critical Path</w:t>
            </w:r>
          </w:p>
        </w:tc>
      </w:tr>
      <w:tr>
        <w:trPr>
          <w:cantSplit/>
        </w:trPr>
        <w:tc>
          <w:tcPr>
            <w:tcW w:type="pct" w:w="15%"/>
            <w:tcMar>
              <w:top w:type="dxa" w:w="60"/>
              <w:left w:type="dxa" w:w="100"/>
              <w:bottom w:type="dxa" w:w="60"/>
              <w:right w:type="dxa" w:w="100"/>
            </w:tcMar>
          </w:tcPr>
          <w:p>
            <w:pPr>
              <w:jc w:val="left"/>
            </w:pPr>
            <w:r>
              <w:rPr>
                <w:rFonts w:ascii="Calibri" w:eastAsia="Microsoft YaHei"/>
                <w:sz w:val="20"/>
                <w:szCs w:val="20"/>
              </w:rPr>
              <w:t xml:space="preserve">Phase 2</w:t>
            </w:r>
          </w:p>
        </w:tc>
        <w:tc>
          <w:tcPr>
            <w:tcW w:type="pct" w:w="20%"/>
            <w:tcMar>
              <w:top w:type="dxa" w:w="60"/>
              <w:left w:type="dxa" w:w="100"/>
              <w:bottom w:type="dxa" w:w="60"/>
              <w:right w:type="dxa" w:w="100"/>
            </w:tcMar>
          </w:tcPr>
          <w:p>
            <w:pPr>
              <w:jc w:val="left"/>
            </w:pPr>
            <w:r>
              <w:rPr>
                <w:rFonts w:ascii="Calibri" w:eastAsia="Microsoft YaHei"/>
                <w:sz w:val="20"/>
                <w:szCs w:val="20"/>
              </w:rPr>
              <w:t xml:space="preserve">Core Trading Features
Months 4-6</w:t>
            </w:r>
          </w:p>
        </w:tc>
        <w:tc>
          <w:tcPr>
            <w:tcW w:type="pct" w:w="15%"/>
            <w:tcMar>
              <w:top w:type="dxa" w:w="60"/>
              <w:left w:type="dxa" w:w="100"/>
              <w:bottom w:type="dxa" w:w="60"/>
              <w:right w:type="dxa" w:w="100"/>
            </w:tcMar>
          </w:tcPr>
          <w:p>
            <w:pPr>
              <w:jc w:val="left"/>
            </w:pPr>
            <w:r>
              <w:rPr>
                <w:rFonts w:ascii="Calibri" w:eastAsia="Microsoft YaHei"/>
                <w:sz w:val="20"/>
                <w:szCs w:val="20"/>
              </w:rPr>
              <w:t xml:space="preserve">$55,000-80,000</w:t>
            </w:r>
          </w:p>
        </w:tc>
        <w:tc>
          <w:tcPr>
            <w:tcW w:type="pct" w:w="35%"/>
            <w:tcMar>
              <w:top w:type="dxa" w:w="60"/>
              <w:left w:type="dxa" w:w="100"/>
              <w:bottom w:type="dxa" w:w="60"/>
              <w:right w:type="dxa" w:w="100"/>
            </w:tcMar>
          </w:tcPr>
          <w:p>
            <w:pPr>
              <w:jc w:val="left"/>
            </w:pPr>
            <w:r>
              <w:rPr>
                <w:rFonts w:ascii="Calibri" w:eastAsia="Microsoft YaHei"/>
                <w:sz w:val="20"/>
                <w:szCs w:val="20"/>
              </w:rPr>
              <w:t xml:space="preserve">RFQ (Request for Quotation) system
Messaging system
Supplier verification workflow</w:t>
            </w:r>
          </w:p>
        </w:tc>
        <w:tc>
          <w:tcPr>
            <w:tcW w:type="pct" w:w="15%"/>
            <w:tcMar>
              <w:top w:type="dxa" w:w="60"/>
              <w:left w:type="dxa" w:w="100"/>
              <w:bottom w:type="dxa" w:w="60"/>
              <w:right w:type="dxa" w:w="100"/>
            </w:tcMar>
          </w:tcPr>
          <w:p>
            <w:pPr>
              <w:jc w:val="center"/>
            </w:pPr>
            <w:r>
              <w:rPr>
                <w:rFonts w:ascii="Calibri" w:eastAsia="Microsoft YaHei"/>
                <w:b/>
                <w:bCs/>
                <w:color w:val="38A169"/>
                <w:sz w:val="20"/>
                <w:szCs w:val="20"/>
              </w:rPr>
              <w:t xml:space="preserve">High Priority</w:t>
            </w:r>
          </w:p>
        </w:tc>
      </w:tr>
      <w:tr>
        <w:trPr>
          <w:cantSplit/>
        </w:trPr>
        <w:tc>
          <w:tcPr>
            <w:tcW w:type="pct" w:w="15%"/>
            <w:tcMar>
              <w:top w:type="dxa" w:w="60"/>
              <w:left w:type="dxa" w:w="100"/>
              <w:bottom w:type="dxa" w:w="60"/>
              <w:right w:type="dxa" w:w="100"/>
            </w:tcMar>
          </w:tcPr>
          <w:p>
            <w:pPr>
              <w:jc w:val="left"/>
            </w:pPr>
            <w:r>
              <w:rPr>
                <w:rFonts w:ascii="Calibri" w:eastAsia="Microsoft YaHei"/>
                <w:sz w:val="20"/>
                <w:szCs w:val="20"/>
              </w:rPr>
              <w:t xml:space="preserve">Phase 3</w:t>
            </w:r>
          </w:p>
        </w:tc>
        <w:tc>
          <w:tcPr>
            <w:tcW w:type="pct" w:w="20%"/>
            <w:tcMar>
              <w:top w:type="dxa" w:w="60"/>
              <w:left w:type="dxa" w:w="100"/>
              <w:bottom w:type="dxa" w:w="60"/>
              <w:right w:type="dxa" w:w="100"/>
            </w:tcMar>
          </w:tcPr>
          <w:p>
            <w:pPr>
              <w:jc w:val="left"/>
            </w:pPr>
            <w:r>
              <w:rPr>
                <w:rFonts w:ascii="Calibri" w:eastAsia="Microsoft YaHei"/>
                <w:sz w:val="20"/>
                <w:szCs w:val="20"/>
              </w:rPr>
              <w:t xml:space="preserve">Transaction &amp; Trust System
Months 7-9</w:t>
            </w:r>
          </w:p>
        </w:tc>
        <w:tc>
          <w:tcPr>
            <w:tcW w:type="pct" w:w="15%"/>
            <w:tcMar>
              <w:top w:type="dxa" w:w="60"/>
              <w:left w:type="dxa" w:w="100"/>
              <w:bottom w:type="dxa" w:w="60"/>
              <w:right w:type="dxa" w:w="100"/>
            </w:tcMar>
          </w:tcPr>
          <w:p>
            <w:pPr>
              <w:jc w:val="left"/>
            </w:pPr>
            <w:r>
              <w:rPr>
                <w:rFonts w:ascii="Calibri" w:eastAsia="Microsoft YaHei"/>
                <w:sz w:val="20"/>
                <w:szCs w:val="20"/>
              </w:rPr>
              <w:t xml:space="preserve">$70,000-95,000</w:t>
            </w:r>
          </w:p>
        </w:tc>
        <w:tc>
          <w:tcPr>
            <w:tcW w:type="pct" w:w="35%"/>
            <w:tcMar>
              <w:top w:type="dxa" w:w="60"/>
              <w:left w:type="dxa" w:w="100"/>
              <w:bottom w:type="dxa" w:w="60"/>
              <w:right w:type="dxa" w:w="100"/>
            </w:tcMar>
          </w:tcPr>
          <w:p>
            <w:pPr>
              <w:jc w:val="left"/>
            </w:pPr>
            <w:r>
              <w:rPr>
                <w:rFonts w:ascii="Calibri" w:eastAsia="Microsoft YaHei"/>
                <w:sz w:val="20"/>
                <w:szCs w:val="20"/>
              </w:rPr>
              <w:t xml:space="preserve">Secure payment integration
Escrow system
Algerian payment methods (CIB, CCP)</w:t>
            </w:r>
          </w:p>
        </w:tc>
        <w:tc>
          <w:tcPr>
            <w:tcW w:type="pct" w:w="15%"/>
            <w:tcMar>
              <w:top w:type="dxa" w:w="60"/>
              <w:left w:type="dxa" w:w="100"/>
              <w:bottom w:type="dxa" w:w="60"/>
              <w:right w:type="dxa" w:w="100"/>
            </w:tcMar>
          </w:tcPr>
          <w:p>
            <w:pPr>
              <w:jc w:val="center"/>
            </w:pPr>
            <w:r>
              <w:rPr>
                <w:rFonts w:ascii="Calibri" w:eastAsia="Microsoft YaHei"/>
                <w:b/>
                <w:bCs/>
                <w:color w:val="38A169"/>
                <w:sz w:val="20"/>
                <w:szCs w:val="20"/>
              </w:rPr>
              <w:t xml:space="preserve">High Priority</w:t>
            </w:r>
          </w:p>
        </w:tc>
      </w:tr>
      <w:tr>
        <w:trPr>
          <w:cantSplit/>
        </w:trPr>
        <w:tc>
          <w:tcPr>
            <w:tcW w:type="pct" w:w="15%"/>
            <w:tcMar>
              <w:top w:type="dxa" w:w="60"/>
              <w:left w:type="dxa" w:w="100"/>
              <w:bottom w:type="dxa" w:w="60"/>
              <w:right w:type="dxa" w:w="100"/>
            </w:tcMar>
          </w:tcPr>
          <w:p>
            <w:pPr>
              <w:jc w:val="left"/>
            </w:pPr>
            <w:r>
              <w:rPr>
                <w:rFonts w:ascii="Calibri" w:eastAsia="Microsoft YaHei"/>
                <w:sz w:val="20"/>
                <w:szCs w:val="20"/>
              </w:rPr>
              <w:t xml:space="preserve">Phase 4</w:t>
            </w:r>
          </w:p>
        </w:tc>
        <w:tc>
          <w:tcPr>
            <w:tcW w:type="pct" w:w="20%"/>
            <w:tcMar>
              <w:top w:type="dxa" w:w="60"/>
              <w:left w:type="dxa" w:w="100"/>
              <w:bottom w:type="dxa" w:w="60"/>
              <w:right w:type="dxa" w:w="100"/>
            </w:tcMar>
          </w:tcPr>
          <w:p>
            <w:pPr>
              <w:jc w:val="left"/>
            </w:pPr>
            <w:r>
              <w:rPr>
                <w:rFonts w:ascii="Calibri" w:eastAsia="Microsoft YaHei"/>
                <w:sz w:val="20"/>
                <w:szCs w:val="20"/>
              </w:rPr>
              <w:t xml:space="preserve">Logistics &amp; Localization
Months 10-12</w:t>
            </w:r>
          </w:p>
        </w:tc>
        <w:tc>
          <w:tcPr>
            <w:tcW w:type="pct" w:w="15%"/>
            <w:tcMar>
              <w:top w:type="dxa" w:w="60"/>
              <w:left w:type="dxa" w:w="100"/>
              <w:bottom w:type="dxa" w:w="60"/>
              <w:right w:type="dxa" w:w="100"/>
            </w:tcMar>
          </w:tcPr>
          <w:p>
            <w:pPr>
              <w:jc w:val="left"/>
            </w:pPr>
            <w:r>
              <w:rPr>
                <w:rFonts w:ascii="Calibri" w:eastAsia="Microsoft YaHei"/>
                <w:sz w:val="20"/>
                <w:szCs w:val="20"/>
              </w:rPr>
              <w:t xml:space="preserve">$60,000-85,000</w:t>
            </w:r>
          </w:p>
        </w:tc>
        <w:tc>
          <w:tcPr>
            <w:tcW w:type="pct" w:w="35%"/>
            <w:tcMar>
              <w:top w:type="dxa" w:w="60"/>
              <w:left w:type="dxa" w:w="100"/>
              <w:bottom w:type="dxa" w:w="60"/>
              <w:right w:type="dxa" w:w="100"/>
            </w:tcMar>
          </w:tcPr>
          <w:p>
            <w:pPr>
              <w:jc w:val="left"/>
            </w:pPr>
            <w:r>
              <w:rPr>
                <w:rFonts w:ascii="Calibri" w:eastAsia="Microsoft YaHei"/>
                <w:sz w:val="20"/>
                <w:szCs w:val="20"/>
              </w:rPr>
              <w:t xml:space="preserve">Algerian port integrations
Customs documentation tools
Shipping calculator</w:t>
            </w:r>
          </w:p>
        </w:tc>
        <w:tc>
          <w:tcPr>
            <w:tcW w:type="pct" w:w="15%"/>
            <w:tcMar>
              <w:top w:type="dxa" w:w="60"/>
              <w:left w:type="dxa" w:w="100"/>
              <w:bottom w:type="dxa" w:w="60"/>
              <w:right w:type="dxa" w:w="100"/>
            </w:tcMar>
          </w:tcPr>
          <w:p>
            <w:pPr>
              <w:jc w:val="center"/>
            </w:pPr>
            <w:r>
              <w:rPr>
                <w:rFonts w:ascii="Calibri" w:eastAsia="Microsoft YaHei"/>
                <w:b/>
                <w:bCs/>
                <w:color w:val="718096"/>
                <w:sz w:val="20"/>
                <w:szCs w:val="20"/>
              </w:rPr>
              <w:t xml:space="preserve">Medium Priority</w:t>
            </w:r>
          </w:p>
        </w:tc>
      </w:tr>
      <w:tr>
        <w:trPr>
          <w:cantSplit/>
        </w:trPr>
        <w:tc>
          <w:tcPr>
            <w:tcW w:type="pct" w:w="15%"/>
            <w:tcMar>
              <w:top w:type="dxa" w:w="60"/>
              <w:left w:type="dxa" w:w="100"/>
              <w:bottom w:type="dxa" w:w="60"/>
              <w:right w:type="dxa" w:w="100"/>
            </w:tcMar>
          </w:tcPr>
          <w:p>
            <w:pPr>
              <w:jc w:val="left"/>
            </w:pPr>
            <w:r>
              <w:rPr>
                <w:rFonts w:ascii="Calibri" w:eastAsia="Microsoft YaHei"/>
                <w:sz w:val="20"/>
                <w:szCs w:val="20"/>
              </w:rPr>
              <w:t xml:space="preserve">Phase 5</w:t>
            </w:r>
          </w:p>
        </w:tc>
        <w:tc>
          <w:tcPr>
            <w:tcW w:type="pct" w:w="20%"/>
            <w:tcMar>
              <w:top w:type="dxa" w:w="60"/>
              <w:left w:type="dxa" w:w="100"/>
              <w:bottom w:type="dxa" w:w="60"/>
              <w:right w:type="dxa" w:w="100"/>
            </w:tcMar>
          </w:tcPr>
          <w:p>
            <w:pPr>
              <w:jc w:val="left"/>
            </w:pPr>
            <w:r>
              <w:rPr>
                <w:rFonts w:ascii="Calibri" w:eastAsia="Microsoft YaHei"/>
                <w:sz w:val="20"/>
                <w:szCs w:val="20"/>
              </w:rPr>
              <w:t xml:space="preserve">Growth &amp; Scale
Months 13-18</w:t>
            </w:r>
          </w:p>
        </w:tc>
        <w:tc>
          <w:tcPr>
            <w:tcW w:type="pct" w:w="15%"/>
            <w:tcMar>
              <w:top w:type="dxa" w:w="60"/>
              <w:left w:type="dxa" w:w="100"/>
              <w:bottom w:type="dxa" w:w="60"/>
              <w:right w:type="dxa" w:w="100"/>
            </w:tcMar>
          </w:tcPr>
          <w:p>
            <w:pPr>
              <w:jc w:val="left"/>
            </w:pPr>
            <w:r>
              <w:rPr>
                <w:rFonts w:ascii="Calibri" w:eastAsia="Microsoft YaHei"/>
                <w:sz w:val="20"/>
                <w:szCs w:val="20"/>
              </w:rPr>
              <w:t xml:space="preserve">$80,000-120,000</w:t>
            </w:r>
          </w:p>
        </w:tc>
        <w:tc>
          <w:tcPr>
            <w:tcW w:type="pct" w:w="35%"/>
            <w:tcMar>
              <w:top w:type="dxa" w:w="60"/>
              <w:left w:type="dxa" w:w="100"/>
              <w:bottom w:type="dxa" w:w="60"/>
              <w:right w:type="dxa" w:w="100"/>
            </w:tcMar>
          </w:tcPr>
          <w:p>
            <w:pPr>
              <w:jc w:val="left"/>
            </w:pPr>
            <w:r>
              <w:rPr>
                <w:rFonts w:ascii="Calibri" w:eastAsia="Microsoft YaHei"/>
                <w:sz w:val="20"/>
                <w:szCs w:val="20"/>
              </w:rPr>
              <w:t xml:space="preserve">Mobile apps (iOS/Android)
Advanced AI recommendations
Marketing automation</w:t>
            </w:r>
          </w:p>
        </w:tc>
        <w:tc>
          <w:tcPr>
            <w:tcW w:type="pct" w:w="15%"/>
            <w:tcMar>
              <w:top w:type="dxa" w:w="60"/>
              <w:left w:type="dxa" w:w="100"/>
              <w:bottom w:type="dxa" w:w="60"/>
              <w:right w:type="dxa" w:w="100"/>
            </w:tcMar>
          </w:tcPr>
          <w:p>
            <w:pPr>
              <w:jc w:val="center"/>
            </w:pPr>
            <w:r>
              <w:rPr>
                <w:rFonts w:ascii="Calibri" w:eastAsia="Microsoft YaHei"/>
                <w:b/>
                <w:bCs/>
                <w:color w:val="718096"/>
                <w:sz w:val="20"/>
                <w:szCs w:val="20"/>
              </w:rPr>
              <w:t xml:space="preserve">Strategic</w:t>
            </w:r>
          </w:p>
        </w:tc>
      </w:tr>
    </w:tbl>
    <w:p>
      <w:pPr>
        <w:spacing w:before="300"/>
      </w:pPr>
    </w:p>
    <w:p>
      <w:pPr>
        <w:pStyle w:val="Heading2"/>
        <w:spacing w:after="160" w:before="300" w:line="312"/>
      </w:pPr>
      <w:r>
        <w:rPr>
          <w:rFonts w:ascii="Calibri" w:eastAsia="SimHei"/>
          <w:b/>
          <w:bCs/>
          <w:color w:val="1E3A5F"/>
          <w:sz w:val="28"/>
          <w:szCs w:val="28"/>
        </w:rPr>
        <w:t xml:space="preserve">Phase 1: Foundation &amp; MVP (Months 1-3)</w:t>
      </w:r>
    </w:p>
    <w:p>
      <w:pPr>
        <w:shd w:fill="F7FAFC" w:val="clear"/>
        <w:spacing w:after="200" w:before="200" w:line="312"/>
        <w:jc w:val="center"/>
      </w:pPr>
      <w:r>
        <w:rPr>
          <w:rFonts w:ascii="Calibri" w:eastAsia="SimHei"/>
          <w:b/>
          <w:bCs/>
          <w:color w:val="1E3A5F"/>
          <w:sz w:val="26"/>
          <w:szCs w:val="26"/>
        </w:rPr>
        <w:t xml:space="preserve">Budget: $45,000-$65,000 | Status: CRITICAL PATH | Team: 6-8 people</w:t>
      </w:r>
    </w:p>
    <w:p>
      <w:pPr>
        <w:pStyle w:val="Heading3"/>
        <w:spacing w:after="120" w:before="240" w:line="312"/>
      </w:pPr>
      <w:r>
        <w:rPr>
          <w:rFonts w:ascii="Calibri" w:eastAsia="SimHei"/>
          <w:b/>
          <w:bCs/>
          <w:color w:val="2D3748"/>
          <w:sz w:val="24"/>
          <w:szCs w:val="24"/>
        </w:rPr>
        <w:t xml:space="preserve">Phase 1 Objectives</w:t>
      </w:r>
    </w:p>
    <w:p>
      <w:pPr>
        <w:spacing w:after="120" w:line="312"/>
        <w:ind w:firstLine="480"/>
        <w:jc w:val="both"/>
      </w:pPr>
      <w:r>
        <w:rPr>
          <w:rFonts w:ascii="Calibri" w:eastAsia="Microsoft YaHei"/>
          <w:color w:val="2D3748"/>
          <w:sz w:val="24"/>
          <w:szCs w:val="24"/>
        </w:rPr>
        <w:t xml:space="preserve">The foundation phase establishes the core technical infrastructure and delivers a functional MVP suitable for initial user testing and market validation. This phase focuses on proving the concept with real users while building the architectural foundation that will support future scale. The MVP will include essential features that demonstrate value to both buyers and sellers without the complexity of full transaction capabilities.</w:t>
      </w:r>
    </w:p>
    <w:p>
      <w:pPr>
        <w:spacing w:after="120" w:line="312"/>
        <w:ind w:firstLine="480"/>
        <w:jc w:val="both"/>
      </w:pPr>
      <w:r>
        <w:rPr>
          <w:rFonts w:ascii="Calibri" w:eastAsia="Microsoft YaHei"/>
          <w:color w:val="2D3748"/>
          <w:sz w:val="24"/>
          <w:szCs w:val="24"/>
        </w:rPr>
        <w:t xml:space="preserve">Primary objectives include deploying a production-ready cloud infrastructure with appropriate security measures, implementing a robust authentication system supporting both French and Arabic interfaces, creating the initial product catalog covering the ten highest-demand categories for Algerian importers, and developing supplier registration workflows that include basic verification checks against Algerian commercial registries.</w:t>
      </w:r>
    </w:p>
    <w:p>
      <w:pPr>
        <w:pStyle w:val="Heading3"/>
        <w:spacing w:after="120" w:before="240" w:line="312"/>
      </w:pPr>
      <w:r>
        <w:rPr>
          <w:rFonts w:ascii="Calibri" w:eastAsia="SimHei"/>
          <w:b/>
          <w:bCs/>
          <w:color w:val="2D3748"/>
          <w:sz w:val="24"/>
          <w:szCs w:val="24"/>
        </w:rPr>
        <w:t xml:space="preserve">Technical Architecture Decisions</w:t>
      </w:r>
    </w:p>
    <w:p>
      <w:pPr>
        <w:spacing w:after="120" w:line="312"/>
        <w:ind w:firstLine="480"/>
        <w:jc w:val="both"/>
      </w:pPr>
      <w:r>
        <w:rPr>
          <w:rFonts w:ascii="Calibri" w:eastAsia="Microsoft YaHei"/>
          <w:color w:val="2D3748"/>
          <w:sz w:val="24"/>
          <w:szCs w:val="24"/>
        </w:rPr>
        <w:t xml:space="preserve">Frontend Architecture: Next.js 14 with React 18 for server-side rendering optimization, critical for SEO performance in a competitive B2B market. TypeScript throughout for type safety and developer productivity. Tailwind CSS for responsive design ensuring mobile-first approach given high mobile usage rates in Algeria. Internationalization (i18n) framework from day one to support seamless French/Arabic switching.</w:t>
      </w:r>
    </w:p>
    <w:p>
      <w:pPr>
        <w:spacing w:after="120" w:line="312"/>
        <w:ind w:firstLine="480"/>
        <w:jc w:val="both"/>
      </w:pPr>
      <w:r>
        <w:rPr>
          <w:rFonts w:ascii="Calibri" w:eastAsia="Microsoft YaHei"/>
          <w:color w:val="2D3748"/>
          <w:sz w:val="24"/>
          <w:szCs w:val="24"/>
        </w:rPr>
        <w:t xml:space="preserve">Backend Architecture: Node.js with Express.js for RESTful API development, chosen for JavaScript full-stack consistency and available talent pool in North Africa. PostgreSQL as primary database for complex queries and relational data integrity requirements. Redis for session management, caching frequently accessed product data, and rate limiting. Docker containerization from development through production for environment consistency.</w:t>
      </w:r>
    </w:p>
    <w:p>
      <w:pPr>
        <w:spacing w:after="120" w:line="312"/>
        <w:ind w:firstLine="480"/>
        <w:jc w:val="both"/>
      </w:pPr>
      <w:r>
        <w:rPr>
          <w:rFonts w:ascii="Calibri" w:eastAsia="Microsoft YaHei"/>
          <w:color w:val="2D3748"/>
          <w:sz w:val="24"/>
          <w:szCs w:val="24"/>
        </w:rPr>
        <w:t xml:space="preserve">Infrastructure: AWS (or Azure) as primary cloud provider with multi-AZ deployment for high availability. CloudFront CDN for static asset delivery reducing latency for Algeria-based users. RDS for managed database with automated backups and point-in-time recovery. ECS Fargate or Kubernetes for container orchestration enabling elastic scaling based on traffic patterns.</w:t>
      </w:r>
    </w:p>
    <w:p>
      <w:pPr>
        <w:pStyle w:val="Heading3"/>
        <w:spacing w:after="120" w:before="240" w:line="312"/>
      </w:pPr>
      <w:r>
        <w:rPr>
          <w:rFonts w:ascii="Calibri" w:eastAsia="SimHei"/>
          <w:b/>
          <w:bCs/>
          <w:color w:val="2D3748"/>
          <w:sz w:val="24"/>
          <w:szCs w:val="24"/>
        </w:rPr>
        <w:t xml:space="preserve">Phase 1 Deliverables Checklist</w:t>
      </w:r>
    </w:p>
    <w:tbl>
      <w:tblPr>
        <w:tblW w:type="pct" w:w="100%"/>
        <w:tblBorders>
          <w:top w:val="single" w:color="D0D5DD" w:sz="1"/>
          <w:left w:val="none"/>
          <w:bottom w:val="single" w:color="D0D5DD" w:sz="1"/>
          <w:right w:val="none"/>
          <w:insideH w:val="single" w:color="E5E7EB" w:sz="1"/>
          <w:insideV w:val="single" w:color="E5E7EB" w:sz="1"/>
        </w:tblBorders>
      </w:tblPr>
      <w:tblGrid>
        <w:gridCol w:w="100"/>
        <w:gridCol w:w="100"/>
        <w:gridCol w:w="100"/>
      </w:tblGrid>
      <w:tr>
        <w:trPr>
          <w:cantSplit/>
          <w:tblHeader/>
        </w:trPr>
        <w:tc>
          <w:tcPr>
            <w:tcW w:type="pct" w:w="50%"/>
            <w:shd w:fill="1E3A5F" w:val="clear"/>
            <w:tcMar>
              <w:top w:type="dxa" w:w="80"/>
              <w:left w:type="dxa" w:w="120"/>
              <w:bottom w:type="dxa" w:w="80"/>
              <w:right w:type="dxa" w:w="120"/>
            </w:tcMar>
          </w:tcPr>
          <w:p>
            <w:r>
              <w:rPr>
                <w:rFonts w:ascii="Calibri" w:eastAsia="Microsoft YaHei"/>
                <w:b/>
                <w:bCs/>
                <w:color w:val="FFFFFF"/>
                <w:sz w:val="21"/>
                <w:szCs w:val="21"/>
              </w:rPr>
              <w:t xml:space="preserve">Deliverable</w:t>
            </w:r>
          </w:p>
        </w:tc>
        <w:tc>
          <w:tcPr>
            <w:tcW w:type="pct" w:w="35%"/>
            <w:shd w:fill="1E3A5F" w:val="clear"/>
            <w:tcMar>
              <w:top w:type="dxa" w:w="80"/>
              <w:left w:type="dxa" w:w="120"/>
              <w:bottom w:type="dxa" w:w="80"/>
              <w:right w:type="dxa" w:w="120"/>
            </w:tcMar>
          </w:tcPr>
          <w:p>
            <w:r>
              <w:rPr>
                <w:rFonts w:ascii="Calibri" w:eastAsia="Microsoft YaHei"/>
                <w:b/>
                <w:bCs/>
                <w:color w:val="FFFFFF"/>
                <w:sz w:val="21"/>
                <w:szCs w:val="21"/>
              </w:rPr>
              <w:t xml:space="preserve">Acceptance Criteria</w:t>
            </w:r>
          </w:p>
        </w:tc>
        <w:tc>
          <w:tcPr>
            <w:tcW w:type="pct" w:w="15%"/>
            <w:shd w:fill="1E3A5F" w:val="clear"/>
            <w:tcMar>
              <w:top w:type="dxa" w:w="80"/>
              <w:left w:type="dxa" w:w="120"/>
              <w:bottom w:type="dxa" w:w="80"/>
              <w:right w:type="dxa" w:w="120"/>
            </w:tcMar>
          </w:tcPr>
          <w:p>
            <w:r>
              <w:rPr>
                <w:rFonts w:ascii="Calibri" w:eastAsia="Microsoft YaHei"/>
                <w:b/>
                <w:bCs/>
                <w:color w:val="FFFFFF"/>
                <w:sz w:val="21"/>
                <w:szCs w:val="21"/>
              </w:rPr>
              <w:t xml:space="preserve">Owner</w:t>
            </w:r>
          </w:p>
        </w:tc>
      </w:tr>
      <w:tr>
        <w:trPr>
          <w:cantSplit/>
        </w:trPr>
        <w:tc>
          <w:tcPr>
            <w:tcW w:type="pct" w:w="50%"/>
            <w:tcMar>
              <w:top w:type="dxa" w:w="60"/>
              <w:left w:type="dxa" w:w="100"/>
              <w:bottom w:type="dxa" w:w="60"/>
              <w:right w:type="dxa" w:w="100"/>
            </w:tcMar>
          </w:tcPr>
          <w:p>
            <w:pPr>
              <w:jc w:val="left"/>
            </w:pPr>
            <w:r>
              <w:rPr>
                <w:rFonts w:ascii="Calibri" w:eastAsia="Microsoft YaHei"/>
                <w:sz w:val="20"/>
                <w:szCs w:val="20"/>
              </w:rPr>
              <w:t xml:space="preserve">Production Infrastructure Setup</w:t>
            </w:r>
          </w:p>
        </w:tc>
        <w:tc>
          <w:tcPr>
            <w:tcW w:type="pct" w:w="35%"/>
            <w:tcMar>
              <w:top w:type="dxa" w:w="60"/>
              <w:left w:type="dxa" w:w="100"/>
              <w:bottom w:type="dxa" w:w="60"/>
              <w:right w:type="dxa" w:w="100"/>
            </w:tcMar>
          </w:tcPr>
          <w:p>
            <w:pPr>
              <w:jc w:val="left"/>
            </w:pPr>
            <w:r>
              <w:rPr>
                <w:rFonts w:ascii="Calibri" w:eastAsia="Microsoft YaHei"/>
                <w:sz w:val="20"/>
                <w:szCs w:val="20"/>
              </w:rPr>
              <w:t xml:space="preserve">SSL, DNS, CI/CD pipeline, monitoring dashboards operational</w:t>
            </w:r>
          </w:p>
        </w:tc>
        <w:tc>
          <w:tcPr>
            <w:tcW w:type="pct" w:w="15%"/>
            <w:tcMar>
              <w:top w:type="dxa" w:w="60"/>
              <w:left w:type="dxa" w:w="100"/>
              <w:bottom w:type="dxa" w:w="60"/>
              <w:right w:type="dxa" w:w="100"/>
            </w:tcMar>
          </w:tcPr>
          <w:p>
            <w:pPr>
              <w:jc w:val="left"/>
            </w:pPr>
            <w:r>
              <w:rPr>
                <w:rFonts w:ascii="Calibri" w:eastAsia="Microsoft YaHei"/>
                <w:sz w:val="20"/>
                <w:szCs w:val="20"/>
              </w:rPr>
              <w:t xml:space="preserve">DevOps</w:t>
            </w:r>
          </w:p>
        </w:tc>
      </w:tr>
      <w:tr>
        <w:trPr>
          <w:cantSplit/>
        </w:trPr>
        <w:tc>
          <w:tcPr>
            <w:tcW w:type="pct" w:w="50%"/>
            <w:tcMar>
              <w:top w:type="dxa" w:w="60"/>
              <w:left w:type="dxa" w:w="100"/>
              <w:bottom w:type="dxa" w:w="60"/>
              <w:right w:type="dxa" w:w="100"/>
            </w:tcMar>
          </w:tcPr>
          <w:p>
            <w:pPr>
              <w:jc w:val="left"/>
            </w:pPr>
            <w:r>
              <w:rPr>
                <w:rFonts w:ascii="Calibri" w:eastAsia="Microsoft YaHei"/>
                <w:sz w:val="20"/>
                <w:szCs w:val="20"/>
              </w:rPr>
              <w:t xml:space="preserve">Authentication System (FR/AR)</w:t>
            </w:r>
          </w:p>
        </w:tc>
        <w:tc>
          <w:tcPr>
            <w:tcW w:type="pct" w:w="35%"/>
            <w:tcMar>
              <w:top w:type="dxa" w:w="60"/>
              <w:left w:type="dxa" w:w="100"/>
              <w:bottom w:type="dxa" w:w="60"/>
              <w:right w:type="dxa" w:w="100"/>
            </w:tcMar>
          </w:tcPr>
          <w:p>
            <w:pPr>
              <w:jc w:val="left"/>
            </w:pPr>
            <w:r>
              <w:rPr>
                <w:rFonts w:ascii="Calibri" w:eastAsia="Microsoft YaHei"/>
                <w:sz w:val="20"/>
                <w:szCs w:val="20"/>
              </w:rPr>
              <w:t xml:space="preserve">Email/password, social login, password reset, 2FA ready</w:t>
            </w:r>
          </w:p>
        </w:tc>
        <w:tc>
          <w:tcPr>
            <w:tcW w:type="pct" w:w="15%"/>
            <w:tcMar>
              <w:top w:type="dxa" w:w="60"/>
              <w:left w:type="dxa" w:w="100"/>
              <w:bottom w:type="dxa" w:w="60"/>
              <w:right w:type="dxa" w:w="100"/>
            </w:tcMar>
          </w:tcPr>
          <w:p>
            <w:pPr>
              <w:jc w:val="left"/>
            </w:pPr>
            <w:r>
              <w:rPr>
                <w:rFonts w:ascii="Calibri" w:eastAsia="Microsoft YaHei"/>
                <w:sz w:val="20"/>
                <w:szCs w:val="20"/>
              </w:rPr>
              <w:t xml:space="preserve">Backend Lead</w:t>
            </w:r>
          </w:p>
        </w:tc>
      </w:tr>
      <w:tr>
        <w:trPr>
          <w:cantSplit/>
        </w:trPr>
        <w:tc>
          <w:tcPr>
            <w:tcW w:type="pct" w:w="50%"/>
            <w:tcMar>
              <w:top w:type="dxa" w:w="60"/>
              <w:left w:type="dxa" w:w="100"/>
              <w:bottom w:type="dxa" w:w="60"/>
              <w:right w:type="dxa" w:w="100"/>
            </w:tcMar>
          </w:tcPr>
          <w:p>
            <w:pPr>
              <w:jc w:val="left"/>
            </w:pPr>
            <w:r>
              <w:rPr>
                <w:rFonts w:ascii="Calibri" w:eastAsia="Microsoft YaHei"/>
                <w:sz w:val="20"/>
                <w:szCs w:val="20"/>
              </w:rPr>
              <w:t xml:space="preserve">Product Catalog (10 categories)</w:t>
            </w:r>
          </w:p>
        </w:tc>
        <w:tc>
          <w:tcPr>
            <w:tcW w:type="pct" w:w="35%"/>
            <w:tcMar>
              <w:top w:type="dxa" w:w="60"/>
              <w:left w:type="dxa" w:w="100"/>
              <w:bottom w:type="dxa" w:w="60"/>
              <w:right w:type="dxa" w:w="100"/>
            </w:tcMar>
          </w:tcPr>
          <w:p>
            <w:pPr>
              <w:jc w:val="left"/>
            </w:pPr>
            <w:r>
              <w:rPr>
                <w:rFonts w:ascii="Calibri" w:eastAsia="Microsoft YaHei"/>
                <w:sz w:val="20"/>
                <w:szCs w:val="20"/>
              </w:rPr>
              <w:t xml:space="preserve">CRUD operations, image upload, search basic, category browsing</w:t>
            </w:r>
          </w:p>
        </w:tc>
        <w:tc>
          <w:tcPr>
            <w:tcW w:type="pct" w:w="15%"/>
            <w:tcMar>
              <w:top w:type="dxa" w:w="60"/>
              <w:left w:type="dxa" w:w="100"/>
              <w:bottom w:type="dxa" w:w="60"/>
              <w:right w:type="dxa" w:w="100"/>
            </w:tcMar>
          </w:tcPr>
          <w:p>
            <w:pPr>
              <w:jc w:val="left"/>
            </w:pPr>
            <w:r>
              <w:rPr>
                <w:rFonts w:ascii="Calibri" w:eastAsia="Microsoft YaHei"/>
                <w:sz w:val="20"/>
                <w:szCs w:val="20"/>
              </w:rPr>
              <w:t xml:space="preserve">Full-stack Dev</w:t>
            </w:r>
          </w:p>
        </w:tc>
      </w:tr>
      <w:tr>
        <w:trPr>
          <w:cantSplit/>
        </w:trPr>
        <w:tc>
          <w:tcPr>
            <w:tcW w:type="pct" w:w="50%"/>
            <w:tcMar>
              <w:top w:type="dxa" w:w="60"/>
              <w:left w:type="dxa" w:w="100"/>
              <w:bottom w:type="dxa" w:w="60"/>
              <w:right w:type="dxa" w:w="100"/>
            </w:tcMar>
          </w:tcPr>
          <w:p>
            <w:pPr>
              <w:jc w:val="left"/>
            </w:pPr>
            <w:r>
              <w:rPr>
                <w:rFonts w:ascii="Calibri" w:eastAsia="Microsoft YaHei"/>
                <w:sz w:val="20"/>
                <w:szCs w:val="20"/>
              </w:rPr>
              <w:t xml:space="preserve">Supplier Registration Portal</w:t>
            </w:r>
          </w:p>
        </w:tc>
        <w:tc>
          <w:tcPr>
            <w:tcW w:type="pct" w:w="35%"/>
            <w:tcMar>
              <w:top w:type="dxa" w:w="60"/>
              <w:left w:type="dxa" w:w="100"/>
              <w:bottom w:type="dxa" w:w="60"/>
              <w:right w:type="dxa" w:w="100"/>
            </w:tcMar>
          </w:tcPr>
          <w:p>
            <w:pPr>
              <w:jc w:val="left"/>
            </w:pPr>
            <w:r>
              <w:rPr>
                <w:rFonts w:ascii="Calibri" w:eastAsia="Microsoft YaHei"/>
                <w:sz w:val="20"/>
                <w:szCs w:val="20"/>
              </w:rPr>
              <w:t xml:space="preserve">Company profile, document upload, RC/NIF validation</w:t>
            </w:r>
          </w:p>
        </w:tc>
        <w:tc>
          <w:tcPr>
            <w:tcW w:type="pct" w:w="15%"/>
            <w:tcMar>
              <w:top w:type="dxa" w:w="60"/>
              <w:left w:type="dxa" w:w="100"/>
              <w:bottom w:type="dxa" w:w="60"/>
              <w:right w:type="dxa" w:w="100"/>
            </w:tcMar>
          </w:tcPr>
          <w:p>
            <w:pPr>
              <w:jc w:val="left"/>
            </w:pPr>
            <w:r>
              <w:rPr>
                <w:rFonts w:ascii="Calibri" w:eastAsia="Microsoft YaHei"/>
                <w:sz w:val="20"/>
                <w:szCs w:val="20"/>
              </w:rPr>
              <w:t xml:space="preserve">Full-stack Dev</w:t>
            </w:r>
          </w:p>
        </w:tc>
      </w:tr>
      <w:tr>
        <w:trPr>
          <w:cantSplit/>
        </w:trPr>
        <w:tc>
          <w:tcPr>
            <w:tcW w:type="pct" w:w="50%"/>
            <w:tcMar>
              <w:top w:type="dxa" w:w="60"/>
              <w:left w:type="dxa" w:w="100"/>
              <w:bottom w:type="dxa" w:w="60"/>
              <w:right w:type="dxa" w:w="100"/>
            </w:tcMar>
          </w:tcPr>
          <w:p>
            <w:pPr>
              <w:jc w:val="left"/>
            </w:pPr>
            <w:r>
              <w:rPr>
                <w:rFonts w:ascii="Calibri" w:eastAsia="Microsoft YaHei"/>
                <w:sz w:val="20"/>
                <w:szCs w:val="20"/>
              </w:rPr>
              <w:t xml:space="preserve">Buyer Dashboard (Read-only)</w:t>
            </w:r>
          </w:p>
        </w:tc>
        <w:tc>
          <w:tcPr>
            <w:tcW w:type="pct" w:w="35%"/>
            <w:tcMar>
              <w:top w:type="dxa" w:w="60"/>
              <w:left w:type="dxa" w:w="100"/>
              <w:bottom w:type="dxa" w:w="60"/>
              <w:right w:type="dxa" w:w="100"/>
            </w:tcMar>
          </w:tcPr>
          <w:p>
            <w:pPr>
              <w:jc w:val="left"/>
            </w:pPr>
            <w:r>
              <w:rPr>
                <w:rFonts w:ascii="Calibri" w:eastAsia="Microsoft YaHei"/>
                <w:sz w:val="20"/>
                <w:szCs w:val="20"/>
              </w:rPr>
              <w:t xml:space="preserve">Browse products, view supplier profiles, save favorites</w:t>
            </w:r>
          </w:p>
        </w:tc>
        <w:tc>
          <w:tcPr>
            <w:tcW w:type="pct" w:w="15%"/>
            <w:tcMar>
              <w:top w:type="dxa" w:w="60"/>
              <w:left w:type="dxa" w:w="100"/>
              <w:bottom w:type="dxa" w:w="60"/>
              <w:right w:type="dxa" w:w="100"/>
            </w:tcMar>
          </w:tcPr>
          <w:p>
            <w:pPr>
              <w:jc w:val="left"/>
            </w:pPr>
            <w:r>
              <w:rPr>
                <w:rFonts w:ascii="Calibri" w:eastAsia="Microsoft YaHei"/>
                <w:sz w:val="20"/>
                <w:szCs w:val="20"/>
              </w:rPr>
              <w:t xml:space="preserve">Frontend Dev</w:t>
            </w:r>
          </w:p>
        </w:tc>
      </w:tr>
      <w:tr>
        <w:trPr>
          <w:cantSplit/>
        </w:trPr>
        <w:tc>
          <w:tcPr>
            <w:tcW w:type="pct" w:w="50%"/>
            <w:tcMar>
              <w:top w:type="dxa" w:w="60"/>
              <w:left w:type="dxa" w:w="100"/>
              <w:bottom w:type="dxa" w:w="60"/>
              <w:right w:type="dxa" w:w="100"/>
            </w:tcMar>
          </w:tcPr>
          <w:p>
            <w:pPr>
              <w:jc w:val="left"/>
            </w:pPr>
            <w:r>
              <w:rPr>
                <w:rFonts w:ascii="Calibri" w:eastAsia="Microsoft YaHei"/>
                <w:sz w:val="20"/>
                <w:szCs w:val="20"/>
              </w:rPr>
              <w:t xml:space="preserve">Admin Panel v1</w:t>
            </w:r>
          </w:p>
        </w:tc>
        <w:tc>
          <w:tcPr>
            <w:tcW w:type="pct" w:w="35%"/>
            <w:tcMar>
              <w:top w:type="dxa" w:w="60"/>
              <w:left w:type="dxa" w:w="100"/>
              <w:bottom w:type="dxa" w:w="60"/>
              <w:right w:type="dxa" w:w="100"/>
            </w:tcMar>
          </w:tcPr>
          <w:p>
            <w:pPr>
              <w:jc w:val="left"/>
            </w:pPr>
            <w:r>
              <w:rPr>
                <w:rFonts w:ascii="Calibri" w:eastAsia="Microsoft YaHei"/>
                <w:sz w:val="20"/>
                <w:szCs w:val="20"/>
              </w:rPr>
              <w:t xml:space="preserve">User management, content moderation, basic analytics</w:t>
            </w:r>
          </w:p>
        </w:tc>
        <w:tc>
          <w:tcPr>
            <w:tcW w:type="pct" w:w="15%"/>
            <w:tcMar>
              <w:top w:type="dxa" w:w="60"/>
              <w:left w:type="dxa" w:w="100"/>
              <w:bottom w:type="dxa" w:w="60"/>
              <w:right w:type="dxa" w:w="100"/>
            </w:tcMar>
          </w:tcPr>
          <w:p>
            <w:pPr>
              <w:jc w:val="left"/>
            </w:pPr>
            <w:r>
              <w:rPr>
                <w:rFonts w:ascii="Calibri" w:eastAsia="Microsoft YaHei"/>
                <w:sz w:val="20"/>
                <w:szCs w:val="20"/>
              </w:rPr>
              <w:t xml:space="preserve">Full-stack Dev</w:t>
            </w:r>
          </w:p>
        </w:tc>
      </w:tr>
      <w:tr>
        <w:trPr>
          <w:cantSplit/>
        </w:trPr>
        <w:tc>
          <w:tcPr>
            <w:tcW w:type="pct" w:w="50%"/>
            <w:tcMar>
              <w:top w:type="dxa" w:w="60"/>
              <w:left w:type="dxa" w:w="100"/>
              <w:bottom w:type="dxa" w:w="60"/>
              <w:right w:type="dxa" w:w="100"/>
            </w:tcMar>
          </w:tcPr>
          <w:p>
            <w:pPr>
              <w:jc w:val="left"/>
            </w:pPr>
            <w:r>
              <w:rPr>
                <w:rFonts w:ascii="Calibri" w:eastAsia="Microsoft YaHei"/>
                <w:sz w:val="20"/>
                <w:szCs w:val="20"/>
              </w:rPr>
              <w:t xml:space="preserve">Responsive Web Application</w:t>
            </w:r>
          </w:p>
        </w:tc>
        <w:tc>
          <w:tcPr>
            <w:tcW w:type="pct" w:w="35%"/>
            <w:tcMar>
              <w:top w:type="dxa" w:w="60"/>
              <w:left w:type="dxa" w:w="100"/>
              <w:bottom w:type="dxa" w:w="60"/>
              <w:right w:type="dxa" w:w="100"/>
            </w:tcMar>
          </w:tcPr>
          <w:p>
            <w:pPr>
              <w:jc w:val="left"/>
            </w:pPr>
            <w:r>
              <w:rPr>
                <w:rFonts w:ascii="Calibri" w:eastAsia="Microsoft YaHei"/>
                <w:sz w:val="20"/>
                <w:szCs w:val="20"/>
              </w:rPr>
              <w:t xml:space="preserve">Mobile-friendly, &lt;3s load time, Chrome/Safari/Firefox tested</w:t>
            </w:r>
          </w:p>
        </w:tc>
        <w:tc>
          <w:tcPr>
            <w:tcW w:type="pct" w:w="15%"/>
            <w:tcMar>
              <w:top w:type="dxa" w:w="60"/>
              <w:left w:type="dxa" w:w="100"/>
              <w:bottom w:type="dxa" w:w="60"/>
              <w:right w:type="dxa" w:w="100"/>
            </w:tcMar>
          </w:tcPr>
          <w:p>
            <w:pPr>
              <w:jc w:val="left"/>
            </w:pPr>
            <w:r>
              <w:rPr>
                <w:rFonts w:ascii="Calibri" w:eastAsia="Microsoft YaHei"/>
                <w:sz w:val="20"/>
                <w:szCs w:val="20"/>
              </w:rPr>
              <w:t xml:space="preserve">UI/UX Designer</w:t>
            </w:r>
          </w:p>
        </w:tc>
      </w:tr>
    </w:tbl>
    <w:p>
      <w:pPr>
        <w:spacing w:before="300"/>
      </w:pPr>
    </w:p>
    <w:p>
      <w:pPr>
        <w:pStyle w:val="Heading2"/>
        <w:spacing w:after="160" w:before="300" w:line="312"/>
      </w:pPr>
      <w:r>
        <w:rPr>
          <w:rFonts w:ascii="Calibri" w:eastAsia="SimHei"/>
          <w:b/>
          <w:bCs/>
          <w:color w:val="1E3A5F"/>
          <w:sz w:val="28"/>
          <w:szCs w:val="28"/>
        </w:rPr>
        <w:t xml:space="preserve">Phase 2: Core Trading Features (Months 4-6)</w:t>
      </w:r>
    </w:p>
    <w:p>
      <w:pPr>
        <w:shd w:fill="F7FAFC" w:val="clear"/>
        <w:spacing w:after="200" w:before="200" w:line="312"/>
        <w:jc w:val="center"/>
      </w:pPr>
      <w:r>
        <w:rPr>
          <w:rFonts w:ascii="Calibri" w:eastAsia="SimHei"/>
          <w:b/>
          <w:bCs/>
          <w:color w:val="1E3A5F"/>
          <w:sz w:val="26"/>
          <w:szCs w:val="26"/>
        </w:rPr>
        <w:t xml:space="preserve">Budget: $55,000-$80,000 | Status: HIGH PRIORITY | Team: 8-10 people</w:t>
      </w:r>
    </w:p>
    <w:p>
      <w:pPr>
        <w:pStyle w:val="Heading3"/>
        <w:spacing w:after="120" w:before="240" w:line="312"/>
      </w:pPr>
      <w:r>
        <w:rPr>
          <w:rFonts w:ascii="Calibri" w:eastAsia="SimHei"/>
          <w:b/>
          <w:bCs/>
          <w:color w:val="2D3748"/>
          <w:sz w:val="24"/>
          <w:szCs w:val="24"/>
        </w:rPr>
        <w:t xml:space="preserve">Phase 2 Objectives</w:t>
      </w:r>
    </w:p>
    <w:p>
      <w:pPr>
        <w:spacing w:after="120" w:line="312"/>
        <w:ind w:firstLine="480"/>
        <w:jc w:val="both"/>
      </w:pPr>
      <w:r>
        <w:rPr>
          <w:rFonts w:ascii="Calibri" w:eastAsia="Microsoft YaHei"/>
          <w:color w:val="2D3748"/>
          <w:sz w:val="24"/>
          <w:szCs w:val="24"/>
        </w:rPr>
        <w:t xml:space="preserve">Phase 2 transforms the MVP into a functional trading platform by implementing core B2B commerce features. This phase introduces the Request for Quotation (RFQ) system that forms the backbone of buyer-supplier interactions, real-time messaging capabilities for negotiation, and supplier verification workflows that build trust in the marketplace ecosystem. The product catalog expands to cover all 28+ categories identified in the market research phase.</w:t>
      </w:r>
    </w:p>
    <w:p>
      <w:pPr>
        <w:spacing w:after="120" w:line="312"/>
        <w:ind w:firstLine="480"/>
        <w:jc w:val="both"/>
      </w:pPr>
      <w:r>
        <w:rPr>
          <w:rFonts w:ascii="Calibri" w:eastAsia="Microsoft YaHei"/>
          <w:color w:val="2D3748"/>
          <w:sz w:val="24"/>
          <w:szCs w:val="24"/>
        </w:rPr>
        <w:t xml:space="preserve">The RFQ system represents the most complex feature of this phase, requiring careful workflow design that accommodates Algerian business practices including price negotiation norms, communication preferences (often preferring direct messaging over formal quotes), and decision-making timelines that may differ from Western B2B platforms. The messaging system must support file sharing for specifications, images, and eventually secure document exchange during transaction phases.</w:t>
      </w:r>
    </w:p>
    <w:p>
      <w:pPr>
        <w:pStyle w:val="Heading3"/>
        <w:spacing w:after="120" w:before="240" w:line="312"/>
      </w:pPr>
      <w:r>
        <w:rPr>
          <w:rFonts w:ascii="Calibri" w:eastAsia="SimHei"/>
          <w:b/>
          <w:bCs/>
          <w:color w:val="2D3748"/>
          <w:sz w:val="24"/>
          <w:szCs w:val="24"/>
        </w:rPr>
        <w:t xml:space="preserve">Key Technical Challenges - Phase 2</w:t>
      </w:r>
    </w:p>
    <w:p>
      <w:pPr>
        <w:spacing w:after="120" w:line="312"/>
        <w:ind w:firstLine="480"/>
        <w:jc w:val="both"/>
      </w:pPr>
      <w:r>
        <w:rPr>
          <w:rFonts w:ascii="Calibri" w:eastAsia="Microsoft YaHei"/>
          <w:color w:val="2D3748"/>
          <w:sz w:val="24"/>
          <w:szCs w:val="24"/>
        </w:rPr>
        <w:t xml:space="preserve">Real-time Communication: Implementing WebSocket connections via Socket.io for instant messaging requires careful consideration of connection management given potential connectivity issues in some Algerian regions. The solution must handle reconnection gracefully, queue messages during offline periods, and provide read receipts without excessive database load. Message encryption end-to-end ensures confidentiality of commercial negotiations.</w:t>
      </w:r>
    </w:p>
    <w:p>
      <w:pPr>
        <w:spacing w:after="120" w:line="312"/>
        <w:ind w:firstLine="480"/>
        <w:jc w:val="both"/>
      </w:pPr>
      <w:r>
        <w:rPr>
          <w:rFonts w:ascii="Calibri" w:eastAsia="Microsoft YaHei"/>
          <w:color w:val="2D3748"/>
          <w:sz w:val="24"/>
          <w:szCs w:val="24"/>
        </w:rPr>
        <w:t xml:space="preserve">Search Performance: As product catalog grows beyond 10,000 items, basic SQL search becomes inadequate. Introduction of Elasticsearch enables full-text search with relevance ranking, faceted navigation (filter by category, price range, location, certifications), and autocomplete suggestions. Search must handle both French and Arabic queries with appropriate stemming and character normalization for each language.</w:t>
      </w:r>
    </w:p>
    <w:p>
      <w:pPr>
        <w:spacing w:after="120" w:line="312"/>
        <w:ind w:firstLine="480"/>
        <w:jc w:val="both"/>
      </w:pPr>
      <w:r>
        <w:rPr>
          <w:rFonts w:ascii="Calibri" w:eastAsia="Microsoft YaHei"/>
          <w:color w:val="2D3748"/>
          <w:sz w:val="24"/>
          <w:szCs w:val="24"/>
        </w:rPr>
        <w:t xml:space="preserve">File Upload &amp; Storage: Supplier verification documents, product images, and message attachments require robust file handling. AWS S3 integration with presigned URLs for secure uploads, automatic image resizing and optimization for web delivery, virus scanning integration, and storage cost optimization through lifecycle policies moving infrequently accessed files to cheaper storage tiers.</w:t>
      </w:r>
    </w:p>
    <w:p>
      <w:pPr>
        <w:pStyle w:val="Heading3"/>
        <w:spacing w:after="120" w:before="240" w:line="312"/>
      </w:pPr>
      <w:r>
        <w:rPr>
          <w:rFonts w:ascii="Calibri" w:eastAsia="SimHei"/>
          <w:b/>
          <w:bCs/>
          <w:color w:val="2D3748"/>
          <w:sz w:val="24"/>
          <w:szCs w:val="24"/>
        </w:rPr>
        <w:t xml:space="preserve">Phase 2 Success Metrics</w:t>
      </w:r>
    </w:p>
    <w:p>
      <w:pPr>
        <w:spacing w:after="120" w:line="312"/>
        <w:ind w:firstLine="480"/>
        <w:jc w:val="both"/>
      </w:pPr>
      <w:r>
        <w:rPr>
          <w:rFonts w:ascii="Calibri" w:eastAsia="Microsoft YaHei"/>
          <w:color w:val="2D3748"/>
          <w:sz w:val="24"/>
          <w:szCs w:val="24"/>
        </w:rPr>
        <w:t xml:space="preserve">By end of Month 6, the platform should support 200+ registered suppliers with at least 50 having completed full verification process. Buyer registration should exceed 500 users with measurable engagement (average session duration &gt;5 minutes, &gt;3 page views per visit). RFQ submission volume target of 100+ per month indicates genuine marketplace activity. System performance benchmarks: search results returned in &lt;500ms, message delivery latency &lt;200ms, overall platform availability &gt;99% during business hours.</w:t>
      </w:r>
    </w:p>
    <w:p>
      <w:pPr>
        <w:spacing w:before="200"/>
      </w:pPr>
    </w:p>
    <w:p>
      <w:pPr>
        <w:pStyle w:val="Heading2"/>
        <w:spacing w:after="160" w:before="300" w:line="312"/>
      </w:pPr>
      <w:r>
        <w:rPr>
          <w:rFonts w:ascii="Calibri" w:eastAsia="SimHei"/>
          <w:b/>
          <w:bCs/>
          <w:color w:val="1E3A5F"/>
          <w:sz w:val="28"/>
          <w:szCs w:val="28"/>
        </w:rPr>
        <w:t xml:space="preserve">Phase 3: Transaction &amp; Trust System (Months 7-9)</w:t>
      </w:r>
    </w:p>
    <w:p>
      <w:pPr>
        <w:shd w:fill="F7FAFC" w:val="clear"/>
        <w:spacing w:after="200" w:before="200" w:line="312"/>
        <w:jc w:val="center"/>
      </w:pPr>
      <w:r>
        <w:rPr>
          <w:rFonts w:ascii="Calibri" w:eastAsia="SimHei"/>
          <w:b/>
          <w:bCs/>
          <w:color w:val="1E3A5F"/>
          <w:sz w:val="26"/>
          <w:szCs w:val="26"/>
        </w:rPr>
        <w:t xml:space="preserve">Budget: $70,000-$95,000 | Status: HIGH PRIORITY | Team: 8-10 people + Security Consultant</w:t>
      </w:r>
    </w:p>
    <w:p>
      <w:pPr>
        <w:pStyle w:val="Heading3"/>
        <w:spacing w:after="120" w:before="240" w:line="312"/>
      </w:pPr>
      <w:r>
        <w:rPr>
          <w:rFonts w:ascii="Calibri" w:eastAsia="SimHei"/>
          <w:b/>
          <w:bCs/>
          <w:color w:val="2D3748"/>
          <w:sz w:val="24"/>
          <w:szCs w:val="24"/>
        </w:rPr>
        <w:t xml:space="preserve">Phase 3 Objectives</w:t>
      </w:r>
    </w:p>
    <w:p>
      <w:pPr>
        <w:spacing w:after="120" w:line="312"/>
        <w:ind w:firstLine="480"/>
        <w:jc w:val="both"/>
      </w:pPr>
      <w:r>
        <w:rPr>
          <w:rFonts w:ascii="Calibri" w:eastAsia="Microsoft YaHei"/>
          <w:color w:val="2D3748"/>
          <w:sz w:val="24"/>
          <w:szCs w:val="24"/>
        </w:rPr>
        <w:t xml:space="preserve">Phase 3 introduces the monetization infrastructure and trust mechanisms that convert platform activity into revenue while protecting all participants from fraud and disputes. This phase involves the most sensitive data handling requirements and demands the highest security standards. Payment processing integration with Algerian banking systems represents the most complex technical challenge, requiring coordination with multiple financial institutions and compliance with Central Bank of Algeria regulations.</w:t>
      </w:r>
    </w:p>
    <w:p>
      <w:pPr>
        <w:spacing w:after="120" w:line="312"/>
        <w:ind w:firstLine="480"/>
        <w:jc w:val="both"/>
      </w:pPr>
      <w:r>
        <w:rPr>
          <w:rFonts w:ascii="Calibri" w:eastAsia="Microsoft YaHei"/>
          <w:color w:val="2D3748"/>
          <w:sz w:val="24"/>
          <w:szCs w:val="24"/>
        </w:rPr>
        <w:t xml:space="preserve">The escrow system serves as the cornerstone of buyer protection, holding funds securely until delivery confirmation while providing sellers with payment certainty once obligations are met. Implementation must balance security (preventing unauthorized access to funds) with flexibility (handling partial releases, dispute scenarios, refund processing). Comprehensive audit logging supports reconciliation and regulatory reporting requirements.</w:t>
      </w:r>
    </w:p>
    <w:p>
      <w:pPr>
        <w:pStyle w:val="Heading3"/>
        <w:spacing w:after="120" w:before="240" w:line="312"/>
      </w:pPr>
      <w:r>
        <w:rPr>
          <w:rFonts w:ascii="Calibri" w:eastAsia="SimHei"/>
          <w:b/>
          <w:bCs/>
          <w:color w:val="2D3748"/>
          <w:sz w:val="24"/>
          <w:szCs w:val="24"/>
        </w:rPr>
        <w:t xml:space="preserve">Payment Integration Strategy - Algerian Market</w:t>
      </w:r>
    </w:p>
    <w:p>
      <w:pPr>
        <w:spacing w:after="120" w:line="312"/>
        <w:ind w:firstLine="480"/>
        <w:jc w:val="both"/>
      </w:pPr>
      <w:r>
        <w:rPr>
          <w:rFonts w:ascii="Calibri" w:eastAsia="Microsoft YaHei"/>
          <w:color w:val="2D3748"/>
          <w:sz w:val="24"/>
          <w:szCs w:val="24"/>
        </w:rPr>
        <w:t xml:space="preserve">CIB Card Integration: Carte Internationale Bancaire cards issued by Algerian banks (BNA, BEA, CPA, BADR, Societe Generale Algeria, etc.) represent the primary online payment method for domestic transactions. Integration requires PCI-DSS compliance, 3D Secure authentication support, and handling of potential issuer declines due to international transaction restrictions. Development should begin with sandbox testing using bank-provided test environments before production activation.</w:t>
      </w:r>
    </w:p>
    <w:p>
      <w:pPr>
        <w:spacing w:after="120" w:line="312"/>
        <w:ind w:firstLine="480"/>
        <w:jc w:val="both"/>
      </w:pPr>
      <w:r>
        <w:rPr>
          <w:rFonts w:ascii="Calibri" w:eastAsia="Microsoft YaHei"/>
          <w:color w:val="2D3748"/>
          <w:sz w:val="24"/>
          <w:szCs w:val="24"/>
        </w:rPr>
        <w:t xml:space="preserve">CCP (Cheques Postaux Algeriens): Postal account transfers reach populations without traditional bank accounts, particularly important for smaller businesses in rural wilayas. CCP integration typically operates via bank transfer protocols with longer settlement windows (T+1 to T+3). Automatic reconciliation against order references reduces manual accounting overhead while providing transparent status tracking for users.</w:t>
      </w:r>
    </w:p>
    <w:p>
      <w:pPr>
        <w:spacing w:after="120" w:line="312"/>
        <w:ind w:firstLine="480"/>
        <w:jc w:val="both"/>
      </w:pPr>
      <w:r>
        <w:rPr>
          <w:rFonts w:ascii="Calibri" w:eastAsia="Microsoft YaHei"/>
          <w:color w:val="2D3748"/>
          <w:sz w:val="24"/>
          <w:szCs w:val="24"/>
        </w:rPr>
        <w:t xml:space="preserve">International Payments: For cross-border transactions with overseas suppliers, the platform must facilitate foreign exchange within Central Bank regulations. Partnership with authorized currency exchange providers enables competitive rate offerings while maintaining compliance. Documentary letters of credit for high-value transactions provide additional security layers appreciated by risk-averse Algerian importers.</w:t>
      </w:r>
    </w:p>
    <w:p>
      <w:pPr>
        <w:pStyle w:val="Heading3"/>
        <w:spacing w:after="120" w:before="240" w:line="312"/>
      </w:pPr>
      <w:r>
        <w:rPr>
          <w:rFonts w:ascii="Calibri" w:eastAsia="SimHei"/>
          <w:b/>
          <w:bCs/>
          <w:color w:val="2D3748"/>
          <w:sz w:val="24"/>
          <w:szCs w:val="24"/>
        </w:rPr>
        <w:t xml:space="preserve">Security Requirements - Phase 3</w:t>
      </w:r>
    </w:p>
    <w:p>
      <w:pPr>
        <w:spacing w:after="120" w:line="312"/>
        <w:ind w:firstLine="480"/>
        <w:jc w:val="both"/>
      </w:pPr>
      <w:r>
        <w:rPr>
          <w:rFonts w:ascii="Calibri" w:eastAsia="Microsoft YaHei"/>
          <w:color w:val="2D3748"/>
          <w:sz w:val="24"/>
          <w:szCs w:val="24"/>
        </w:rPr>
        <w:t xml:space="preserve">Encryption Standards: All payment data encrypted at rest (AES-256) and in transit (TLS 1.3). Database fields containing financial information require additional encryption at application level. Key management follows industry best practices with regular rotation and secure storage in hardware security modules (HSM) or equivalent cloud services (AWS KMS).</w:t>
      </w:r>
    </w:p>
    <w:p>
      <w:pPr>
        <w:spacing w:after="120" w:line="312"/>
        <w:ind w:firstLine="480"/>
        <w:jc w:val="both"/>
      </w:pPr>
      <w:r>
        <w:rPr>
          <w:rFonts w:ascii="Calibri" w:eastAsia="Microsoft YaHei"/>
          <w:color w:val="2D3748"/>
          <w:sz w:val="24"/>
          <w:szCs w:val="24"/>
        </w:rPr>
        <w:t xml:space="preserve">Compliance Audit: Engagement of external security firm for penetration testing before payment launch. Review against OWASP Top 10 vulnerabilities, PCI-DSS requirements (if processing cards directly), and Algerian data protection regulations. Documentation of security measures for potential regulatory inquiries. Incident response plan tested through tabletop exercises.</w:t>
      </w:r>
    </w:p>
    <w:p>
      <w:pPr>
        <w:spacing w:before="200"/>
      </w:pPr>
    </w:p>
    <w:p>
      <w:pPr>
        <w:pStyle w:val="Heading2"/>
        <w:spacing w:after="160" w:before="300" w:line="312"/>
      </w:pPr>
      <w:r>
        <w:rPr>
          <w:rFonts w:ascii="Calibri" w:eastAsia="SimHei"/>
          <w:b/>
          <w:bCs/>
          <w:color w:val="1E3A5F"/>
          <w:sz w:val="28"/>
          <w:szCs w:val="28"/>
        </w:rPr>
        <w:t xml:space="preserve">Phase 4: Logistics &amp; Localization (Months 10-12)</w:t>
      </w:r>
    </w:p>
    <w:p>
      <w:pPr>
        <w:shd w:fill="F7FAFC" w:val="clear"/>
        <w:spacing w:after="200" w:before="200" w:line="312"/>
        <w:jc w:val="center"/>
      </w:pPr>
      <w:r>
        <w:rPr>
          <w:rFonts w:ascii="Calibri" w:eastAsia="SimHei"/>
          <w:b/>
          <w:bCs/>
          <w:color w:val="1E3A5F"/>
          <w:sz w:val="26"/>
          <w:szCs w:val="26"/>
        </w:rPr>
        <w:t xml:space="preserve">Budget: $60,000-$85,000 | Status: MEDIUM PRIORITY | Team: 7-9 people</w:t>
      </w:r>
    </w:p>
    <w:p>
      <w:pPr>
        <w:pStyle w:val="Heading3"/>
        <w:spacing w:after="120" w:before="240" w:line="312"/>
      </w:pPr>
      <w:r>
        <w:rPr>
          <w:rFonts w:ascii="Calibri" w:eastAsia="SimHei"/>
          <w:b/>
          <w:bCs/>
          <w:color w:val="2D3748"/>
          <w:sz w:val="24"/>
          <w:szCs w:val="24"/>
        </w:rPr>
        <w:t xml:space="preserve">Phase 4 Objectives</w:t>
      </w:r>
    </w:p>
    <w:p>
      <w:pPr>
        <w:spacing w:after="120" w:line="312"/>
        <w:ind w:firstLine="480"/>
        <w:jc w:val="both"/>
      </w:pPr>
      <w:r>
        <w:rPr>
          <w:rFonts w:ascii="Calibri" w:eastAsia="Microsoft YaHei"/>
          <w:color w:val="2D3748"/>
          <w:sz w:val="24"/>
          <w:szCs w:val="24"/>
        </w:rPr>
        <w:t xml:space="preserve">Phase 4 deepens the platform's integration with the Algerian business ecosystem through logistics partnerships, advanced localization features, and regulatory compliance tools. This phase transforms AlgeriaTrade.dz from a simple matching platform into a comprehensive trade facilitation service that adds genuine value throughout the procurement lifecycle. The goal is making international trade accessible even to businesses without prior import/export experience.</w:t>
      </w:r>
    </w:p>
    <w:p>
      <w:pPr>
        <w:spacing w:after="120" w:line="312"/>
        <w:ind w:firstLine="480"/>
        <w:jc w:val="both"/>
      </w:pPr>
      <w:r>
        <w:rPr>
          <w:rFonts w:ascii="Calibri" w:eastAsia="Microsoft YaHei"/>
          <w:color w:val="2D3748"/>
          <w:sz w:val="24"/>
          <w:szCs w:val="24"/>
        </w:rPr>
        <w:t xml:space="preserve">Logistics integration addresses the significant pain point of shipping coordination for Algerian importers who often struggle with Incoterms interpretation, customs documentation, and delivery tracking. By partnering with freight forwarders serving Algerian ports and integrating their systems, the platform can offer seamless door-to-door shipping with transparent pricing and reliable delivery estimates tailored to each destination wilaya.</w:t>
      </w:r>
    </w:p>
    <w:p>
      <w:pPr>
        <w:pStyle w:val="Heading3"/>
        <w:spacing w:after="120" w:before="240" w:line="312"/>
      </w:pPr>
      <w:r>
        <w:rPr>
          <w:rFonts w:ascii="Calibri" w:eastAsia="SimHei"/>
          <w:b/>
          <w:bCs/>
          <w:color w:val="2D3748"/>
          <w:sz w:val="24"/>
          <w:szCs w:val="24"/>
        </w:rPr>
        <w:t xml:space="preserve">Algerian Port Integration Details</w:t>
      </w:r>
    </w:p>
    <w:p>
      <w:pPr>
        <w:spacing w:after="120" w:line="312"/>
        <w:ind w:firstLine="480"/>
        <w:jc w:val="both"/>
      </w:pPr>
      <w:r>
        <w:rPr>
          <w:rFonts w:ascii="Calibri" w:eastAsia="Microsoft YaHei"/>
          <w:color w:val="2D3748"/>
          <w:sz w:val="24"/>
          <w:szCs w:val="24"/>
        </w:rPr>
        <w:t xml:space="preserve">Port of Algiers: Primary container facility handling approximately 70% of Algeria's containerized imports. Integration focus on real-time vessel tracking, estimated discharge dates, and documentation requirements specific to this port's procedures. Connection to Port Autonome d'Algiers systems where possible for accurate fee calculations and slot availability.</w:t>
      </w:r>
    </w:p>
    <w:p>
      <w:pPr>
        <w:spacing w:after="120" w:line="312"/>
        <w:ind w:firstLine="480"/>
        <w:jc w:val="both"/>
      </w:pPr>
      <w:r>
        <w:rPr>
          <w:rFonts w:ascii="Calibri" w:eastAsia="Microsoft YaHei"/>
          <w:color w:val="2D3748"/>
          <w:sz w:val="24"/>
          <w:szCs w:val="24"/>
        </w:rPr>
        <w:t xml:space="preserve">Port of Oran: Western region hub serving importers in Oran, Mostaganem, Tlemcen, and surrounding wilayas. Growing capacity with recent expansions. Integration similar to Algiers but with attention to regional specifics including proximity to Moroccan border (relevant for transshipment scenarios) and hydrocarbon industry cargo priorities.</w:t>
      </w:r>
    </w:p>
    <w:p>
      <w:pPr>
        <w:spacing w:after="120" w:line="312"/>
        <w:ind w:firstLine="480"/>
        <w:jc w:val="both"/>
      </w:pPr>
      <w:r>
        <w:rPr>
          <w:rFonts w:ascii="Calibri" w:eastAsia="Microsoft YaHei"/>
          <w:color w:val="2D3748"/>
          <w:sz w:val="24"/>
          <w:szCs w:val="24"/>
        </w:rPr>
        <w:t xml:space="preserve">Port of Annaba: Eastern region gateway for Constantine, Setif, Skikda, and Jijel provinces. Important for textile and agricultural machinery imports serving those manufacturing regions. Integration with Port de Skikda (petrochemical specialization) for chemical product shipments requiring specialized handling procedures.</w:t>
      </w:r>
    </w:p>
    <w:p>
      <w:pPr>
        <w:pStyle w:val="Heading3"/>
        <w:spacing w:after="120" w:before="240" w:line="312"/>
      </w:pPr>
      <w:r>
        <w:rPr>
          <w:rFonts w:ascii="Calibri" w:eastAsia="SimHei"/>
          <w:b/>
          <w:bCs/>
          <w:color w:val="2D3748"/>
          <w:sz w:val="24"/>
          <w:szCs w:val="24"/>
        </w:rPr>
        <w:t xml:space="preserve">Localization Enhancements</w:t>
      </w:r>
    </w:p>
    <w:p>
      <w:pPr>
        <w:spacing w:after="120" w:line="312"/>
        <w:ind w:firstLine="480"/>
        <w:jc w:val="both"/>
      </w:pPr>
      <w:r>
        <w:rPr>
          <w:rFonts w:ascii="Calibri" w:eastAsia="Microsoft YaHei"/>
          <w:color w:val="2D3748"/>
          <w:sz w:val="24"/>
          <w:szCs w:val="24"/>
        </w:rPr>
        <w:t xml:space="preserve">Beyond language translation, true localization adapts the entire user experience to Algerian business culture and expectations. Date formats follow DD/MM/YYYY convention used in official documents. Number formatting uses space as thousands separator (1 000 000) matching local accounting standards. Currency display defaults to DZD with automatic conversion from USD/EUR at Bank of Algeria official rates updated daily.</w:t>
      </w:r>
    </w:p>
    <w:p>
      <w:pPr>
        <w:spacing w:after="120" w:line="312"/>
        <w:ind w:firstLine="480"/>
        <w:jc w:val="both"/>
      </w:pPr>
      <w:r>
        <w:rPr>
          <w:rFonts w:ascii="Calibri" w:eastAsia="Microsoft YaHei"/>
          <w:color w:val="2D3748"/>
          <w:sz w:val="24"/>
          <w:szCs w:val="24"/>
        </w:rPr>
        <w:t xml:space="preserve">Address formats accommodate the unique Algerian structure lacking state/province concepts, instead organizing by Wilaya (department) and commune. Postal code validation ensures accuracy for delivery purposes. Phone number formatting supports the +213 country code with appropriate length validation for mobile (9 digits after prefix) versus landline numbers. Business name handling accommodates the common practice of including legal form abbreviations (SARL, EURL, SPA) in company names.</w:t>
      </w:r>
    </w:p>
    <w:p>
      <w:pPr>
        <w:spacing w:before="200"/>
      </w:pPr>
    </w:p>
    <w:p>
      <w:pPr>
        <w:pStyle w:val="Heading2"/>
        <w:spacing w:after="160" w:before="300" w:line="312"/>
      </w:pPr>
      <w:r>
        <w:rPr>
          <w:rFonts w:ascii="Calibri" w:eastAsia="SimHei"/>
          <w:b/>
          <w:bCs/>
          <w:color w:val="1E3A5F"/>
          <w:sz w:val="28"/>
          <w:szCs w:val="28"/>
        </w:rPr>
        <w:t xml:space="preserve">Phase 5: Growth &amp; Scale (Months 13-18)</w:t>
      </w:r>
    </w:p>
    <w:p>
      <w:pPr>
        <w:shd w:fill="F7FAFC" w:val="clear"/>
        <w:spacing w:after="200" w:before="200" w:line="312"/>
        <w:jc w:val="center"/>
      </w:pPr>
      <w:r>
        <w:rPr>
          <w:rFonts w:ascii="Calibri" w:eastAsia="SimHei"/>
          <w:b/>
          <w:bCs/>
          <w:color w:val="1E3A5F"/>
          <w:sz w:val="26"/>
          <w:szCs w:val="26"/>
        </w:rPr>
        <w:t xml:space="preserve">Budget: $80,000-$120,000 | Status: STRATEGIC | Team: 10-12 people</w:t>
      </w:r>
    </w:p>
    <w:p>
      <w:pPr>
        <w:pStyle w:val="Heading3"/>
        <w:spacing w:after="120" w:before="240" w:line="312"/>
      </w:pPr>
      <w:r>
        <w:rPr>
          <w:rFonts w:ascii="Calibri" w:eastAsia="SimHei"/>
          <w:b/>
          <w:bCs/>
          <w:color w:val="2D3748"/>
          <w:sz w:val="24"/>
          <w:szCs w:val="24"/>
        </w:rPr>
        <w:t xml:space="preserve">Phase 5 Objectives</w:t>
      </w:r>
    </w:p>
    <w:p>
      <w:pPr>
        <w:spacing w:after="120" w:line="312"/>
        <w:ind w:firstLine="480"/>
        <w:jc w:val="both"/>
      </w:pPr>
      <w:r>
        <w:rPr>
          <w:rFonts w:ascii="Calibri" w:eastAsia="Microsoft YaHei"/>
          <w:color w:val="2D3748"/>
          <w:sz w:val="24"/>
          <w:szCs w:val="24"/>
        </w:rPr>
        <w:t xml:space="preserve">The final phase focuses on growth acceleration through mobile accessibility, intelligent automation, and ecosystem expansion. Having established a stable web platform with proven trading functionality, Phase 5 extends reach to mobile users (critical given smartphone penetration rates in Algeria), introduces AI-powered features that differentiate from competitors, and opens the platform to third-party integrations through public APIs and affiliate programs.</w:t>
      </w:r>
    </w:p>
    <w:p>
      <w:pPr>
        <w:spacing w:after="120" w:line="312"/>
        <w:ind w:firstLine="480"/>
        <w:jc w:val="both"/>
      </w:pPr>
      <w:r>
        <w:rPr>
          <w:rFonts w:ascii="Calibri" w:eastAsia="Microsoft YaHei"/>
          <w:color w:val="2D3748"/>
          <w:sz w:val="24"/>
          <w:szCs w:val="24"/>
        </w:rPr>
        <w:t xml:space="preserve">Mobile application development targets both iOS and Android platforms using React Native for codebase sharing while maintaining native performance characteristics. The mobile experience is not merely a scaled-down website but rather a purpose-built interface optimized for mobile-specific use cases: photo-based product search (using camera to find similar products), push notification management for RFQ responses, and simplified messaging optimized for thumb typing and occasional connectivity interruptions.</w:t>
      </w:r>
    </w:p>
    <w:p>
      <w:pPr>
        <w:pStyle w:val="Heading3"/>
        <w:spacing w:after="120" w:before="240" w:line="312"/>
      </w:pPr>
      <w:r>
        <w:rPr>
          <w:rFonts w:ascii="Calibri" w:eastAsia="SimHei"/>
          <w:b/>
          <w:bCs/>
          <w:color w:val="2D3748"/>
          <w:sz w:val="24"/>
          <w:szCs w:val="24"/>
        </w:rPr>
        <w:t xml:space="preserve">AI-Powered Features</w:t>
      </w:r>
    </w:p>
    <w:p>
      <w:pPr>
        <w:spacing w:after="120" w:line="312"/>
        <w:ind w:firstLine="480"/>
        <w:jc w:val="both"/>
      </w:pPr>
      <w:r>
        <w:rPr>
          <w:rFonts w:ascii="Calibri" w:eastAsia="Microsoft YaHei"/>
          <w:color w:val="2D3748"/>
          <w:sz w:val="24"/>
          <w:szCs w:val="24"/>
        </w:rPr>
        <w:t xml:space="preserve">Intelligent Product Recommendations: Machine learning models analyze buyer behavior, RFQ history, and industry trends to suggest relevant products proactively. For registered buyers, the system learns preferences over time, increasingly accurate predictions reduce search friction and increase conversion rates. Supplier-side recommendations suggest optimal pricing, listing optimization, and response timing based on historical success patterns.</w:t>
      </w:r>
    </w:p>
    <w:p>
      <w:pPr>
        <w:spacing w:after="120" w:line="312"/>
        <w:ind w:firstLine="480"/>
        <w:jc w:val="both"/>
      </w:pPr>
      <w:r>
        <w:rPr>
          <w:rFonts w:ascii="Calibri" w:eastAsia="Microsoft YaHei"/>
          <w:color w:val="2D3748"/>
          <w:sz w:val="24"/>
          <w:szCs w:val="24"/>
        </w:rPr>
        <w:t xml:space="preserve">Automated Matching: Beyond passive search, the platform actively connects buyers with suitable suppliers based on RFQ requirements. Natural language processing extracts key specifications from buyer requests, matches against supplier capabilities and inventory, and generates ranked recommendations with confidence scores. Suppliers receive qualified leads automatically, reducing response time and increasing match quality.</w:t>
      </w:r>
    </w:p>
    <w:p>
      <w:pPr>
        <w:spacing w:after="120" w:line="312"/>
        <w:ind w:firstLine="480"/>
        <w:jc w:val="both"/>
      </w:pPr>
      <w:r>
        <w:rPr>
          <w:rFonts w:ascii="Calibri" w:eastAsia="Microsoft YaHei"/>
          <w:color w:val="2D3748"/>
          <w:sz w:val="24"/>
          <w:szCs w:val="24"/>
        </w:rPr>
        <w:t xml:space="preserve">Fraud Detection: Pattern recognition algorithms identify potentially fraudulent activity including fake listings, suspicious account behavior, and anomalous transaction patterns. Early detection protects legitimate users while maintaining platform reputation. Machine learning models continuously improve based on confirmed fraud cases and false positive feedback from human reviewers.</w:t>
      </w:r>
    </w:p>
    <w:p>
      <w:pPr>
        <w:pStyle w:val="Heading3"/>
        <w:spacing w:after="120" w:before="240" w:line="312"/>
      </w:pPr>
      <w:r>
        <w:rPr>
          <w:rFonts w:ascii="Calibri" w:eastAsia="SimHei"/>
          <w:b/>
          <w:bCs/>
          <w:color w:val="2D3748"/>
          <w:sz w:val="24"/>
          <w:szCs w:val="24"/>
        </w:rPr>
        <w:t xml:space="preserve">Ecosystem Expansion</w:t>
      </w:r>
    </w:p>
    <w:p>
      <w:pPr>
        <w:spacing w:after="120" w:line="312"/>
        <w:ind w:firstLine="480"/>
        <w:jc w:val="both"/>
      </w:pPr>
      <w:r>
        <w:rPr>
          <w:rFonts w:ascii="Calibri" w:eastAsia="Microsoft YaHei"/>
          <w:color w:val="2D3748"/>
          <w:sz w:val="24"/>
          <w:szCs w:val="24"/>
        </w:rPr>
        <w:t xml:space="preserve">Public API: Partner integration capability enables third-party developers to build complementary services on the AlgeriaTrade.dz platform. ERP connectors allow large buyers to synchronize procurement processes directly. Accounting software integration simplifies invoice processing for frequent traders. Mobile app extensions enable industry-specific tools (e.g., construction material calculators, textile sample viewers) that drive engagement while leveraging platform data.</w:t>
      </w:r>
    </w:p>
    <w:p>
      <w:pPr>
        <w:spacing w:after="120" w:line="312"/>
        <w:ind w:firstLine="480"/>
        <w:jc w:val="both"/>
      </w:pPr>
      <w:r>
        <w:rPr>
          <w:rFonts w:ascii="Calibri" w:eastAsia="Microsoft YaHei"/>
          <w:color w:val="2D3748"/>
          <w:sz w:val="24"/>
          <w:szCs w:val="24"/>
        </w:rPr>
        <w:t xml:space="preserve">Affiliate Program: Referral incentives encourage existing users to bring new suppliers and buyers to the platform. Commission structure rewards successful introductions with ongoing revenue share from resulting transactions. Affiliate dashboard provides tracking, promotional materials, and payout management. Program designed to attract industry associations, trade consultants, and logistics providers who regularly interact with potential platform users.</w:t>
      </w:r>
    </w:p>
    <w:p>
      <w:pPr>
        <w:spacing w:before="300"/>
      </w:pPr>
    </w:p>
    <w:p>
      <w:pPr>
        <w:pStyle w:val="Heading1"/>
        <w:spacing w:after="200" w:before="400" w:line="312"/>
      </w:pPr>
      <w:r>
        <w:rPr>
          <w:rFonts w:ascii="Calibri" w:eastAsia="SimHei"/>
          <w:b/>
          <w:bCs/>
          <w:color w:val="1E3A5F"/>
          <w:sz w:val="32"/>
          <w:szCs w:val="32"/>
        </w:rPr>
        <w:t xml:space="preserve">Team Structure &amp; Resource Planning</w:t>
      </w:r>
    </w:p>
    <w:p>
      <w:pPr>
        <w:spacing w:after="120" w:line="312"/>
        <w:ind w:firstLine="480"/>
        <w:jc w:val="both"/>
      </w:pPr>
      <w:r>
        <w:rPr>
          <w:rFonts w:ascii="Calibri" w:eastAsia="Microsoft YaHei"/>
          <w:color w:val="2D3748"/>
          <w:sz w:val="24"/>
          <w:szCs w:val="24"/>
        </w:rPr>
        <w:t xml:space="preserve">Successful execution of this production plan requires a dedicated, cross-functional team with expertise spanning software engineering, design, quality assurance, and domain knowledge of Algerian business practices. The following team structure assumes a mix of senior and mid-level professionals with options to supplement through contractors or development agency partnerships for specialized requirements or temporary capacity increases.</w:t>
      </w:r>
    </w:p>
    <w:tbl>
      <w:tblPr>
        <w:tblW w:type="pct" w:w="100%"/>
        <w:tblBorders>
          <w:top w:val="single" w:color="D0D5DD" w:sz="1"/>
          <w:left w:val="none"/>
          <w:bottom w:val="single" w:color="D0D5DD" w:sz="1"/>
          <w:right w:val="none"/>
          <w:insideH w:val="single" w:color="E5E7EB" w:sz="1"/>
          <w:insideV w:val="single" w:color="E5E7EB" w:sz="1"/>
        </w:tblBorders>
      </w:tblPr>
      <w:tblGrid>
        <w:gridCol w:w="100"/>
        <w:gridCol w:w="100"/>
        <w:gridCol w:w="100"/>
        <w:gridCol w:w="100"/>
      </w:tblGrid>
      <w:tr>
        <w:trPr>
          <w:cantSplit/>
          <w:tblHeader/>
        </w:trPr>
        <w:tc>
          <w:tcPr>
            <w:tcW w:type="pct" w:w="25%"/>
            <w:shd w:fill="1E3A5F" w:val="clear"/>
            <w:tcMar>
              <w:top w:type="dxa" w:w="80"/>
              <w:left w:type="dxa" w:w="120"/>
              <w:bottom w:type="dxa" w:w="80"/>
              <w:right w:type="dxa" w:w="120"/>
            </w:tcMar>
          </w:tcPr>
          <w:p>
            <w:r>
              <w:rPr>
                <w:rFonts w:ascii="Calibri" w:eastAsia="Microsoft YaHei"/>
                <w:b/>
                <w:bCs/>
                <w:color w:val="FFFFFF"/>
                <w:sz w:val="21"/>
                <w:szCs w:val="21"/>
              </w:rPr>
              <w:t xml:space="preserve">Role</w:t>
            </w:r>
          </w:p>
        </w:tc>
        <w:tc>
          <w:tcPr>
            <w:tcW w:type="pct" w:w="10%"/>
            <w:shd w:fill="1E3A5F" w:val="clear"/>
            <w:tcMar>
              <w:top w:type="dxa" w:w="80"/>
              <w:left w:type="dxa" w:w="120"/>
              <w:bottom w:type="dxa" w:w="80"/>
              <w:right w:type="dxa" w:w="120"/>
            </w:tcMar>
          </w:tcPr>
          <w:p>
            <w:r>
              <w:rPr>
                <w:rFonts w:ascii="Calibri" w:eastAsia="Microsoft YaHei"/>
                <w:b/>
                <w:bCs/>
                <w:color w:val="FFFFFF"/>
                <w:sz w:val="21"/>
                <w:szCs w:val="21"/>
              </w:rPr>
              <w:t xml:space="preserve">Count</w:t>
            </w:r>
          </w:p>
        </w:tc>
        <w:tc>
          <w:tcPr>
            <w:tcW w:type="pct" w:w="15%"/>
            <w:shd w:fill="1E3A5F" w:val="clear"/>
            <w:tcMar>
              <w:top w:type="dxa" w:w="80"/>
              <w:left w:type="dxa" w:w="120"/>
              <w:bottom w:type="dxa" w:w="80"/>
              <w:right w:type="dxa" w:w="120"/>
            </w:tcMar>
          </w:tcPr>
          <w:p>
            <w:r>
              <w:rPr>
                <w:rFonts w:ascii="Calibri" w:eastAsia="Microsoft YaHei"/>
                <w:b/>
                <w:bCs/>
                <w:color w:val="FFFFFF"/>
                <w:sz w:val="21"/>
                <w:szCs w:val="21"/>
              </w:rPr>
              <w:t xml:space="preserve">Phases</w:t>
            </w:r>
          </w:p>
        </w:tc>
        <w:tc>
          <w:tcPr>
            <w:tcW w:type="pct" w:w="50%"/>
            <w:shd w:fill="1E3A5F" w:val="clear"/>
            <w:tcMar>
              <w:top w:type="dxa" w:w="80"/>
              <w:left w:type="dxa" w:w="120"/>
              <w:bottom w:type="dxa" w:w="80"/>
              <w:right w:type="dxa" w:w="120"/>
            </w:tcMar>
          </w:tcPr>
          <w:p>
            <w:r>
              <w:rPr>
                <w:rFonts w:ascii="Calibri" w:eastAsia="Microsoft YaHei"/>
                <w:b/>
                <w:bCs/>
                <w:color w:val="FFFFFF"/>
                <w:sz w:val="21"/>
                <w:szCs w:val="21"/>
              </w:rPr>
              <w:t xml:space="preserve">Primary Responsibilities</w:t>
            </w:r>
          </w:p>
        </w:tc>
      </w:tr>
      <w:tr>
        <w:trPr>
          <w:cantSplit/>
        </w:trPr>
        <w:tc>
          <w:tcPr>
            <w:tcW w:type="pct" w:w="25%"/>
            <w:tcMar>
              <w:top w:type="dxa" w:w="60"/>
              <w:left w:type="dxa" w:w="100"/>
              <w:bottom w:type="dxa" w:w="60"/>
              <w:right w:type="dxa" w:w="100"/>
            </w:tcMar>
          </w:tcPr>
          <w:p>
            <w:pPr>
              <w:jc w:val="left"/>
            </w:pPr>
            <w:r>
              <w:rPr>
                <w:rFonts w:ascii="Calibri" w:eastAsia="Microsoft YaHei"/>
                <w:sz w:val="20"/>
                <w:szCs w:val="20"/>
              </w:rPr>
              <w:t xml:space="preserve">Project Manager</w:t>
            </w:r>
          </w:p>
        </w:tc>
        <w:tc>
          <w:tcPr>
            <w:tcW w:type="pct" w:w="10%"/>
            <w:tcMar>
              <w:top w:type="dxa" w:w="60"/>
              <w:left w:type="dxa" w:w="100"/>
              <w:bottom w:type="dxa" w:w="60"/>
              <w:right w:type="dxa" w:w="100"/>
            </w:tcMar>
          </w:tcPr>
          <w:p>
            <w:pPr>
              <w:jc w:val="center"/>
            </w:pPr>
            <w:r>
              <w:rPr>
                <w:rFonts w:ascii="Calibri" w:eastAsia="Microsoft YaHei"/>
                <w:sz w:val="20"/>
                <w:szCs w:val="20"/>
              </w:rPr>
              <w:t xml:space="preserve">1</w:t>
            </w:r>
          </w:p>
        </w:tc>
        <w:tc>
          <w:tcPr>
            <w:tcW w:type="pct" w:w="15%"/>
            <w:tcMar>
              <w:top w:type="dxa" w:w="60"/>
              <w:left w:type="dxa" w:w="100"/>
              <w:bottom w:type="dxa" w:w="60"/>
              <w:right w:type="dxa" w:w="100"/>
            </w:tcMar>
          </w:tcPr>
          <w:p>
            <w:pPr>
              <w:jc w:val="left"/>
            </w:pPr>
            <w:r>
              <w:rPr>
                <w:rFonts w:ascii="Calibri" w:eastAsia="Microsoft YaHei"/>
                <w:sz w:val="20"/>
                <w:szCs w:val="20"/>
              </w:rPr>
              <w:t xml:space="preserve">All</w:t>
            </w:r>
          </w:p>
        </w:tc>
        <w:tc>
          <w:tcPr>
            <w:tcW w:type="pct" w:w="50%"/>
            <w:tcMar>
              <w:top w:type="dxa" w:w="60"/>
              <w:left w:type="dxa" w:w="100"/>
              <w:bottom w:type="dxa" w:w="60"/>
              <w:right w:type="dxa" w:w="100"/>
            </w:tcMar>
          </w:tcPr>
          <w:p>
            <w:pPr>
              <w:jc w:val="left"/>
            </w:pPr>
            <w:r>
              <w:rPr>
                <w:rFonts w:ascii="Calibri" w:eastAsia="Microsoft YaHei"/>
                <w:sz w:val="20"/>
                <w:szCs w:val="20"/>
              </w:rPr>
              <w:t xml:space="preserve">Overall coordination, timeline, stakeholder management</w:t>
            </w:r>
          </w:p>
        </w:tc>
      </w:tr>
      <w:tr>
        <w:trPr>
          <w:cantSplit/>
        </w:trPr>
        <w:tc>
          <w:tcPr>
            <w:tcW w:type="pct" w:w="25%"/>
            <w:tcMar>
              <w:top w:type="dxa" w:w="60"/>
              <w:left w:type="dxa" w:w="100"/>
              <w:bottom w:type="dxa" w:w="60"/>
              <w:right w:type="dxa" w:w="100"/>
            </w:tcMar>
          </w:tcPr>
          <w:p>
            <w:pPr>
              <w:jc w:val="left"/>
            </w:pPr>
            <w:r>
              <w:rPr>
                <w:rFonts w:ascii="Calibri" w:eastAsia="Microsoft YaHei"/>
                <w:sz w:val="20"/>
                <w:szCs w:val="20"/>
              </w:rPr>
              <w:t xml:space="preserve">Tech Lead/Architect</w:t>
            </w:r>
          </w:p>
        </w:tc>
        <w:tc>
          <w:tcPr>
            <w:tcW w:type="pct" w:w="10%"/>
            <w:tcMar>
              <w:top w:type="dxa" w:w="60"/>
              <w:left w:type="dxa" w:w="100"/>
              <w:bottom w:type="dxa" w:w="60"/>
              <w:right w:type="dxa" w:w="100"/>
            </w:tcMar>
          </w:tcPr>
          <w:p>
            <w:pPr>
              <w:jc w:val="center"/>
            </w:pPr>
            <w:r>
              <w:rPr>
                <w:rFonts w:ascii="Calibri" w:eastAsia="Microsoft YaHei"/>
                <w:sz w:val="20"/>
                <w:szCs w:val="20"/>
              </w:rPr>
              <w:t xml:space="preserve">1</w:t>
            </w:r>
          </w:p>
        </w:tc>
        <w:tc>
          <w:tcPr>
            <w:tcW w:type="pct" w:w="15%"/>
            <w:tcMar>
              <w:top w:type="dxa" w:w="60"/>
              <w:left w:type="dxa" w:w="100"/>
              <w:bottom w:type="dxa" w:w="60"/>
              <w:right w:type="dxa" w:w="100"/>
            </w:tcMar>
          </w:tcPr>
          <w:p>
            <w:pPr>
              <w:jc w:val="left"/>
            </w:pPr>
            <w:r>
              <w:rPr>
                <w:rFonts w:ascii="Calibri" w:eastAsia="Microsoft YaHei"/>
                <w:sz w:val="20"/>
                <w:szCs w:val="20"/>
              </w:rPr>
              <w:t xml:space="preserve">All</w:t>
            </w:r>
          </w:p>
        </w:tc>
        <w:tc>
          <w:tcPr>
            <w:tcW w:type="pct" w:w="50%"/>
            <w:tcMar>
              <w:top w:type="dxa" w:w="60"/>
              <w:left w:type="dxa" w:w="100"/>
              <w:bottom w:type="dxa" w:w="60"/>
              <w:right w:type="dxa" w:w="100"/>
            </w:tcMar>
          </w:tcPr>
          <w:p>
            <w:pPr>
              <w:jc w:val="left"/>
            </w:pPr>
            <w:r>
              <w:rPr>
                <w:rFonts w:ascii="Calibri" w:eastAsia="Microsoft YaHei"/>
                <w:sz w:val="20"/>
                <w:szCs w:val="20"/>
              </w:rPr>
              <w:t xml:space="preserve">System design, code review, technical decisions</w:t>
            </w:r>
          </w:p>
        </w:tc>
      </w:tr>
      <w:tr>
        <w:trPr>
          <w:cantSplit/>
        </w:trPr>
        <w:tc>
          <w:tcPr>
            <w:tcW w:type="pct" w:w="25%"/>
            <w:tcMar>
              <w:top w:type="dxa" w:w="60"/>
              <w:left w:type="dxa" w:w="100"/>
              <w:bottom w:type="dxa" w:w="60"/>
              <w:right w:type="dxa" w:w="100"/>
            </w:tcMar>
          </w:tcPr>
          <w:p>
            <w:pPr>
              <w:jc w:val="left"/>
            </w:pPr>
            <w:r>
              <w:rPr>
                <w:rFonts w:ascii="Calibri" w:eastAsia="Microsoft YaHei"/>
                <w:sz w:val="20"/>
                <w:szCs w:val="20"/>
              </w:rPr>
              <w:t xml:space="preserve">Full-stack Developers</w:t>
            </w:r>
          </w:p>
        </w:tc>
        <w:tc>
          <w:tcPr>
            <w:tcW w:type="pct" w:w="10%"/>
            <w:tcMar>
              <w:top w:type="dxa" w:w="60"/>
              <w:left w:type="dxa" w:w="100"/>
              <w:bottom w:type="dxa" w:w="60"/>
              <w:right w:type="dxa" w:w="100"/>
            </w:tcMar>
          </w:tcPr>
          <w:p>
            <w:pPr>
              <w:jc w:val="center"/>
            </w:pPr>
            <w:r>
              <w:rPr>
                <w:rFonts w:ascii="Calibri" w:eastAsia="Microsoft YaHei"/>
                <w:sz w:val="20"/>
                <w:szCs w:val="20"/>
              </w:rPr>
              <w:t xml:space="preserve">3-4</w:t>
            </w:r>
          </w:p>
        </w:tc>
        <w:tc>
          <w:tcPr>
            <w:tcW w:type="pct" w:w="15%"/>
            <w:tcMar>
              <w:top w:type="dxa" w:w="60"/>
              <w:left w:type="dxa" w:w="100"/>
              <w:bottom w:type="dxa" w:w="60"/>
              <w:right w:type="dxa" w:w="100"/>
            </w:tcMar>
          </w:tcPr>
          <w:p>
            <w:pPr>
              <w:jc w:val="left"/>
            </w:pPr>
            <w:r>
              <w:rPr>
                <w:rFonts w:ascii="Calibri" w:eastAsia="Microsoft YaHei"/>
                <w:sz w:val="20"/>
                <w:szCs w:val="20"/>
              </w:rPr>
              <w:t xml:space="preserve">1-5</w:t>
            </w:r>
          </w:p>
        </w:tc>
        <w:tc>
          <w:tcPr>
            <w:tcW w:type="pct" w:w="50%"/>
            <w:tcMar>
              <w:top w:type="dxa" w:w="60"/>
              <w:left w:type="dxa" w:w="100"/>
              <w:bottom w:type="dxa" w:w="60"/>
              <w:right w:type="dxa" w:w="100"/>
            </w:tcMar>
          </w:tcPr>
          <w:p>
            <w:pPr>
              <w:jc w:val="left"/>
            </w:pPr>
            <w:r>
              <w:rPr>
                <w:rFonts w:ascii="Calibri" w:eastAsia="Microsoft YaHei"/>
                <w:sz w:val="20"/>
                <w:szCs w:val="20"/>
              </w:rPr>
              <w:t xml:space="preserve">Frontend/backend development, API creation</w:t>
            </w:r>
          </w:p>
        </w:tc>
      </w:tr>
      <w:tr>
        <w:trPr>
          <w:cantSplit/>
        </w:trPr>
        <w:tc>
          <w:tcPr>
            <w:tcW w:type="pct" w:w="25%"/>
            <w:tcMar>
              <w:top w:type="dxa" w:w="60"/>
              <w:left w:type="dxa" w:w="100"/>
              <w:bottom w:type="dxa" w:w="60"/>
              <w:right w:type="dxa" w:w="100"/>
            </w:tcMar>
          </w:tcPr>
          <w:p>
            <w:pPr>
              <w:jc w:val="left"/>
            </w:pPr>
            <w:r>
              <w:rPr>
                <w:rFonts w:ascii="Calibri" w:eastAsia="Microsoft YaHei"/>
                <w:sz w:val="20"/>
                <w:szCs w:val="20"/>
              </w:rPr>
              <w:t xml:space="preserve">UI/UX Designer</w:t>
            </w:r>
          </w:p>
        </w:tc>
        <w:tc>
          <w:tcPr>
            <w:tcW w:type="pct" w:w="10%"/>
            <w:tcMar>
              <w:top w:type="dxa" w:w="60"/>
              <w:left w:type="dxa" w:w="100"/>
              <w:bottom w:type="dxa" w:w="60"/>
              <w:right w:type="dxa" w:w="100"/>
            </w:tcMar>
          </w:tcPr>
          <w:p>
            <w:pPr>
              <w:jc w:val="center"/>
            </w:pPr>
            <w:r>
              <w:rPr>
                <w:rFonts w:ascii="Calibri" w:eastAsia="Microsoft YaHei"/>
                <w:sz w:val="20"/>
                <w:szCs w:val="20"/>
              </w:rPr>
              <w:t xml:space="preserve">1-2</w:t>
            </w:r>
          </w:p>
        </w:tc>
        <w:tc>
          <w:tcPr>
            <w:tcW w:type="pct" w:w="15%"/>
            <w:tcMar>
              <w:top w:type="dxa" w:w="60"/>
              <w:left w:type="dxa" w:w="100"/>
              <w:bottom w:type="dxa" w:w="60"/>
              <w:right w:type="dxa" w:w="100"/>
            </w:tcMar>
          </w:tcPr>
          <w:p>
            <w:pPr>
              <w:jc w:val="left"/>
            </w:pPr>
            <w:r>
              <w:rPr>
                <w:rFonts w:ascii="Calibri" w:eastAsia="Microsoft YaHei"/>
                <w:sz w:val="20"/>
                <w:szCs w:val="20"/>
              </w:rPr>
              <w:t xml:space="preserve">1-4</w:t>
            </w:r>
          </w:p>
        </w:tc>
        <w:tc>
          <w:tcPr>
            <w:tcW w:type="pct" w:w="50%"/>
            <w:tcMar>
              <w:top w:type="dxa" w:w="60"/>
              <w:left w:type="dxa" w:w="100"/>
              <w:bottom w:type="dxa" w:w="60"/>
              <w:right w:type="dxa" w:w="100"/>
            </w:tcMar>
          </w:tcPr>
          <w:p>
            <w:pPr>
              <w:jc w:val="left"/>
            </w:pPr>
            <w:r>
              <w:rPr>
                <w:rFonts w:ascii="Calibri" w:eastAsia="Microsoft YaHei"/>
                <w:sz w:val="20"/>
                <w:szCs w:val="20"/>
              </w:rPr>
              <w:t xml:space="preserve">Interface design, user flows, usability testing</w:t>
            </w:r>
          </w:p>
        </w:tc>
      </w:tr>
      <w:tr>
        <w:trPr>
          <w:cantSplit/>
        </w:trPr>
        <w:tc>
          <w:tcPr>
            <w:tcW w:type="pct" w:w="25%"/>
            <w:tcMar>
              <w:top w:type="dxa" w:w="60"/>
              <w:left w:type="dxa" w:w="100"/>
              <w:bottom w:type="dxa" w:w="60"/>
              <w:right w:type="dxa" w:w="100"/>
            </w:tcMar>
          </w:tcPr>
          <w:p>
            <w:pPr>
              <w:jc w:val="left"/>
            </w:pPr>
            <w:r>
              <w:rPr>
                <w:rFonts w:ascii="Calibri" w:eastAsia="Microsoft YaHei"/>
                <w:sz w:val="20"/>
                <w:szCs w:val="20"/>
              </w:rPr>
              <w:t xml:space="preserve">DevOps Engineer</w:t>
            </w:r>
          </w:p>
        </w:tc>
        <w:tc>
          <w:tcPr>
            <w:tcW w:type="pct" w:w="10%"/>
            <w:tcMar>
              <w:top w:type="dxa" w:w="60"/>
              <w:left w:type="dxa" w:w="100"/>
              <w:bottom w:type="dxa" w:w="60"/>
              <w:right w:type="dxa" w:w="100"/>
            </w:tcMar>
          </w:tcPr>
          <w:p>
            <w:pPr>
              <w:jc w:val="center"/>
            </w:pPr>
            <w:r>
              <w:rPr>
                <w:rFonts w:ascii="Calibri" w:eastAsia="Microsoft YaHei"/>
                <w:sz w:val="20"/>
                <w:szCs w:val="20"/>
              </w:rPr>
              <w:t xml:space="preserve">1</w:t>
            </w:r>
          </w:p>
        </w:tc>
        <w:tc>
          <w:tcPr>
            <w:tcW w:type="pct" w:w="15%"/>
            <w:tcMar>
              <w:top w:type="dxa" w:w="60"/>
              <w:left w:type="dxa" w:w="100"/>
              <w:bottom w:type="dxa" w:w="60"/>
              <w:right w:type="dxa" w:w="100"/>
            </w:tcMar>
          </w:tcPr>
          <w:p>
            <w:pPr>
              <w:jc w:val="left"/>
            </w:pPr>
            <w:r>
              <w:rPr>
                <w:rFonts w:ascii="Calibri" w:eastAsia="Microsoft YaHei"/>
                <w:sz w:val="20"/>
                <w:szCs w:val="20"/>
              </w:rPr>
              <w:t xml:space="preserve">1-5</w:t>
            </w:r>
          </w:p>
        </w:tc>
        <w:tc>
          <w:tcPr>
            <w:tcW w:type="pct" w:w="50%"/>
            <w:tcMar>
              <w:top w:type="dxa" w:w="60"/>
              <w:left w:type="dxa" w:w="100"/>
              <w:bottom w:type="dxa" w:w="60"/>
              <w:right w:type="dxa" w:w="100"/>
            </w:tcMar>
          </w:tcPr>
          <w:p>
            <w:pPr>
              <w:jc w:val="left"/>
            </w:pPr>
            <w:r>
              <w:rPr>
                <w:rFonts w:ascii="Calibri" w:eastAsia="Microsoft YaHei"/>
                <w:sz w:val="20"/>
                <w:szCs w:val="20"/>
              </w:rPr>
              <w:t xml:space="preserve">Infrastructure, CI/CD, security, scaling</w:t>
            </w:r>
          </w:p>
        </w:tc>
      </w:tr>
      <w:tr>
        <w:trPr>
          <w:cantSplit/>
        </w:trPr>
        <w:tc>
          <w:tcPr>
            <w:tcW w:type="pct" w:w="25%"/>
            <w:tcMar>
              <w:top w:type="dxa" w:w="60"/>
              <w:left w:type="dxa" w:w="100"/>
              <w:bottom w:type="dxa" w:w="60"/>
              <w:right w:type="dxa" w:w="100"/>
            </w:tcMar>
          </w:tcPr>
          <w:p>
            <w:pPr>
              <w:jc w:val="left"/>
            </w:pPr>
            <w:r>
              <w:rPr>
                <w:rFonts w:ascii="Calibri" w:eastAsia="Microsoft YaHei"/>
                <w:sz w:val="20"/>
                <w:szCs w:val="20"/>
              </w:rPr>
              <w:t xml:space="preserve">QA Engineer</w:t>
            </w:r>
          </w:p>
        </w:tc>
        <w:tc>
          <w:tcPr>
            <w:tcW w:type="pct" w:w="10%"/>
            <w:tcMar>
              <w:top w:type="dxa" w:w="60"/>
              <w:left w:type="dxa" w:w="100"/>
              <w:bottom w:type="dxa" w:w="60"/>
              <w:right w:type="dxa" w:w="100"/>
            </w:tcMar>
          </w:tcPr>
          <w:p>
            <w:pPr>
              <w:jc w:val="center"/>
            </w:pPr>
            <w:r>
              <w:rPr>
                <w:rFonts w:ascii="Calibri" w:eastAsia="Microsoft YaHei"/>
                <w:sz w:val="20"/>
                <w:szCs w:val="20"/>
              </w:rPr>
              <w:t xml:space="preserve">1-2</w:t>
            </w:r>
          </w:p>
        </w:tc>
        <w:tc>
          <w:tcPr>
            <w:tcW w:type="pct" w:w="15%"/>
            <w:tcMar>
              <w:top w:type="dxa" w:w="60"/>
              <w:left w:type="dxa" w:w="100"/>
              <w:bottom w:type="dxa" w:w="60"/>
              <w:right w:type="dxa" w:w="100"/>
            </w:tcMar>
          </w:tcPr>
          <w:p>
            <w:pPr>
              <w:jc w:val="left"/>
            </w:pPr>
            <w:r>
              <w:rPr>
                <w:rFonts w:ascii="Calibri" w:eastAsia="Microsoft YaHei"/>
                <w:sz w:val="20"/>
                <w:szCs w:val="20"/>
              </w:rPr>
              <w:t xml:space="preserve">2-5</w:t>
            </w:r>
          </w:p>
        </w:tc>
        <w:tc>
          <w:tcPr>
            <w:tcW w:type="pct" w:w="50%"/>
            <w:tcMar>
              <w:top w:type="dxa" w:w="60"/>
              <w:left w:type="dxa" w:w="100"/>
              <w:bottom w:type="dxa" w:w="60"/>
              <w:right w:type="dxa" w:w="100"/>
            </w:tcMar>
          </w:tcPr>
          <w:p>
            <w:pPr>
              <w:jc w:val="left"/>
            </w:pPr>
            <w:r>
              <w:rPr>
                <w:rFonts w:ascii="Calibri" w:eastAsia="Microsoft YaHei"/>
                <w:sz w:val="20"/>
                <w:szCs w:val="20"/>
              </w:rPr>
              <w:t xml:space="preserve">Testing strategy, automation, quality assurance</w:t>
            </w:r>
          </w:p>
        </w:tc>
      </w:tr>
      <w:tr>
        <w:trPr>
          <w:cantSplit/>
        </w:trPr>
        <w:tc>
          <w:tcPr>
            <w:tcW w:type="pct" w:w="25%"/>
            <w:tcMar>
              <w:top w:type="dxa" w:w="60"/>
              <w:left w:type="dxa" w:w="100"/>
              <w:bottom w:type="dxa" w:w="60"/>
              <w:right w:type="dxa" w:w="100"/>
            </w:tcMar>
          </w:tcPr>
          <w:p>
            <w:pPr>
              <w:jc w:val="left"/>
            </w:pPr>
            <w:r>
              <w:rPr>
                <w:rFonts w:ascii="Calibri" w:eastAsia="Microsoft YaHei"/>
                <w:sz w:val="20"/>
                <w:szCs w:val="20"/>
              </w:rPr>
              <w:t xml:space="preserve">Content Manager (FR/AR)</w:t>
            </w:r>
          </w:p>
        </w:tc>
        <w:tc>
          <w:tcPr>
            <w:tcW w:type="pct" w:w="10%"/>
            <w:tcMar>
              <w:top w:type="dxa" w:w="60"/>
              <w:left w:type="dxa" w:w="100"/>
              <w:bottom w:type="dxa" w:w="60"/>
              <w:right w:type="dxa" w:w="100"/>
            </w:tcMar>
          </w:tcPr>
          <w:p>
            <w:pPr>
              <w:jc w:val="center"/>
            </w:pPr>
            <w:r>
              <w:rPr>
                <w:rFonts w:ascii="Calibri" w:eastAsia="Microsoft YaHei"/>
                <w:sz w:val="20"/>
                <w:szCs w:val="20"/>
              </w:rPr>
              <w:t xml:space="preserve">1</w:t>
            </w:r>
          </w:p>
        </w:tc>
        <w:tc>
          <w:tcPr>
            <w:tcW w:type="pct" w:w="15%"/>
            <w:tcMar>
              <w:top w:type="dxa" w:w="60"/>
              <w:left w:type="dxa" w:w="100"/>
              <w:bottom w:type="dxa" w:w="60"/>
              <w:right w:type="dxa" w:w="100"/>
            </w:tcMar>
          </w:tcPr>
          <w:p>
            <w:pPr>
              <w:jc w:val="left"/>
            </w:pPr>
            <w:r>
              <w:rPr>
                <w:rFonts w:ascii="Calibri" w:eastAsia="Microsoft YaHei"/>
                <w:sz w:val="20"/>
                <w:szCs w:val="20"/>
              </w:rPr>
              <w:t xml:space="preserve">2-5</w:t>
            </w:r>
          </w:p>
        </w:tc>
        <w:tc>
          <w:tcPr>
            <w:tcW w:type="pct" w:w="50%"/>
            <w:tcMar>
              <w:top w:type="dxa" w:w="60"/>
              <w:left w:type="dxa" w:w="100"/>
              <w:bottom w:type="dxa" w:w="60"/>
              <w:right w:type="dxa" w:w="100"/>
            </w:tcMar>
          </w:tcPr>
          <w:p>
            <w:pPr>
              <w:jc w:val="left"/>
            </w:pPr>
            <w:r>
              <w:rPr>
                <w:rFonts w:ascii="Calibri" w:eastAsia="Microsoft YaHei"/>
                <w:sz w:val="20"/>
                <w:szCs w:val="20"/>
              </w:rPr>
              <w:t xml:space="preserve">Bilingual content, translations, copywriting</w:t>
            </w:r>
          </w:p>
        </w:tc>
      </w:tr>
      <w:tr>
        <w:trPr>
          <w:cantSplit/>
        </w:trPr>
        <w:tc>
          <w:tcPr>
            <w:tcW w:type="pct" w:w="25%"/>
            <w:tcMar>
              <w:top w:type="dxa" w:w="60"/>
              <w:left w:type="dxa" w:w="100"/>
              <w:bottom w:type="dxa" w:w="60"/>
              <w:right w:type="dxa" w:w="100"/>
            </w:tcMar>
          </w:tcPr>
          <w:p>
            <w:pPr>
              <w:jc w:val="left"/>
            </w:pPr>
            <w:r>
              <w:rPr>
                <w:rFonts w:ascii="Calibri" w:eastAsia="Microsoft YaHei"/>
                <w:sz w:val="20"/>
                <w:szCs w:val="20"/>
              </w:rPr>
              <w:t xml:space="preserve">Security Specialist</w:t>
            </w:r>
          </w:p>
        </w:tc>
        <w:tc>
          <w:tcPr>
            <w:tcW w:type="pct" w:w="10%"/>
            <w:tcMar>
              <w:top w:type="dxa" w:w="60"/>
              <w:left w:type="dxa" w:w="100"/>
              <w:bottom w:type="dxa" w:w="60"/>
              <w:right w:type="dxa" w:w="100"/>
            </w:tcMar>
          </w:tcPr>
          <w:p>
            <w:pPr>
              <w:jc w:val="center"/>
            </w:pPr>
            <w:r>
              <w:rPr>
                <w:rFonts w:ascii="Calibri" w:eastAsia="Microsoft YaHei"/>
                <w:sz w:val="20"/>
                <w:szCs w:val="20"/>
              </w:rPr>
              <w:t xml:space="preserve">0.5</w:t>
            </w:r>
          </w:p>
        </w:tc>
        <w:tc>
          <w:tcPr>
            <w:tcW w:type="pct" w:w="15%"/>
            <w:tcMar>
              <w:top w:type="dxa" w:w="60"/>
              <w:left w:type="dxa" w:w="100"/>
              <w:bottom w:type="dxa" w:w="60"/>
              <w:right w:type="dxa" w:w="100"/>
            </w:tcMar>
          </w:tcPr>
          <w:p>
            <w:pPr>
              <w:jc w:val="left"/>
            </w:pPr>
            <w:r>
              <w:rPr>
                <w:rFonts w:ascii="Calibri" w:eastAsia="Microsoft YaHei"/>
                <w:sz w:val="20"/>
                <w:szCs w:val="20"/>
              </w:rPr>
              <w:t xml:space="preserve">3-4</w:t>
            </w:r>
          </w:p>
        </w:tc>
        <w:tc>
          <w:tcPr>
            <w:tcW w:type="pct" w:w="50%"/>
            <w:tcMar>
              <w:top w:type="dxa" w:w="60"/>
              <w:left w:type="dxa" w:w="100"/>
              <w:bottom w:type="dxa" w:w="60"/>
              <w:right w:type="dxa" w:w="100"/>
            </w:tcMar>
          </w:tcPr>
          <w:p>
            <w:pPr>
              <w:jc w:val="left"/>
            </w:pPr>
            <w:r>
              <w:rPr>
                <w:rFonts w:ascii="Calibri" w:eastAsia="Microsoft YaHei"/>
                <w:sz w:val="20"/>
                <w:szCs w:val="20"/>
              </w:rPr>
              <w:t xml:space="preserve">Payment security, compliance, penetration testing</w:t>
            </w:r>
          </w:p>
        </w:tc>
      </w:tr>
    </w:tbl>
    <w:p>
      <w:pPr>
        <w:spacing w:before="200"/>
      </w:pPr>
    </w:p>
    <w:p>
      <w:pPr>
        <w:pStyle w:val="Heading2"/>
        <w:spacing w:after="160" w:before="300" w:line="312"/>
      </w:pPr>
      <w:r>
        <w:rPr>
          <w:rFonts w:ascii="Calibri" w:eastAsia="SimHei"/>
          <w:b/>
          <w:bCs/>
          <w:color w:val="1E3A5F"/>
          <w:sz w:val="28"/>
          <w:szCs w:val="28"/>
        </w:rPr>
        <w:t xml:space="preserve">Staffing Strategy Options</w:t>
      </w:r>
    </w:p>
    <w:p>
      <w:pPr>
        <w:pStyle w:val="Heading3"/>
        <w:spacing w:after="120" w:before="240" w:line="312"/>
      </w:pPr>
      <w:r>
        <w:rPr>
          <w:rFonts w:ascii="Calibri" w:eastAsia="SimHei"/>
          <w:b/>
          <w:bCs/>
          <w:color w:val="2D3748"/>
          <w:sz w:val="24"/>
          <w:szCs w:val="24"/>
        </w:rPr>
        <w:t xml:space="preserve">Option A: In-House Team (Recommended for Long-term)</w:t>
      </w:r>
    </w:p>
    <w:p>
      <w:pPr>
        <w:spacing w:after="120" w:line="312"/>
        <w:ind w:firstLine="480"/>
        <w:jc w:val="both"/>
      </w:pPr>
      <w:r>
        <w:rPr>
          <w:rFonts w:ascii="Calibri" w:eastAsia="Microsoft YaHei"/>
          <w:color w:val="2D3748"/>
          <w:sz w:val="24"/>
          <w:szCs w:val="24"/>
        </w:rPr>
        <w:t xml:space="preserve">Building an internal development team provides maximum control over quality, timeline, and institutional knowledge accumulation. Recommended for organizations committed to ongoing platform development and maintenance beyond initial launch. Higher upfront recruitment investment but lower per-developper costs over 18-month horizon. Team cohesion improves through daily collaboration; easier knowledge transfer between phases. Estimated fully-loaded cost: $8,000-12,000 per developer/month including benefits, equipment, and workspace.</w:t>
      </w:r>
    </w:p>
    <w:p>
      <w:pPr>
        <w:pStyle w:val="Heading3"/>
        <w:spacing w:after="120" w:before="240" w:line="312"/>
      </w:pPr>
      <w:r>
        <w:rPr>
          <w:rFonts w:ascii="Calibri" w:eastAsia="SimHei"/>
          <w:b/>
          <w:bCs/>
          <w:color w:val="2D3748"/>
          <w:sz w:val="24"/>
          <w:szCs w:val="24"/>
        </w:rPr>
        <w:t xml:space="preserve">Option B: Hybrid Model (Balanced Approach)</w:t>
      </w:r>
    </w:p>
    <w:p>
      <w:pPr>
        <w:spacing w:after="120" w:line="312"/>
        <w:ind w:firstLine="480"/>
        <w:jc w:val="both"/>
      </w:pPr>
      <w:r>
        <w:rPr>
          <w:rFonts w:ascii="Calibri" w:eastAsia="Microsoft YaHei"/>
          <w:color w:val="2D3748"/>
          <w:sz w:val="24"/>
          <w:szCs w:val="24"/>
        </w:rPr>
        <w:t xml:space="preserve">Core leadership positions (Tech Lead, PM, DevOps) hired internally while augmenting development capacity through contracted specialists or development agency partnership. Provides flexibility to scale up/down between phases without long-term commitment. Access to broader skill sets for specialized requirements (security audit, mobile development, AI/ML). Risk of context-switching and communication overhead with distributed teams. Recommended if internal hiring proves challenging or timeline acceleration needed.</w:t>
      </w:r>
    </w:p>
    <w:p>
      <w:pPr>
        <w:pStyle w:val="Heading3"/>
        <w:spacing w:after="120" w:before="240" w:line="312"/>
      </w:pPr>
      <w:r>
        <w:rPr>
          <w:rFonts w:ascii="Calibri" w:eastAsia="SimHei"/>
          <w:b/>
          <w:bCs/>
          <w:color w:val="2D3748"/>
          <w:sz w:val="24"/>
          <w:szCs w:val="24"/>
        </w:rPr>
        <w:t xml:space="preserve">Option C: Fully Outsourced Development</w:t>
      </w:r>
    </w:p>
    <w:p>
      <w:pPr>
        <w:spacing w:after="120" w:line="312"/>
        <w:ind w:firstLine="480"/>
        <w:jc w:val="both"/>
      </w:pPr>
      <w:r>
        <w:rPr>
          <w:rFonts w:ascii="Calibri" w:eastAsia="Microsoft YaHei"/>
          <w:color w:val="2D3748"/>
          <w:sz w:val="24"/>
          <w:szCs w:val="24"/>
        </w:rPr>
        <w:t xml:space="preserve">Engaging a development agency or offshore team for complete project execution. Fastest path to team assembly if right partner identified; eliminates HR/recruitment burden. Significant challenges in maintaining quality control, aligning incentives, and preserving intellectual capital. Requires exceptionally detailed specifications and active project management oversight. Generally not recommended for complex platforms requiring ongoing iteration based on user feedback.</w:t>
      </w:r>
    </w:p>
    <w:p>
      <w:pPr>
        <w:spacing w:before="300"/>
      </w:pPr>
    </w:p>
    <w:p>
      <w:pPr>
        <w:pStyle w:val="Heading1"/>
        <w:spacing w:after="200" w:before="400" w:line="312"/>
      </w:pPr>
      <w:r>
        <w:rPr>
          <w:rFonts w:ascii="Calibri" w:eastAsia="SimHei"/>
          <w:b/>
          <w:bCs/>
          <w:color w:val="1E3A5F"/>
          <w:sz w:val="32"/>
          <w:szCs w:val="32"/>
        </w:rPr>
        <w:t xml:space="preserve">Risk Management &amp; Mitigation Strategies</w:t>
      </w:r>
    </w:p>
    <w:p>
      <w:pPr>
        <w:spacing w:after="120" w:line="312"/>
        <w:ind w:firstLine="480"/>
        <w:jc w:val="both"/>
      </w:pPr>
      <w:r>
        <w:rPr>
          <w:rFonts w:ascii="Calibri" w:eastAsia="Microsoft YaHei"/>
          <w:color w:val="2D3748"/>
          <w:sz w:val="24"/>
          <w:szCs w:val="24"/>
        </w:rPr>
        <w:t xml:space="preserve">Any ambitious technology project carries inherent risks that threaten timeline, budget, or quality objectives. The following risk register identifies key risk factors specific to the AlgeriaTrade.dz project along with probability assessments, potential impacts, and proactive mitigation strategies. Regular risk review meetings (recommended bi-weekly during active development) ensure emerging concerns are addressed before becoming critical issues.</w:t>
      </w:r>
    </w:p>
    <w:tbl>
      <w:tblPr>
        <w:tblW w:type="pct" w:w="100%"/>
        <w:tblBorders>
          <w:top w:val="single" w:color="D0D5DD" w:sz="1"/>
          <w:left w:val="none"/>
          <w:bottom w:val="single" w:color="D0D5DD" w:sz="1"/>
          <w:right w:val="none"/>
          <w:insideH w:val="single" w:color="E5E7EB" w:sz="1"/>
          <w:insideV w:val="single" w:color="E5E7EB" w:sz="1"/>
        </w:tblBorders>
      </w:tblPr>
      <w:tblGrid>
        <w:gridCol w:w="100"/>
        <w:gridCol w:w="100"/>
        <w:gridCol w:w="100"/>
        <w:gridCol w:w="100"/>
      </w:tblGrid>
      <w:tr>
        <w:trPr>
          <w:cantSplit/>
          <w:tblHeader/>
        </w:trPr>
        <w:tc>
          <w:tcPr>
            <w:tcW w:type="pct" w:w="25%"/>
            <w:shd w:fill="1E3A5F" w:val="clear"/>
            <w:tcMar>
              <w:top w:type="dxa" w:w="80"/>
              <w:left w:type="dxa" w:w="120"/>
              <w:bottom w:type="dxa" w:w="80"/>
              <w:right w:type="dxa" w:w="120"/>
            </w:tcMar>
          </w:tcPr>
          <w:p>
            <w:r>
              <w:rPr>
                <w:rFonts w:ascii="Calibri" w:eastAsia="Microsoft YaHei"/>
                <w:b/>
                <w:bCs/>
                <w:color w:val="FFFFFF"/>
                <w:sz w:val="21"/>
                <w:szCs w:val="21"/>
              </w:rPr>
              <w:t xml:space="preserve">Risk Factor</w:t>
            </w:r>
          </w:p>
        </w:tc>
        <w:tc>
          <w:tcPr>
            <w:tcW w:type="pct" w:w="12%"/>
            <w:shd w:fill="1E3A5F" w:val="clear"/>
            <w:tcMar>
              <w:top w:type="dxa" w:w="80"/>
              <w:left w:type="dxa" w:w="120"/>
              <w:bottom w:type="dxa" w:w="80"/>
              <w:right w:type="dxa" w:w="120"/>
            </w:tcMar>
          </w:tcPr>
          <w:p>
            <w:r>
              <w:rPr>
                <w:rFonts w:ascii="Calibri" w:eastAsia="Microsoft YaHei"/>
                <w:b/>
                <w:bCs/>
                <w:color w:val="FFFFFF"/>
                <w:sz w:val="21"/>
                <w:szCs w:val="21"/>
              </w:rPr>
              <w:t xml:space="preserve">Probability</w:t>
            </w:r>
          </w:p>
        </w:tc>
        <w:tc>
          <w:tcPr>
            <w:tcW w:type="pct" w:w="12%"/>
            <w:shd w:fill="1E3A5F" w:val="clear"/>
            <w:tcMar>
              <w:top w:type="dxa" w:w="80"/>
              <w:left w:type="dxa" w:w="120"/>
              <w:bottom w:type="dxa" w:w="80"/>
              <w:right w:type="dxa" w:w="120"/>
            </w:tcMar>
          </w:tcPr>
          <w:p>
            <w:r>
              <w:rPr>
                <w:rFonts w:ascii="Calibri" w:eastAsia="Microsoft YaHei"/>
                <w:b/>
                <w:bCs/>
                <w:color w:val="FFFFFF"/>
                <w:sz w:val="21"/>
                <w:szCs w:val="21"/>
              </w:rPr>
              <w:t xml:space="preserve">Impact</w:t>
            </w:r>
          </w:p>
        </w:tc>
        <w:tc>
          <w:tcPr>
            <w:tcW w:type="pct" w:w="51%"/>
            <w:shd w:fill="1E3A5F" w:val="clear"/>
            <w:tcMar>
              <w:top w:type="dxa" w:w="80"/>
              <w:left w:type="dxa" w:w="120"/>
              <w:bottom w:type="dxa" w:w="80"/>
              <w:right w:type="dxa" w:w="120"/>
            </w:tcMar>
          </w:tcPr>
          <w:p>
            <w:r>
              <w:rPr>
                <w:rFonts w:ascii="Calibri" w:eastAsia="Microsoft YaHei"/>
                <w:b/>
                <w:bCs/>
                <w:color w:val="FFFFFF"/>
                <w:sz w:val="21"/>
                <w:szCs w:val="21"/>
              </w:rPr>
              <w:t xml:space="preserve">Mitigation Strategy</w:t>
            </w:r>
          </w:p>
        </w:tc>
      </w:tr>
      <w:tr>
        <w:trPr>
          <w:cantSplit/>
        </w:trPr>
        <w:tc>
          <w:tcPr>
            <w:tcW w:type="pct" w:w="25%"/>
            <w:tcMar>
              <w:top w:type="dxa" w:w="60"/>
              <w:left w:type="dxa" w:w="100"/>
              <w:bottom w:type="dxa" w:w="60"/>
              <w:right w:type="dxa" w:w="100"/>
            </w:tcMar>
          </w:tcPr>
          <w:p>
            <w:pPr>
              <w:jc w:val="left"/>
            </w:pPr>
            <w:r>
              <w:rPr>
                <w:rFonts w:ascii="Calibri" w:eastAsia="Microsoft YaHei"/>
                <w:sz w:val="20"/>
                <w:szCs w:val="20"/>
              </w:rPr>
              <w:t xml:space="preserve">Payment Integration Complexity</w:t>
            </w:r>
          </w:p>
        </w:tc>
        <w:tc>
          <w:tcPr>
            <w:tcW w:type="pct" w:w="12%"/>
            <w:tcMar>
              <w:top w:type="dxa" w:w="60"/>
              <w:left w:type="dxa" w:w="100"/>
              <w:bottom w:type="dxa" w:w="60"/>
              <w:right w:type="dxa" w:w="100"/>
            </w:tcMar>
          </w:tcPr>
          <w:p>
            <w:pPr>
              <w:jc w:val="center"/>
            </w:pPr>
            <w:r>
              <w:rPr>
                <w:rFonts w:ascii="Calibri" w:eastAsia="Microsoft YaHei"/>
                <w:b/>
                <w:bCs/>
                <w:color w:val="DD6B20"/>
                <w:sz w:val="20"/>
                <w:szCs w:val="20"/>
              </w:rPr>
              <w:t xml:space="preserve">High</w:t>
            </w:r>
          </w:p>
        </w:tc>
        <w:tc>
          <w:tcPr>
            <w:tcW w:type="pct" w:w="12%"/>
            <w:tcMar>
              <w:top w:type="dxa" w:w="60"/>
              <w:left w:type="dxa" w:w="100"/>
              <w:bottom w:type="dxa" w:w="60"/>
              <w:right w:type="dxa" w:w="100"/>
            </w:tcMar>
          </w:tcPr>
          <w:p>
            <w:pPr>
              <w:jc w:val="center"/>
            </w:pPr>
            <w:r>
              <w:rPr>
                <w:rFonts w:ascii="Calibri" w:eastAsia="Microsoft YaHei"/>
                <w:b/>
                <w:bCs/>
                <w:color w:val="DD6B20"/>
                <w:sz w:val="20"/>
                <w:szCs w:val="20"/>
              </w:rPr>
              <w:t xml:space="preserve">High</w:t>
            </w:r>
          </w:p>
        </w:tc>
        <w:tc>
          <w:tcPr>
            <w:tcW w:type="pct" w:w="51%"/>
            <w:tcMar>
              <w:top w:type="dxa" w:w="60"/>
              <w:left w:type="dxa" w:w="100"/>
              <w:bottom w:type="dxa" w:w="60"/>
              <w:right w:type="dxa" w:w="100"/>
            </w:tcMar>
          </w:tcPr>
          <w:p>
            <w:pPr>
              <w:jc w:val="left"/>
            </w:pPr>
            <w:r>
              <w:rPr>
                <w:rFonts w:ascii="Calibri" w:eastAsia="Microsoft YaHei"/>
                <w:sz w:val="20"/>
                <w:szCs w:val="20"/>
              </w:rPr>
              <w:t xml:space="preserve">Early engagement with Algerian banks; fallback to manual verification Phase 1</w:t>
            </w:r>
          </w:p>
        </w:tc>
      </w:tr>
      <w:tr>
        <w:trPr>
          <w:cantSplit/>
        </w:trPr>
        <w:tc>
          <w:tcPr>
            <w:tcW w:type="pct" w:w="25%"/>
            <w:tcMar>
              <w:top w:type="dxa" w:w="60"/>
              <w:left w:type="dxa" w:w="100"/>
              <w:bottom w:type="dxa" w:w="60"/>
              <w:right w:type="dxa" w:w="100"/>
            </w:tcMar>
          </w:tcPr>
          <w:p>
            <w:pPr>
              <w:jc w:val="left"/>
            </w:pPr>
            <w:r>
              <w:rPr>
                <w:rFonts w:ascii="Calibri" w:eastAsia="Microsoft YaHei"/>
                <w:sz w:val="20"/>
                <w:szCs w:val="20"/>
              </w:rPr>
              <w:t xml:space="preserve">Regulatory Compliance Changes</w:t>
            </w:r>
          </w:p>
        </w:tc>
        <w:tc>
          <w:tcPr>
            <w:tcW w:type="pct" w:w="12%"/>
            <w:tcMar>
              <w:top w:type="dxa" w:w="60"/>
              <w:left w:type="dxa" w:w="100"/>
              <w:bottom w:type="dxa" w:w="60"/>
              <w:right w:type="dxa" w:w="100"/>
            </w:tcMar>
          </w:tcPr>
          <w:p>
            <w:pPr>
              <w:jc w:val="center"/>
            </w:pPr>
            <w:r>
              <w:rPr>
                <w:rFonts w:ascii="Calibri" w:eastAsia="Microsoft YaHei"/>
                <w:b/>
                <w:bCs/>
                <w:color w:val="718096"/>
                <w:sz w:val="20"/>
                <w:szCs w:val="20"/>
              </w:rPr>
              <w:t xml:space="preserve">Medium</w:t>
            </w:r>
          </w:p>
        </w:tc>
        <w:tc>
          <w:tcPr>
            <w:tcW w:type="pct" w:w="12%"/>
            <w:tcMar>
              <w:top w:type="dxa" w:w="60"/>
              <w:left w:type="dxa" w:w="100"/>
              <w:bottom w:type="dxa" w:w="60"/>
              <w:right w:type="dxa" w:w="100"/>
            </w:tcMar>
          </w:tcPr>
          <w:p>
            <w:pPr>
              <w:jc w:val="center"/>
            </w:pPr>
            <w:r>
              <w:rPr>
                <w:rFonts w:ascii="Calibri" w:eastAsia="Microsoft YaHei"/>
                <w:b/>
                <w:bCs/>
                <w:color w:val="DD6B20"/>
                <w:sz w:val="20"/>
                <w:szCs w:val="20"/>
              </w:rPr>
              <w:t xml:space="preserve">High</w:t>
            </w:r>
          </w:p>
        </w:tc>
        <w:tc>
          <w:tcPr>
            <w:tcW w:type="pct" w:w="51%"/>
            <w:tcMar>
              <w:top w:type="dxa" w:w="60"/>
              <w:left w:type="dxa" w:w="100"/>
              <w:bottom w:type="dxa" w:w="60"/>
              <w:right w:type="dxa" w:w="100"/>
            </w:tcMar>
          </w:tcPr>
          <w:p>
            <w:pPr>
              <w:jc w:val="left"/>
            </w:pPr>
            <w:r>
              <w:rPr>
                <w:rFonts w:ascii="Calibri" w:eastAsia="Microsoft YaHei"/>
                <w:sz w:val="20"/>
                <w:szCs w:val="20"/>
              </w:rPr>
              <w:t xml:space="preserve">Legal counsel on retainer; modular compliance layer for quick updates</w:t>
            </w:r>
          </w:p>
        </w:tc>
      </w:tr>
      <w:tr>
        <w:trPr>
          <w:cantSplit/>
        </w:trPr>
        <w:tc>
          <w:tcPr>
            <w:tcW w:type="pct" w:w="25%"/>
            <w:tcMar>
              <w:top w:type="dxa" w:w="60"/>
              <w:left w:type="dxa" w:w="100"/>
              <w:bottom w:type="dxa" w:w="60"/>
              <w:right w:type="dxa" w:w="100"/>
            </w:tcMar>
          </w:tcPr>
          <w:p>
            <w:pPr>
              <w:jc w:val="left"/>
            </w:pPr>
            <w:r>
              <w:rPr>
                <w:rFonts w:ascii="Calibri" w:eastAsia="Microsoft YaHei"/>
                <w:sz w:val="20"/>
                <w:szCs w:val="20"/>
              </w:rPr>
              <w:t xml:space="preserve">Talent Acquisition (Algeria)</w:t>
            </w:r>
          </w:p>
        </w:tc>
        <w:tc>
          <w:tcPr>
            <w:tcW w:type="pct" w:w="12%"/>
            <w:tcMar>
              <w:top w:type="dxa" w:w="60"/>
              <w:left w:type="dxa" w:w="100"/>
              <w:bottom w:type="dxa" w:w="60"/>
              <w:right w:type="dxa" w:w="100"/>
            </w:tcMar>
          </w:tcPr>
          <w:p>
            <w:pPr>
              <w:jc w:val="center"/>
            </w:pPr>
            <w:r>
              <w:rPr>
                <w:rFonts w:ascii="Calibri" w:eastAsia="Microsoft YaHei"/>
                <w:b/>
                <w:bCs/>
                <w:color w:val="718096"/>
                <w:sz w:val="20"/>
                <w:szCs w:val="20"/>
              </w:rPr>
              <w:t xml:space="preserve">Medium</w:t>
            </w:r>
          </w:p>
        </w:tc>
        <w:tc>
          <w:tcPr>
            <w:tcW w:type="pct" w:w="12%"/>
            <w:tcMar>
              <w:top w:type="dxa" w:w="60"/>
              <w:left w:type="dxa" w:w="100"/>
              <w:bottom w:type="dxa" w:w="60"/>
              <w:right w:type="dxa" w:w="100"/>
            </w:tcMar>
          </w:tcPr>
          <w:p>
            <w:pPr>
              <w:jc w:val="center"/>
            </w:pPr>
            <w:r>
              <w:rPr>
                <w:rFonts w:ascii="Calibri" w:eastAsia="Microsoft YaHei"/>
                <w:b/>
                <w:bCs/>
                <w:color w:val="718096"/>
                <w:sz w:val="20"/>
                <w:szCs w:val="20"/>
              </w:rPr>
              <w:t xml:space="preserve">Medium</w:t>
            </w:r>
          </w:p>
        </w:tc>
        <w:tc>
          <w:tcPr>
            <w:tcW w:type="pct" w:w="51%"/>
            <w:tcMar>
              <w:top w:type="dxa" w:w="60"/>
              <w:left w:type="dxa" w:w="100"/>
              <w:bottom w:type="dxa" w:w="60"/>
              <w:right w:type="dxa" w:w="100"/>
            </w:tcMar>
          </w:tcPr>
          <w:p>
            <w:pPr>
              <w:jc w:val="left"/>
            </w:pPr>
            <w:r>
              <w:rPr>
                <w:rFonts w:ascii="Calibri" w:eastAsia="Microsoft YaHei"/>
                <w:sz w:val="20"/>
                <w:szCs w:val="20"/>
              </w:rPr>
              <w:t xml:space="preserve">Remote team option; partnership with Algerian universities; competitive packages</w:t>
            </w:r>
          </w:p>
        </w:tc>
      </w:tr>
      <w:tr>
        <w:trPr>
          <w:cantSplit/>
        </w:trPr>
        <w:tc>
          <w:tcPr>
            <w:tcW w:type="pct" w:w="25%"/>
            <w:tcMar>
              <w:top w:type="dxa" w:w="60"/>
              <w:left w:type="dxa" w:w="100"/>
              <w:bottom w:type="dxa" w:w="60"/>
              <w:right w:type="dxa" w:w="100"/>
            </w:tcMar>
          </w:tcPr>
          <w:p>
            <w:pPr>
              <w:jc w:val="left"/>
            </w:pPr>
            <w:r>
              <w:rPr>
                <w:rFonts w:ascii="Calibri" w:eastAsia="Microsoft YaHei"/>
                <w:sz w:val="20"/>
                <w:szCs w:val="20"/>
              </w:rPr>
              <w:t xml:space="preserve">Supplier Adoption Resistance</w:t>
            </w:r>
          </w:p>
        </w:tc>
        <w:tc>
          <w:tcPr>
            <w:tcW w:type="pct" w:w="12%"/>
            <w:tcMar>
              <w:top w:type="dxa" w:w="60"/>
              <w:left w:type="dxa" w:w="100"/>
              <w:bottom w:type="dxa" w:w="60"/>
              <w:right w:type="dxa" w:w="100"/>
            </w:tcMar>
          </w:tcPr>
          <w:p>
            <w:pPr>
              <w:jc w:val="center"/>
            </w:pPr>
            <w:r>
              <w:rPr>
                <w:rFonts w:ascii="Calibri" w:eastAsia="Microsoft YaHei"/>
                <w:b/>
                <w:bCs/>
                <w:color w:val="718096"/>
                <w:sz w:val="20"/>
                <w:szCs w:val="20"/>
              </w:rPr>
              <w:t xml:space="preserve">Medium</w:t>
            </w:r>
          </w:p>
        </w:tc>
        <w:tc>
          <w:tcPr>
            <w:tcW w:type="pct" w:w="12%"/>
            <w:tcMar>
              <w:top w:type="dxa" w:w="60"/>
              <w:left w:type="dxa" w:w="100"/>
              <w:bottom w:type="dxa" w:w="60"/>
              <w:right w:type="dxa" w:w="100"/>
            </w:tcMar>
          </w:tcPr>
          <w:p>
            <w:pPr>
              <w:jc w:val="center"/>
            </w:pPr>
            <w:r>
              <w:rPr>
                <w:rFonts w:ascii="Calibri" w:eastAsia="Microsoft YaHei"/>
                <w:b/>
                <w:bCs/>
                <w:color w:val="718096"/>
                <w:sz w:val="20"/>
                <w:szCs w:val="20"/>
              </w:rPr>
              <w:t xml:space="preserve">Medium</w:t>
            </w:r>
          </w:p>
        </w:tc>
        <w:tc>
          <w:tcPr>
            <w:tcW w:type="pct" w:w="51%"/>
            <w:tcMar>
              <w:top w:type="dxa" w:w="60"/>
              <w:left w:type="dxa" w:w="100"/>
              <w:bottom w:type="dxa" w:w="60"/>
              <w:right w:type="dxa" w:w="100"/>
            </w:tcMar>
          </w:tcPr>
          <w:p>
            <w:pPr>
              <w:jc w:val="left"/>
            </w:pPr>
            <w:r>
              <w:rPr>
                <w:rFonts w:ascii="Calibri" w:eastAsia="Microsoft YaHei"/>
                <w:sz w:val="20"/>
                <w:szCs w:val="20"/>
              </w:rPr>
              <w:t xml:space="preserve">Free tier for early adopters; onboarding support; success stories marketing</w:t>
            </w:r>
          </w:p>
        </w:tc>
      </w:tr>
      <w:tr>
        <w:trPr>
          <w:cantSplit/>
        </w:trPr>
        <w:tc>
          <w:tcPr>
            <w:tcW w:type="pct" w:w="25%"/>
            <w:tcMar>
              <w:top w:type="dxa" w:w="60"/>
              <w:left w:type="dxa" w:w="100"/>
              <w:bottom w:type="dxa" w:w="60"/>
              <w:right w:type="dxa" w:w="100"/>
            </w:tcMar>
          </w:tcPr>
          <w:p>
            <w:pPr>
              <w:jc w:val="left"/>
            </w:pPr>
            <w:r>
              <w:rPr>
                <w:rFonts w:ascii="Calibri" w:eastAsia="Microsoft YaHei"/>
                <w:sz w:val="20"/>
                <w:szCs w:val="20"/>
              </w:rPr>
              <w:t xml:space="preserve">Infrastructure Reliability</w:t>
            </w:r>
          </w:p>
        </w:tc>
        <w:tc>
          <w:tcPr>
            <w:tcW w:type="pct" w:w="12%"/>
            <w:tcMar>
              <w:top w:type="dxa" w:w="60"/>
              <w:left w:type="dxa" w:w="100"/>
              <w:bottom w:type="dxa" w:w="60"/>
              <w:right w:type="dxa" w:w="100"/>
            </w:tcMar>
          </w:tcPr>
          <w:p>
            <w:pPr>
              <w:jc w:val="center"/>
            </w:pPr>
            <w:r>
              <w:rPr>
                <w:rFonts w:ascii="Calibri" w:eastAsia="Microsoft YaHei"/>
                <w:b/>
                <w:bCs/>
                <w:color w:val="38A169"/>
                <w:sz w:val="20"/>
                <w:szCs w:val="20"/>
              </w:rPr>
              <w:t xml:space="preserve">Low</w:t>
            </w:r>
          </w:p>
        </w:tc>
        <w:tc>
          <w:tcPr>
            <w:tcW w:type="pct" w:w="12%"/>
            <w:tcMar>
              <w:top w:type="dxa" w:w="60"/>
              <w:left w:type="dxa" w:w="100"/>
              <w:bottom w:type="dxa" w:w="60"/>
              <w:right w:type="dxa" w:w="100"/>
            </w:tcMar>
          </w:tcPr>
          <w:p>
            <w:pPr>
              <w:jc w:val="center"/>
            </w:pPr>
            <w:r>
              <w:rPr>
                <w:rFonts w:ascii="Calibri" w:eastAsia="Microsoft YaHei"/>
                <w:b/>
                <w:bCs/>
                <w:color w:val="DD6B20"/>
                <w:sz w:val="20"/>
                <w:szCs w:val="20"/>
              </w:rPr>
              <w:t xml:space="preserve">High</w:t>
            </w:r>
          </w:p>
        </w:tc>
        <w:tc>
          <w:tcPr>
            <w:tcW w:type="pct" w:w="51%"/>
            <w:tcMar>
              <w:top w:type="dxa" w:w="60"/>
              <w:left w:type="dxa" w:w="100"/>
              <w:bottom w:type="dxa" w:w="60"/>
              <w:right w:type="dxa" w:w="100"/>
            </w:tcMar>
          </w:tcPr>
          <w:p>
            <w:pPr>
              <w:jc w:val="left"/>
            </w:pPr>
            <w:r>
              <w:rPr>
                <w:rFonts w:ascii="Calibri" w:eastAsia="Microsoft YaHei"/>
                <w:sz w:val="20"/>
                <w:szCs w:val="20"/>
              </w:rPr>
              <w:t xml:space="preserve">Multi-region backup; CDN implementation; 99.9% uptime SLA with provider</w:t>
            </w:r>
          </w:p>
        </w:tc>
      </w:tr>
      <w:tr>
        <w:trPr>
          <w:cantSplit/>
        </w:trPr>
        <w:tc>
          <w:tcPr>
            <w:tcW w:type="pct" w:w="25%"/>
            <w:tcMar>
              <w:top w:type="dxa" w:w="60"/>
              <w:left w:type="dxa" w:w="100"/>
              <w:bottom w:type="dxa" w:w="60"/>
              <w:right w:type="dxa" w:w="100"/>
            </w:tcMar>
          </w:tcPr>
          <w:p>
            <w:pPr>
              <w:jc w:val="left"/>
            </w:pPr>
            <w:r>
              <w:rPr>
                <w:rFonts w:ascii="Calibri" w:eastAsia="Microsoft YaHei"/>
                <w:sz w:val="20"/>
                <w:szCs w:val="20"/>
              </w:rPr>
              <w:t xml:space="preserve">Currency Exchange Volatility</w:t>
            </w:r>
          </w:p>
        </w:tc>
        <w:tc>
          <w:tcPr>
            <w:tcW w:type="pct" w:w="12%"/>
            <w:tcMar>
              <w:top w:type="dxa" w:w="60"/>
              <w:left w:type="dxa" w:w="100"/>
              <w:bottom w:type="dxa" w:w="60"/>
              <w:right w:type="dxa" w:w="100"/>
            </w:tcMar>
          </w:tcPr>
          <w:p>
            <w:pPr>
              <w:jc w:val="center"/>
            </w:pPr>
            <w:r>
              <w:rPr>
                <w:rFonts w:ascii="Calibri" w:eastAsia="Microsoft YaHei"/>
                <w:b/>
                <w:bCs/>
                <w:color w:val="718096"/>
                <w:sz w:val="20"/>
                <w:szCs w:val="20"/>
              </w:rPr>
              <w:t xml:space="preserve">Medium</w:t>
            </w:r>
          </w:p>
        </w:tc>
        <w:tc>
          <w:tcPr>
            <w:tcW w:type="pct" w:w="12%"/>
            <w:tcMar>
              <w:top w:type="dxa" w:w="60"/>
              <w:left w:type="dxa" w:w="100"/>
              <w:bottom w:type="dxa" w:w="60"/>
              <w:right w:type="dxa" w:w="100"/>
            </w:tcMar>
          </w:tcPr>
          <w:p>
            <w:pPr>
              <w:jc w:val="center"/>
            </w:pPr>
            <w:r>
              <w:rPr>
                <w:rFonts w:ascii="Calibri" w:eastAsia="Microsoft YaHei"/>
                <w:b/>
                <w:bCs/>
                <w:color w:val="718096"/>
                <w:sz w:val="20"/>
                <w:szCs w:val="20"/>
              </w:rPr>
              <w:t xml:space="preserve">Medium</w:t>
            </w:r>
          </w:p>
        </w:tc>
        <w:tc>
          <w:tcPr>
            <w:tcW w:type="pct" w:w="51%"/>
            <w:tcMar>
              <w:top w:type="dxa" w:w="60"/>
              <w:left w:type="dxa" w:w="100"/>
              <w:bottom w:type="dxa" w:w="60"/>
              <w:right w:type="dxa" w:w="100"/>
            </w:tcMar>
          </w:tcPr>
          <w:p>
            <w:pPr>
              <w:jc w:val="left"/>
            </w:pPr>
            <w:r>
              <w:rPr>
                <w:rFonts w:ascii="Calibri" w:eastAsia="Microsoft YaHei"/>
                <w:sz w:val="20"/>
                <w:szCs w:val="20"/>
              </w:rPr>
              <w:t xml:space="preserve">Real-time rate updates; DZD-focused pricing; hedging strategies</w:t>
            </w:r>
          </w:p>
        </w:tc>
      </w:tr>
    </w:tbl>
    <w:p>
      <w:pPr>
        <w:spacing w:before="200"/>
      </w:pPr>
    </w:p>
    <w:p>
      <w:pPr>
        <w:pStyle w:val="Heading2"/>
        <w:spacing w:after="160" w:before="300" w:line="312"/>
      </w:pPr>
      <w:r>
        <w:rPr>
          <w:rFonts w:ascii="Calibri" w:eastAsia="SimHei"/>
          <w:b/>
          <w:bCs/>
          <w:color w:val="1E3A5F"/>
          <w:sz w:val="28"/>
          <w:szCs w:val="28"/>
        </w:rPr>
        <w:t xml:space="preserve">Contingency Planning</w:t>
      </w:r>
    </w:p>
    <w:p>
      <w:pPr>
        <w:spacing w:after="120" w:line="312"/>
        <w:ind w:firstLine="480"/>
        <w:jc w:val="both"/>
      </w:pPr>
      <w:r>
        <w:rPr>
          <w:rFonts w:ascii="Calibri" w:eastAsia="Microsoft YaHei"/>
          <w:color w:val="2D3748"/>
          <w:sz w:val="24"/>
          <w:szCs w:val="24"/>
        </w:rPr>
        <w:t xml:space="preserve">Timeline Buffer: Each phase includes 2-week buffer period for unforeseen delays. If unused, buffer accelerates next phase start date rather than being consumed by scope additions. Critical path items (payment integration, port APIs) identified early with parallel workstreams where possible to prevent single-point-of-failure blocking overall progress.</w:t>
      </w:r>
    </w:p>
    <w:p>
      <w:pPr>
        <w:spacing w:after="120" w:line="312"/>
        <w:ind w:firstLine="480"/>
        <w:jc w:val="both"/>
      </w:pPr>
      <w:r>
        <w:rPr>
          <w:rFonts w:ascii="Calibri" w:eastAsia="Microsoft YaHei"/>
          <w:color w:val="2D3748"/>
          <w:sz w:val="24"/>
          <w:szCs w:val="24"/>
        </w:rPr>
        <w:t xml:space="preserve">Budget Reserve: Maintain 15% contingency reserve above quoted ranges for scope changes, currency fluctuation (relevant for any USD-denominated contractor payments), or emergency resources. Phase gate reviews assess remaining budget adequacy before proceeding; significant overruns trigger scope reduction discussions before commitment to next phase.</w:t>
      </w:r>
    </w:p>
    <w:p>
      <w:pPr>
        <w:spacing w:after="120" w:line="312"/>
        <w:ind w:firstLine="480"/>
        <w:jc w:val="both"/>
      </w:pPr>
      <w:r>
        <w:rPr>
          <w:rFonts w:ascii="Calibri" w:eastAsia="Microsoft YaHei"/>
          <w:color w:val="2D3748"/>
          <w:sz w:val="24"/>
          <w:szCs w:val="24"/>
        </w:rPr>
        <w:t xml:space="preserve">Scope Flexibility: Each phase defined with 'must-have' and 'nice-to-have' feature lists. Under time pressure, nice-to-homes defer to subsequent phases without compromising core functionality. Product backlog continuously prioritized; team empowered to push back on late-breaking requirements that threaten delivery commitments.</w:t>
      </w:r>
    </w:p>
    <w:p>
      <w:pPr>
        <w:spacing w:before="300"/>
      </w:pPr>
    </w:p>
    <w:p>
      <w:pPr>
        <w:pStyle w:val="Heading1"/>
        <w:spacing w:after="200" w:before="400" w:line="312"/>
      </w:pPr>
      <w:r>
        <w:rPr>
          <w:rFonts w:ascii="Calibri" w:eastAsia="SimHei"/>
          <w:b/>
          <w:bCs/>
          <w:color w:val="1E3A5F"/>
          <w:sz w:val="32"/>
          <w:szCs w:val="32"/>
        </w:rPr>
        <w:t xml:space="preserve">Key Performance Indicators &amp; Success Metrics</w:t>
      </w:r>
    </w:p>
    <w:p>
      <w:pPr>
        <w:spacing w:after="120" w:line="312"/>
        <w:ind w:firstLine="480"/>
        <w:jc w:val="both"/>
      </w:pPr>
      <w:r>
        <w:rPr>
          <w:rFonts w:ascii="Calibri" w:eastAsia="Microsoft YaHei"/>
          <w:color w:val="2D3748"/>
          <w:sz w:val="24"/>
          <w:szCs w:val="24"/>
        </w:rPr>
        <w:t xml:space="preserve">Measuring progress toward strategic objectives requires carefully selected metrics that reflect genuine business health rather than vanity indicators. The following KPI framework provides visibility into user acquisition, engagement, transaction activity, and technical performance. Monthly review cadence recommended with quarterly strategic assessment adjusting targets based on market response and competitive dynamics.</w:t>
      </w:r>
    </w:p>
    <w:tbl>
      <w:tblPr>
        <w:tblW w:type="pct" w:w="100%"/>
        <w:tblBorders>
          <w:top w:val="single" w:color="D0D5DD" w:sz="1"/>
          <w:left w:val="none"/>
          <w:bottom w:val="single" w:color="D0D5DD" w:sz="1"/>
          <w:right w:val="none"/>
          <w:insideH w:val="single" w:color="E5E7EB" w:sz="1"/>
          <w:insideV w:val="single" w:color="E5E7EB" w:sz="1"/>
        </w:tblBorders>
      </w:tblPr>
      <w:tblGrid>
        <w:gridCol w:w="100"/>
        <w:gridCol w:w="100"/>
        <w:gridCol w:w="100"/>
        <w:gridCol w:w="100"/>
        <w:gridCol w:w="100"/>
      </w:tblGrid>
      <w:tr>
        <w:trPr>
          <w:cantSplit/>
          <w:tblHeader/>
        </w:trPr>
        <w:tc>
          <w:tcPr>
            <w:tcW w:type="pct" w:w="30%"/>
            <w:shd w:fill="1E3A5F" w:val="clear"/>
            <w:tcMar>
              <w:top w:type="dxa" w:w="80"/>
              <w:left w:type="dxa" w:w="120"/>
              <w:bottom w:type="dxa" w:w="80"/>
              <w:right w:type="dxa" w:w="120"/>
            </w:tcMar>
          </w:tcPr>
          <w:p>
            <w:r>
              <w:rPr>
                <w:rFonts w:ascii="Calibri" w:eastAsia="Microsoft YaHei"/>
                <w:b/>
                <w:bCs/>
                <w:color w:val="FFFFFF"/>
                <w:sz w:val="21"/>
                <w:szCs w:val="21"/>
              </w:rPr>
              <w:t xml:space="preserve">Key Metric</w:t>
            </w:r>
          </w:p>
        </w:tc>
        <w:tc>
          <w:tcPr>
            <w:tcW w:type="pct" w:w="17%"/>
            <w:shd w:fill="1E3A5F" w:val="clear"/>
            <w:tcMar>
              <w:top w:type="dxa" w:w="80"/>
              <w:left w:type="dxa" w:w="120"/>
              <w:bottom w:type="dxa" w:w="80"/>
              <w:right w:type="dxa" w:w="120"/>
            </w:tcMar>
          </w:tcPr>
          <w:p>
            <w:r>
              <w:rPr>
                <w:rFonts w:ascii="Calibri" w:eastAsia="Microsoft YaHei"/>
                <w:b/>
                <w:bCs/>
                <w:color w:val="FFFFFF"/>
                <w:sz w:val="21"/>
                <w:szCs w:val="21"/>
              </w:rPr>
              <w:t xml:space="preserve">Month 3</w:t>
            </w:r>
          </w:p>
        </w:tc>
        <w:tc>
          <w:tcPr>
            <w:tcW w:type="pct" w:w="17%"/>
            <w:shd w:fill="1E3A5F" w:val="clear"/>
            <w:tcMar>
              <w:top w:type="dxa" w:w="80"/>
              <w:left w:type="dxa" w:w="120"/>
              <w:bottom w:type="dxa" w:w="80"/>
              <w:right w:type="dxa" w:w="120"/>
            </w:tcMar>
          </w:tcPr>
          <w:p>
            <w:r>
              <w:rPr>
                <w:rFonts w:ascii="Calibri" w:eastAsia="Microsoft YaHei"/>
                <w:b/>
                <w:bCs/>
                <w:color w:val="FFFFFF"/>
                <w:sz w:val="21"/>
                <w:szCs w:val="21"/>
              </w:rPr>
              <w:t xml:space="preserve">Month 6</w:t>
            </w:r>
          </w:p>
        </w:tc>
        <w:tc>
          <w:tcPr>
            <w:tcW w:type="pct" w:w="18%"/>
            <w:shd w:fill="1E3A5F" w:val="clear"/>
            <w:tcMar>
              <w:top w:type="dxa" w:w="80"/>
              <w:left w:type="dxa" w:w="120"/>
              <w:bottom w:type="dxa" w:w="80"/>
              <w:right w:type="dxa" w:w="120"/>
            </w:tcMar>
          </w:tcPr>
          <w:p>
            <w:r>
              <w:rPr>
                <w:rFonts w:ascii="Calibri" w:eastAsia="Microsoft YaHei"/>
                <w:b/>
                <w:bCs/>
                <w:color w:val="FFFFFF"/>
                <w:sz w:val="21"/>
                <w:szCs w:val="21"/>
              </w:rPr>
              <w:t xml:space="preserve">Month 12</w:t>
            </w:r>
          </w:p>
        </w:tc>
        <w:tc>
          <w:tcPr>
            <w:tcW w:type="pct" w:w="18%"/>
            <w:shd w:fill="1E3A5F" w:val="clear"/>
            <w:tcMar>
              <w:top w:type="dxa" w:w="80"/>
              <w:left w:type="dxa" w:w="120"/>
              <w:bottom w:type="dxa" w:w="80"/>
              <w:right w:type="dxa" w:w="120"/>
            </w:tcMar>
          </w:tcPr>
          <w:p>
            <w:r>
              <w:rPr>
                <w:rFonts w:ascii="Calibri" w:eastAsia="Microsoft YaHei"/>
                <w:b/>
                <w:bCs/>
                <w:color w:val="FFFFFF"/>
                <w:sz w:val="21"/>
                <w:szCs w:val="21"/>
              </w:rPr>
              <w:t xml:space="preserve">Month 18</w:t>
            </w:r>
          </w:p>
        </w:tc>
      </w:tr>
      <w:tr>
        <w:trPr>
          <w:cantSplit/>
        </w:trPr>
        <w:tc>
          <w:tcPr>
            <w:tcW w:type="pct" w:w="30%"/>
            <w:tcMar>
              <w:top w:type="dxa" w:w="60"/>
              <w:left w:type="dxa" w:w="100"/>
              <w:bottom w:type="dxa" w:w="60"/>
              <w:right w:type="dxa" w:w="100"/>
            </w:tcMar>
          </w:tcPr>
          <w:p>
            <w:pPr>
              <w:jc w:val="left"/>
            </w:pPr>
            <w:r>
              <w:rPr>
                <w:rFonts w:ascii="Calibri" w:eastAsia="Microsoft YaHei"/>
                <w:sz w:val="20"/>
                <w:szCs w:val="20"/>
              </w:rPr>
              <w:t xml:space="preserve">Registered Suppliers</w:t>
            </w:r>
          </w:p>
        </w:tc>
        <w:tc>
          <w:tcPr>
            <w:tcW w:type="pct" w:w="17%"/>
            <w:tcMar>
              <w:top w:type="dxa" w:w="60"/>
              <w:left w:type="dxa" w:w="100"/>
              <w:bottom w:type="dxa" w:w="60"/>
              <w:right w:type="dxa" w:w="100"/>
            </w:tcMar>
          </w:tcPr>
          <w:p>
            <w:pPr>
              <w:jc w:val="center"/>
            </w:pPr>
            <w:r>
              <w:rPr>
                <w:rFonts w:ascii="Calibri" w:eastAsia="Microsoft YaHei"/>
                <w:sz w:val="20"/>
                <w:szCs w:val="20"/>
              </w:rPr>
              <w:t xml:space="preserve">50+</w:t>
            </w:r>
          </w:p>
        </w:tc>
        <w:tc>
          <w:tcPr>
            <w:tcW w:type="pct" w:w="17%"/>
            <w:tcMar>
              <w:top w:type="dxa" w:w="60"/>
              <w:left w:type="dxa" w:w="100"/>
              <w:bottom w:type="dxa" w:w="60"/>
              <w:right w:type="dxa" w:w="100"/>
            </w:tcMar>
          </w:tcPr>
          <w:p>
            <w:pPr>
              <w:jc w:val="center"/>
            </w:pPr>
            <w:r>
              <w:rPr>
                <w:rFonts w:ascii="Calibri" w:eastAsia="Microsoft YaHei"/>
                <w:sz w:val="20"/>
                <w:szCs w:val="20"/>
              </w:rPr>
              <w:t xml:space="preserve">200+</w:t>
            </w:r>
          </w:p>
        </w:tc>
        <w:tc>
          <w:tcPr>
            <w:tcW w:type="pct" w:w="18%"/>
            <w:tcMar>
              <w:top w:type="dxa" w:w="60"/>
              <w:left w:type="dxa" w:w="100"/>
              <w:bottom w:type="dxa" w:w="60"/>
              <w:right w:type="dxa" w:w="100"/>
            </w:tcMar>
          </w:tcPr>
          <w:p>
            <w:pPr>
              <w:jc w:val="center"/>
            </w:pPr>
            <w:r>
              <w:rPr>
                <w:rFonts w:ascii="Calibri" w:eastAsia="Microsoft YaHei"/>
                <w:sz w:val="20"/>
                <w:szCs w:val="20"/>
              </w:rPr>
              <w:t xml:space="preserve">500+</w:t>
            </w:r>
          </w:p>
        </w:tc>
        <w:tc>
          <w:tcPr>
            <w:tcW w:type="pct" w:w="18%"/>
            <w:tcMar>
              <w:top w:type="dxa" w:w="60"/>
              <w:left w:type="dxa" w:w="100"/>
              <w:bottom w:type="dxa" w:w="60"/>
              <w:right w:type="dxa" w:w="100"/>
            </w:tcMar>
          </w:tcPr>
          <w:p>
            <w:pPr>
              <w:jc w:val="center"/>
            </w:pPr>
            <w:r>
              <w:rPr>
                <w:rFonts w:ascii="Calibri" w:eastAsia="Microsoft YaHei"/>
                <w:sz w:val="20"/>
                <w:szCs w:val="20"/>
              </w:rPr>
              <w:t xml:space="preserve">1500+</w:t>
            </w:r>
          </w:p>
        </w:tc>
      </w:tr>
      <w:tr>
        <w:trPr>
          <w:cantSplit/>
        </w:trPr>
        <w:tc>
          <w:tcPr>
            <w:tcW w:type="pct" w:w="30%"/>
            <w:tcMar>
              <w:top w:type="dxa" w:w="60"/>
              <w:left w:type="dxa" w:w="100"/>
              <w:bottom w:type="dxa" w:w="60"/>
              <w:right w:type="dxa" w:w="100"/>
            </w:tcMar>
          </w:tcPr>
          <w:p>
            <w:pPr>
              <w:jc w:val="left"/>
            </w:pPr>
            <w:r>
              <w:rPr>
                <w:rFonts w:ascii="Calibri" w:eastAsia="Microsoft YaHei"/>
                <w:sz w:val="20"/>
                <w:szCs w:val="20"/>
              </w:rPr>
              <w:t xml:space="preserve">Active Buyers</w:t>
            </w:r>
          </w:p>
        </w:tc>
        <w:tc>
          <w:tcPr>
            <w:tcW w:type="pct" w:w="17%"/>
            <w:tcMar>
              <w:top w:type="dxa" w:w="60"/>
              <w:left w:type="dxa" w:w="100"/>
              <w:bottom w:type="dxa" w:w="60"/>
              <w:right w:type="dxa" w:w="100"/>
            </w:tcMar>
          </w:tcPr>
          <w:p>
            <w:pPr>
              <w:jc w:val="center"/>
            </w:pPr>
            <w:r>
              <w:rPr>
                <w:rFonts w:ascii="Calibri" w:eastAsia="Microsoft YaHei"/>
                <w:sz w:val="20"/>
                <w:szCs w:val="20"/>
              </w:rPr>
              <w:t xml:space="preserve">100+</w:t>
            </w:r>
          </w:p>
        </w:tc>
        <w:tc>
          <w:tcPr>
            <w:tcW w:type="pct" w:w="17%"/>
            <w:tcMar>
              <w:top w:type="dxa" w:w="60"/>
              <w:left w:type="dxa" w:w="100"/>
              <w:bottom w:type="dxa" w:w="60"/>
              <w:right w:type="dxa" w:w="100"/>
            </w:tcMar>
          </w:tcPr>
          <w:p>
            <w:pPr>
              <w:jc w:val="center"/>
            </w:pPr>
            <w:r>
              <w:rPr>
                <w:rFonts w:ascii="Calibri" w:eastAsia="Microsoft YaHei"/>
                <w:sz w:val="20"/>
                <w:szCs w:val="20"/>
              </w:rPr>
              <w:t xml:space="preserve">500+</w:t>
            </w:r>
          </w:p>
        </w:tc>
        <w:tc>
          <w:tcPr>
            <w:tcW w:type="pct" w:w="18%"/>
            <w:tcMar>
              <w:top w:type="dxa" w:w="60"/>
              <w:left w:type="dxa" w:w="100"/>
              <w:bottom w:type="dxa" w:w="60"/>
              <w:right w:type="dxa" w:w="100"/>
            </w:tcMar>
          </w:tcPr>
          <w:p>
            <w:pPr>
              <w:jc w:val="center"/>
            </w:pPr>
            <w:r>
              <w:rPr>
                <w:rFonts w:ascii="Calibri" w:eastAsia="Microsoft YaHei"/>
                <w:sz w:val="20"/>
                <w:szCs w:val="20"/>
              </w:rPr>
              <w:t xml:space="preserve">2000+</w:t>
            </w:r>
          </w:p>
        </w:tc>
        <w:tc>
          <w:tcPr>
            <w:tcW w:type="pct" w:w="18%"/>
            <w:tcMar>
              <w:top w:type="dxa" w:w="60"/>
              <w:left w:type="dxa" w:w="100"/>
              <w:bottom w:type="dxa" w:w="60"/>
              <w:right w:type="dxa" w:w="100"/>
            </w:tcMar>
          </w:tcPr>
          <w:p>
            <w:pPr>
              <w:jc w:val="center"/>
            </w:pPr>
            <w:r>
              <w:rPr>
                <w:rFonts w:ascii="Calibri" w:eastAsia="Microsoft YaHei"/>
                <w:sz w:val="20"/>
                <w:szCs w:val="20"/>
              </w:rPr>
              <w:t xml:space="preserve">5000+</w:t>
            </w:r>
          </w:p>
        </w:tc>
      </w:tr>
      <w:tr>
        <w:trPr>
          <w:cantSplit/>
        </w:trPr>
        <w:tc>
          <w:tcPr>
            <w:tcW w:type="pct" w:w="30%"/>
            <w:tcMar>
              <w:top w:type="dxa" w:w="60"/>
              <w:left w:type="dxa" w:w="100"/>
              <w:bottom w:type="dxa" w:w="60"/>
              <w:right w:type="dxa" w:w="100"/>
            </w:tcMar>
          </w:tcPr>
          <w:p>
            <w:pPr>
              <w:jc w:val="left"/>
            </w:pPr>
            <w:r>
              <w:rPr>
                <w:rFonts w:ascii="Calibri" w:eastAsia="Microsoft YaHei"/>
                <w:sz w:val="20"/>
                <w:szCs w:val="20"/>
              </w:rPr>
              <w:t xml:space="preserve">Listed Products</w:t>
            </w:r>
          </w:p>
        </w:tc>
        <w:tc>
          <w:tcPr>
            <w:tcW w:type="pct" w:w="17%"/>
            <w:tcMar>
              <w:top w:type="dxa" w:w="60"/>
              <w:left w:type="dxa" w:w="100"/>
              <w:bottom w:type="dxa" w:w="60"/>
              <w:right w:type="dxa" w:w="100"/>
            </w:tcMar>
          </w:tcPr>
          <w:p>
            <w:pPr>
              <w:jc w:val="center"/>
            </w:pPr>
            <w:r>
              <w:rPr>
                <w:rFonts w:ascii="Calibri" w:eastAsia="Microsoft YaHei"/>
                <w:sz w:val="20"/>
                <w:szCs w:val="20"/>
              </w:rPr>
              <w:t xml:space="preserve">1,000+</w:t>
            </w:r>
          </w:p>
        </w:tc>
        <w:tc>
          <w:tcPr>
            <w:tcW w:type="pct" w:w="17%"/>
            <w:tcMar>
              <w:top w:type="dxa" w:w="60"/>
              <w:left w:type="dxa" w:w="100"/>
              <w:bottom w:type="dxa" w:w="60"/>
              <w:right w:type="dxa" w:w="100"/>
            </w:tcMar>
          </w:tcPr>
          <w:p>
            <w:pPr>
              <w:jc w:val="center"/>
            </w:pPr>
            <w:r>
              <w:rPr>
                <w:rFonts w:ascii="Calibri" w:eastAsia="Microsoft YaHei"/>
                <w:sz w:val="20"/>
                <w:szCs w:val="20"/>
              </w:rPr>
              <w:t xml:space="preserve">10,000+</w:t>
            </w:r>
          </w:p>
        </w:tc>
        <w:tc>
          <w:tcPr>
            <w:tcW w:type="pct" w:w="18%"/>
            <w:tcMar>
              <w:top w:type="dxa" w:w="60"/>
              <w:left w:type="dxa" w:w="100"/>
              <w:bottom w:type="dxa" w:w="60"/>
              <w:right w:type="dxa" w:w="100"/>
            </w:tcMar>
          </w:tcPr>
          <w:p>
            <w:pPr>
              <w:jc w:val="center"/>
            </w:pPr>
            <w:r>
              <w:rPr>
                <w:rFonts w:ascii="Calibri" w:eastAsia="Microsoft YaHei"/>
                <w:sz w:val="20"/>
                <w:szCs w:val="20"/>
              </w:rPr>
              <w:t xml:space="preserve">50,000+</w:t>
            </w:r>
          </w:p>
        </w:tc>
        <w:tc>
          <w:tcPr>
            <w:tcW w:type="pct" w:w="18%"/>
            <w:tcMar>
              <w:top w:type="dxa" w:w="60"/>
              <w:left w:type="dxa" w:w="100"/>
              <w:bottom w:type="dxa" w:w="60"/>
              <w:right w:type="dxa" w:w="100"/>
            </w:tcMar>
          </w:tcPr>
          <w:p>
            <w:pPr>
              <w:jc w:val="center"/>
            </w:pPr>
            <w:r>
              <w:rPr>
                <w:rFonts w:ascii="Calibri" w:eastAsia="Microsoft YaHei"/>
                <w:sz w:val="20"/>
                <w:szCs w:val="20"/>
              </w:rPr>
              <w:t xml:space="preserve">200,000+</w:t>
            </w:r>
          </w:p>
        </w:tc>
      </w:tr>
      <w:tr>
        <w:trPr>
          <w:cantSplit/>
        </w:trPr>
        <w:tc>
          <w:tcPr>
            <w:tcW w:type="pct" w:w="30%"/>
            <w:tcMar>
              <w:top w:type="dxa" w:w="60"/>
              <w:left w:type="dxa" w:w="100"/>
              <w:bottom w:type="dxa" w:w="60"/>
              <w:right w:type="dxa" w:w="100"/>
            </w:tcMar>
          </w:tcPr>
          <w:p>
            <w:pPr>
              <w:jc w:val="left"/>
            </w:pPr>
            <w:r>
              <w:rPr>
                <w:rFonts w:ascii="Calibri" w:eastAsia="Microsoft YaHei"/>
                <w:sz w:val="20"/>
                <w:szCs w:val="20"/>
              </w:rPr>
              <w:t xml:space="preserve">RFQs Completed</w:t>
            </w:r>
          </w:p>
        </w:tc>
        <w:tc>
          <w:tcPr>
            <w:tcW w:type="pct" w:w="17%"/>
            <w:tcMar>
              <w:top w:type="dxa" w:w="60"/>
              <w:left w:type="dxa" w:w="100"/>
              <w:bottom w:type="dxa" w:w="60"/>
              <w:right w:type="dxa" w:w="100"/>
            </w:tcMar>
          </w:tcPr>
          <w:p>
            <w:pPr>
              <w:jc w:val="center"/>
            </w:pPr>
            <w:r>
              <w:rPr>
                <w:rFonts w:ascii="Calibri" w:eastAsia="Microsoft YaHei"/>
                <w:sz w:val="20"/>
                <w:szCs w:val="20"/>
              </w:rPr>
              <w:t xml:space="preserve">50/mo</w:t>
            </w:r>
          </w:p>
        </w:tc>
        <w:tc>
          <w:tcPr>
            <w:tcW w:type="pct" w:w="17%"/>
            <w:tcMar>
              <w:top w:type="dxa" w:w="60"/>
              <w:left w:type="dxa" w:w="100"/>
              <w:bottom w:type="dxa" w:w="60"/>
              <w:right w:type="dxa" w:w="100"/>
            </w:tcMar>
          </w:tcPr>
          <w:p>
            <w:pPr>
              <w:jc w:val="center"/>
            </w:pPr>
            <w:r>
              <w:rPr>
                <w:rFonts w:ascii="Calibri" w:eastAsia="Microsoft YaHei"/>
                <w:sz w:val="20"/>
                <w:szCs w:val="20"/>
              </w:rPr>
              <w:t xml:space="preserve">300/mo</w:t>
            </w:r>
          </w:p>
        </w:tc>
        <w:tc>
          <w:tcPr>
            <w:tcW w:type="pct" w:w="18%"/>
            <w:tcMar>
              <w:top w:type="dxa" w:w="60"/>
              <w:left w:type="dxa" w:w="100"/>
              <w:bottom w:type="dxa" w:w="60"/>
              <w:right w:type="dxa" w:w="100"/>
            </w:tcMar>
          </w:tcPr>
          <w:p>
            <w:pPr>
              <w:jc w:val="center"/>
            </w:pPr>
            <w:r>
              <w:rPr>
                <w:rFonts w:ascii="Calibri" w:eastAsia="Microsoft YaHei"/>
                <w:sz w:val="20"/>
                <w:szCs w:val="20"/>
              </w:rPr>
              <w:t xml:space="preserve">1500/mo</w:t>
            </w:r>
          </w:p>
        </w:tc>
        <w:tc>
          <w:tcPr>
            <w:tcW w:type="pct" w:w="18%"/>
            <w:tcMar>
              <w:top w:type="dxa" w:w="60"/>
              <w:left w:type="dxa" w:w="100"/>
              <w:bottom w:type="dxa" w:w="60"/>
              <w:right w:type="dxa" w:w="100"/>
            </w:tcMar>
          </w:tcPr>
          <w:p>
            <w:pPr>
              <w:jc w:val="center"/>
            </w:pPr>
            <w:r>
              <w:rPr>
                <w:rFonts w:ascii="Calibri" w:eastAsia="Microsoft YaHei"/>
                <w:sz w:val="20"/>
                <w:szCs w:val="20"/>
              </w:rPr>
              <w:t xml:space="preserve">5000/mo</w:t>
            </w:r>
          </w:p>
        </w:tc>
      </w:tr>
      <w:tr>
        <w:trPr>
          <w:cantSplit/>
        </w:trPr>
        <w:tc>
          <w:tcPr>
            <w:tcW w:type="pct" w:w="30%"/>
            <w:tcMar>
              <w:top w:type="dxa" w:w="60"/>
              <w:left w:type="dxa" w:w="100"/>
              <w:bottom w:type="dxa" w:w="60"/>
              <w:right w:type="dxa" w:w="100"/>
            </w:tcMar>
          </w:tcPr>
          <w:p>
            <w:pPr>
              <w:jc w:val="left"/>
            </w:pPr>
            <w:r>
              <w:rPr>
                <w:rFonts w:ascii="Calibri" w:eastAsia="Microsoft YaHei"/>
                <w:sz w:val="20"/>
                <w:szCs w:val="20"/>
              </w:rPr>
              <w:t xml:space="preserve">Transaction Volume</w:t>
            </w:r>
          </w:p>
        </w:tc>
        <w:tc>
          <w:tcPr>
            <w:tcW w:type="pct" w:w="17%"/>
            <w:tcMar>
              <w:top w:type="dxa" w:w="60"/>
              <w:left w:type="dxa" w:w="100"/>
              <w:bottom w:type="dxa" w:w="60"/>
              <w:right w:type="dxa" w:w="100"/>
            </w:tcMar>
          </w:tcPr>
          <w:p>
            <w:pPr>
              <w:jc w:val="center"/>
            </w:pPr>
            <w:r>
              <w:rPr>
                <w:rFonts w:ascii="Calibri" w:eastAsia="Microsoft YaHei"/>
                <w:sz w:val="20"/>
                <w:szCs w:val="20"/>
              </w:rPr>
              <w:t xml:space="preserve">N/A</w:t>
            </w:r>
          </w:p>
        </w:tc>
        <w:tc>
          <w:tcPr>
            <w:tcW w:type="pct" w:w="17%"/>
            <w:tcMar>
              <w:top w:type="dxa" w:w="60"/>
              <w:left w:type="dxa" w:w="100"/>
              <w:bottom w:type="dxa" w:w="60"/>
              <w:right w:type="dxa" w:w="100"/>
            </w:tcMar>
          </w:tcPr>
          <w:p>
            <w:pPr>
              <w:jc w:val="center"/>
            </w:pPr>
            <w:r>
              <w:rPr>
                <w:rFonts w:ascii="Calibri" w:eastAsia="Microsoft YaHei"/>
                <w:sz w:val="20"/>
                <w:szCs w:val="20"/>
              </w:rPr>
              <w:t xml:space="preserve">$100K/mo</w:t>
            </w:r>
          </w:p>
        </w:tc>
        <w:tc>
          <w:tcPr>
            <w:tcW w:type="pct" w:w="18%"/>
            <w:tcMar>
              <w:top w:type="dxa" w:w="60"/>
              <w:left w:type="dxa" w:w="100"/>
              <w:bottom w:type="dxa" w:w="60"/>
              <w:right w:type="dxa" w:w="100"/>
            </w:tcMar>
          </w:tcPr>
          <w:p>
            <w:pPr>
              <w:jc w:val="center"/>
            </w:pPr>
            <w:r>
              <w:rPr>
                <w:rFonts w:ascii="Calibri" w:eastAsia="Microsoft YaHei"/>
                <w:sz w:val="20"/>
                <w:szCs w:val="20"/>
              </w:rPr>
              <w:t xml:space="preserve">$1M/mo</w:t>
            </w:r>
          </w:p>
        </w:tc>
        <w:tc>
          <w:tcPr>
            <w:tcW w:type="pct" w:w="18%"/>
            <w:tcMar>
              <w:top w:type="dxa" w:w="60"/>
              <w:left w:type="dxa" w:w="100"/>
              <w:bottom w:type="dxa" w:w="60"/>
              <w:right w:type="dxa" w:w="100"/>
            </w:tcMar>
          </w:tcPr>
          <w:p>
            <w:pPr>
              <w:jc w:val="center"/>
            </w:pPr>
            <w:r>
              <w:rPr>
                <w:rFonts w:ascii="Calibri" w:eastAsia="Microsoft YaHei"/>
                <w:sz w:val="20"/>
                <w:szCs w:val="20"/>
              </w:rPr>
              <w:t xml:space="preserve">$5M/mo</w:t>
            </w:r>
          </w:p>
        </w:tc>
      </w:tr>
      <w:tr>
        <w:trPr>
          <w:cantSplit/>
        </w:trPr>
        <w:tc>
          <w:tcPr>
            <w:tcW w:type="pct" w:w="30%"/>
            <w:tcMar>
              <w:top w:type="dxa" w:w="60"/>
              <w:left w:type="dxa" w:w="100"/>
              <w:bottom w:type="dxa" w:w="60"/>
              <w:right w:type="dxa" w:w="100"/>
            </w:tcMar>
          </w:tcPr>
          <w:p>
            <w:pPr>
              <w:jc w:val="left"/>
            </w:pPr>
            <w:r>
              <w:rPr>
                <w:rFonts w:ascii="Calibri" w:eastAsia="Microsoft YaHei"/>
                <w:sz w:val="20"/>
                <w:szCs w:val="20"/>
              </w:rPr>
              <w:t xml:space="preserve">Platform Uptime</w:t>
            </w:r>
          </w:p>
        </w:tc>
        <w:tc>
          <w:tcPr>
            <w:tcW w:type="pct" w:w="17%"/>
            <w:tcMar>
              <w:top w:type="dxa" w:w="60"/>
              <w:left w:type="dxa" w:w="100"/>
              <w:bottom w:type="dxa" w:w="60"/>
              <w:right w:type="dxa" w:w="100"/>
            </w:tcMar>
          </w:tcPr>
          <w:p>
            <w:pPr>
              <w:jc w:val="center"/>
            </w:pPr>
            <w:r>
              <w:rPr>
                <w:rFonts w:ascii="Calibri" w:eastAsia="Microsoft YaHei"/>
                <w:sz w:val="20"/>
                <w:szCs w:val="20"/>
              </w:rPr>
              <w:t xml:space="preserve">99%</w:t>
            </w:r>
          </w:p>
        </w:tc>
        <w:tc>
          <w:tcPr>
            <w:tcW w:type="pct" w:w="17%"/>
            <w:tcMar>
              <w:top w:type="dxa" w:w="60"/>
              <w:left w:type="dxa" w:w="100"/>
              <w:bottom w:type="dxa" w:w="60"/>
              <w:right w:type="dxa" w:w="100"/>
            </w:tcMar>
          </w:tcPr>
          <w:p>
            <w:pPr>
              <w:jc w:val="center"/>
            </w:pPr>
            <w:r>
              <w:rPr>
                <w:rFonts w:ascii="Calibri" w:eastAsia="Microsoft YaHei"/>
                <w:sz w:val="20"/>
                <w:szCs w:val="20"/>
              </w:rPr>
              <w:t xml:space="preserve">99.5%</w:t>
            </w:r>
          </w:p>
        </w:tc>
        <w:tc>
          <w:tcPr>
            <w:tcW w:type="pct" w:w="18%"/>
            <w:tcMar>
              <w:top w:type="dxa" w:w="60"/>
              <w:left w:type="dxa" w:w="100"/>
              <w:bottom w:type="dxa" w:w="60"/>
              <w:right w:type="dxa" w:w="100"/>
            </w:tcMar>
          </w:tcPr>
          <w:p>
            <w:pPr>
              <w:jc w:val="center"/>
            </w:pPr>
            <w:r>
              <w:rPr>
                <w:rFonts w:ascii="Calibri" w:eastAsia="Microsoft YaHei"/>
                <w:sz w:val="20"/>
                <w:szCs w:val="20"/>
              </w:rPr>
              <w:t xml:space="preserve">99.9%</w:t>
            </w:r>
          </w:p>
        </w:tc>
        <w:tc>
          <w:tcPr>
            <w:tcW w:type="pct" w:w="18%"/>
            <w:tcMar>
              <w:top w:type="dxa" w:w="60"/>
              <w:left w:type="dxa" w:w="100"/>
              <w:bottom w:type="dxa" w:w="60"/>
              <w:right w:type="dxa" w:w="100"/>
            </w:tcMar>
          </w:tcPr>
          <w:p>
            <w:pPr>
              <w:jc w:val="center"/>
            </w:pPr>
            <w:r>
              <w:rPr>
                <w:rFonts w:ascii="Calibri" w:eastAsia="Microsoft YaHei"/>
                <w:sz w:val="20"/>
                <w:szCs w:val="20"/>
              </w:rPr>
              <w:t xml:space="preserve">99.95%</w:t>
            </w:r>
          </w:p>
        </w:tc>
      </w:tr>
    </w:tbl>
    <w:p>
      <w:pPr>
        <w:spacing w:before="200"/>
      </w:pPr>
    </w:p>
    <w:p>
      <w:pPr>
        <w:pStyle w:val="Heading2"/>
        <w:spacing w:after="160" w:before="300" w:line="312"/>
      </w:pPr>
      <w:r>
        <w:rPr>
          <w:rFonts w:ascii="Calibri" w:eastAsia="SimHei"/>
          <w:b/>
          <w:bCs/>
          <w:color w:val="1E3A5F"/>
          <w:sz w:val="28"/>
          <w:szCs w:val="28"/>
        </w:rPr>
        <w:t xml:space="preserve">Metric Definitions &amp; Measurement Methods</w:t>
      </w:r>
    </w:p>
    <w:p>
      <w:pPr>
        <w:pStyle w:val="Heading3"/>
        <w:spacing w:after="120" w:before="240" w:line="312"/>
      </w:pPr>
      <w:r>
        <w:rPr>
          <w:rFonts w:ascii="Calibri" w:eastAsia="SimHei"/>
          <w:b/>
          <w:bCs/>
          <w:color w:val="2D3748"/>
          <w:sz w:val="24"/>
          <w:szCs w:val="24"/>
        </w:rPr>
        <w:t xml:space="preserve">User Acquisition Metrics</w:t>
      </w:r>
    </w:p>
    <w:p>
      <w:pPr>
        <w:spacing w:after="120" w:line="312"/>
        <w:ind w:firstLine="480"/>
        <w:jc w:val="both"/>
      </w:pPr>
      <w:r>
        <w:rPr>
          <w:rFonts w:ascii="Calibri" w:eastAsia="Microsoft YaHei"/>
          <w:color w:val="2D3748"/>
          <w:sz w:val="24"/>
          <w:szCs w:val="24"/>
        </w:rPr>
        <w:t xml:space="preserve">Registered Suppliers: Count of supplier accounts completing registration process and passing initial email verification. Tracked via database query; segmented by industry category, registration source (organic/referral/paid), and verification status. Target growth curve assumes ramp-up marketing spend starting Phase 2 with increasing efficiency as brand recognition develops.</w:t>
      </w:r>
    </w:p>
    <w:p>
      <w:pPr>
        <w:spacing w:after="120" w:line="312"/>
        <w:ind w:firstLine="480"/>
        <w:jc w:val="both"/>
      </w:pPr>
      <w:r>
        <w:rPr>
          <w:rFonts w:ascii="Calibri" w:eastAsia="Microsoft YaHei"/>
          <w:color w:val="2D3748"/>
          <w:sz w:val="24"/>
          <w:szCs w:val="24"/>
        </w:rPr>
        <w:t xml:space="preserve">Active Buyers: Registered buyer accounts with meaningful engagement activity (login, search, RFQ submission, or message sent) within trailing 30-day window. More stringent than simple registration count; reflects actual platform usage rather than curiosity signups. Activation rate (registrations converting to active) indicates onboarding effectiveness.</w:t>
      </w:r>
    </w:p>
    <w:p>
      <w:pPr>
        <w:pStyle w:val="Heading3"/>
        <w:spacing w:after="120" w:before="240" w:line="312"/>
      </w:pPr>
      <w:r>
        <w:rPr>
          <w:rFonts w:ascii="Calibri" w:eastAsia="SimHei"/>
          <w:b/>
          <w:bCs/>
          <w:color w:val="2D3748"/>
          <w:sz w:val="24"/>
          <w:szCs w:val="24"/>
        </w:rPr>
        <w:t xml:space="preserve">Transaction Metrics</w:t>
      </w:r>
    </w:p>
    <w:p>
      <w:pPr>
        <w:spacing w:after="120" w:line="312"/>
        <w:ind w:firstLine="480"/>
        <w:jc w:val="both"/>
      </w:pPr>
      <w:r>
        <w:rPr>
          <w:rFonts w:ascii="Calibri" w:eastAsia="Microsoft YaHei"/>
          <w:color w:val="2D3748"/>
          <w:sz w:val="24"/>
          <w:szCs w:val="24"/>
        </w:rPr>
        <w:t xml:space="preserve">RFQs Completed: Count of RFQs reaching 'closed' status (quote accepted, expired, or withdrawn) per month. Leading indicator of transaction volume; typical 2-4 week lag between RFQ creation and order placement. Conversion rate (RFQs to orders) indicates marketplace match quality and pricing competitiveness.</w:t>
      </w:r>
    </w:p>
    <w:p>
      <w:pPr>
        <w:spacing w:after="120" w:line="312"/>
        <w:ind w:firstLine="480"/>
        <w:jc w:val="both"/>
      </w:pPr>
      <w:r>
        <w:rPr>
          <w:rFonts w:ascii="Calibri" w:eastAsia="Microsoft YaHei"/>
          <w:color w:val="2D3748"/>
          <w:sz w:val="24"/>
          <w:szCs w:val="24"/>
        </w:rPr>
        <w:t xml:space="preserve">Transaction Volume: Gross Merchandise Value (GMV) of orders processed through platform, measured in USD equivalent for consistency. Revenue calculation applies commission percentage (varies by category/supplier tier) to GMV. Month-over-month growth rate more informative than absolute values in early stages when baseline is low.</w:t>
      </w:r>
    </w:p>
    <w:p>
      <w:pPr>
        <w:pStyle w:val="Heading3"/>
        <w:spacing w:after="120" w:before="240" w:line="312"/>
      </w:pPr>
      <w:r>
        <w:rPr>
          <w:rFonts w:ascii="Calibri" w:eastAsia="SimHei"/>
          <w:b/>
          <w:bCs/>
          <w:color w:val="2D3748"/>
          <w:sz w:val="24"/>
          <w:szCs w:val="24"/>
        </w:rPr>
        <w:t xml:space="preserve">Technical Metrics</w:t>
      </w:r>
    </w:p>
    <w:p>
      <w:pPr>
        <w:spacing w:after="120" w:line="312"/>
        <w:ind w:firstLine="480"/>
        <w:jc w:val="both"/>
      </w:pPr>
      <w:r>
        <w:rPr>
          <w:rFonts w:ascii="Calibri" w:eastAsia="Microsoft YaHei"/>
          <w:color w:val="2D3748"/>
          <w:sz w:val="24"/>
          <w:szCs w:val="24"/>
        </w:rPr>
        <w:t xml:space="preserve">Platform Uptime: Percentage of time platform is accessible and functional, measured via synthetic monitoring from multiple global locations (including Algeria-based probes). Target 99.9% translates to maximum 43 minutes downtime per month; maintenance windows scheduled during low-traffic periods (typically 02:00-04:00 AM Algeria time). Incident severity classification guides response time expectations (P1 critical: 15-minute response; P4 minor: 24-hour response).</w:t>
      </w:r>
    </w:p>
    <w:p>
      <w:pPr>
        <w:spacing w:before="300"/>
      </w:pPr>
    </w:p>
    <w:p>
      <w:pPr>
        <w:pStyle w:val="Heading1"/>
        <w:spacing w:after="200" w:before="400" w:line="312"/>
      </w:pPr>
      <w:r>
        <w:rPr>
          <w:rFonts w:ascii="Calibri" w:eastAsia="SimHei"/>
          <w:b/>
          <w:bCs/>
          <w:color w:val="1E3A5F"/>
          <w:sz w:val="32"/>
          <w:szCs w:val="32"/>
        </w:rPr>
        <w:t xml:space="preserve">Technology Stack Summary</w:t>
      </w:r>
    </w:p>
    <w:p>
      <w:pPr>
        <w:spacing w:after="120" w:line="312"/>
        <w:ind w:firstLine="480"/>
        <w:jc w:val="both"/>
      </w:pPr>
      <w:r>
        <w:rPr>
          <w:rFonts w:ascii="Calibri" w:eastAsia="Microsoft YaHei"/>
          <w:color w:val="2D3748"/>
          <w:sz w:val="24"/>
          <w:szCs w:val="24"/>
        </w:rPr>
        <w:t xml:space="preserve">The following technology choices balance modern best practices with practical considerations including available talent pool in North Africa, long-term maintainability, scalability requirements, and total cost of ownership. Where alternatives exist, rationale provided for selected approach; architecture remains flexible to substitute components if compelling reasons emerge during development.</w:t>
      </w:r>
    </w:p>
    <w:tbl>
      <w:tblPr>
        <w:tblW w:type="pct" w:w="100%"/>
        <w:tblBorders>
          <w:top w:val="single" w:color="D0D5DD" w:sz="1"/>
          <w:left w:val="none"/>
          <w:bottom w:val="single" w:color="D0D5DD" w:sz="1"/>
          <w:right w:val="none"/>
          <w:insideH w:val="single" w:color="E5E7EB" w:sz="1"/>
          <w:insideV w:val="single" w:color="E5E7EB" w:sz="1"/>
        </w:tblBorders>
      </w:tblPr>
      <w:tblGrid>
        <w:gridCol w:w="100"/>
        <w:gridCol w:w="100"/>
        <w:gridCol w:w="100"/>
        <w:gridCol w:w="100"/>
      </w:tblGrid>
      <w:tr>
        <w:trPr>
          <w:cantSplit/>
          <w:tblHeader/>
        </w:trPr>
        <w:tc>
          <w:tcPr>
            <w:tcW w:type="pct" w:w="20%"/>
            <w:shd w:fill="1E3A5F" w:val="clear"/>
            <w:tcMar>
              <w:top w:type="dxa" w:w="80"/>
              <w:left w:type="dxa" w:w="120"/>
              <w:bottom w:type="dxa" w:w="80"/>
              <w:right w:type="dxa" w:w="120"/>
            </w:tcMar>
          </w:tcPr>
          <w:p>
            <w:r>
              <w:rPr>
                <w:rFonts w:ascii="Calibri" w:eastAsia="Microsoft YaHei"/>
                <w:b/>
                <w:bCs/>
                <w:color w:val="FFFFFF"/>
                <w:sz w:val="21"/>
                <w:szCs w:val="21"/>
              </w:rPr>
              <w:t xml:space="preserve">Layer</w:t>
            </w:r>
          </w:p>
        </w:tc>
        <w:tc>
          <w:tcPr>
            <w:tcW w:type="pct" w:w="30%"/>
            <w:shd w:fill="1E3A5F" w:val="clear"/>
            <w:tcMar>
              <w:top w:type="dxa" w:w="80"/>
              <w:left w:type="dxa" w:w="120"/>
              <w:bottom w:type="dxa" w:w="80"/>
              <w:right w:type="dxa" w:w="120"/>
            </w:tcMar>
          </w:tcPr>
          <w:p>
            <w:r>
              <w:rPr>
                <w:rFonts w:ascii="Calibri" w:eastAsia="Microsoft YaHei"/>
                <w:b/>
                <w:bCs/>
                <w:color w:val="FFFFFF"/>
                <w:sz w:val="21"/>
                <w:szCs w:val="21"/>
              </w:rPr>
              <w:t xml:space="preserve">Technology</w:t>
            </w:r>
          </w:p>
        </w:tc>
        <w:tc>
          <w:tcPr>
            <w:tcW w:type="pct" w:w="35%"/>
            <w:shd w:fill="1E3A5F" w:val="clear"/>
            <w:tcMar>
              <w:top w:type="dxa" w:w="80"/>
              <w:left w:type="dxa" w:w="120"/>
              <w:bottom w:type="dxa" w:w="80"/>
              <w:right w:type="dxa" w:w="120"/>
            </w:tcMar>
          </w:tcPr>
          <w:p>
            <w:r>
              <w:rPr>
                <w:rFonts w:ascii="Calibri" w:eastAsia="Microsoft YaHei"/>
                <w:b/>
                <w:bCs/>
                <w:color w:val="FFFFFF"/>
                <w:sz w:val="21"/>
                <w:szCs w:val="21"/>
              </w:rPr>
              <w:t xml:space="preserve">Purpose</w:t>
            </w:r>
          </w:p>
        </w:tc>
        <w:tc>
          <w:tcPr>
            <w:tcW w:type="pct" w:w="15%"/>
            <w:shd w:fill="1E3A5F" w:val="clear"/>
            <w:tcMar>
              <w:top w:type="dxa" w:w="80"/>
              <w:left w:type="dxa" w:w="120"/>
              <w:bottom w:type="dxa" w:w="80"/>
              <w:right w:type="dxa" w:w="120"/>
            </w:tcMar>
          </w:tcPr>
          <w:p>
            <w:r>
              <w:rPr>
                <w:rFonts w:ascii="Calibri" w:eastAsia="Microsoft YaHei"/>
                <w:b/>
                <w:bCs/>
                <w:color w:val="FFFFFF"/>
                <w:sz w:val="21"/>
                <w:szCs w:val="21"/>
              </w:rPr>
              <w:t xml:space="preserve">Alternatives Considered</w:t>
            </w:r>
          </w:p>
        </w:tc>
      </w:tr>
      <w:tr>
        <w:trPr>
          <w:cantSplit/>
        </w:trPr>
        <w:tc>
          <w:tcPr>
            <w:tcW w:type="pct" w:w="20%"/>
            <w:tcMar>
              <w:top w:type="dxa" w:w="60"/>
              <w:left w:type="dxa" w:w="100"/>
              <w:bottom w:type="dxa" w:w="60"/>
              <w:right w:type="dxa" w:w="100"/>
            </w:tcMar>
          </w:tcPr>
          <w:p>
            <w:pPr>
              <w:jc w:val="left"/>
            </w:pPr>
            <w:r>
              <w:rPr>
                <w:rFonts w:ascii="Calibri" w:eastAsia="Microsoft YaHei"/>
                <w:sz w:val="20"/>
                <w:szCs w:val="20"/>
              </w:rPr>
              <w:t xml:space="preserve">Frontend Framework</w:t>
            </w:r>
          </w:p>
        </w:tc>
        <w:tc>
          <w:tcPr>
            <w:tcW w:type="pct" w:w="30%"/>
            <w:tcMar>
              <w:top w:type="dxa" w:w="60"/>
              <w:left w:type="dxa" w:w="100"/>
              <w:bottom w:type="dxa" w:w="60"/>
              <w:right w:type="dxa" w:w="100"/>
            </w:tcMar>
          </w:tcPr>
          <w:p>
            <w:pPr>
              <w:jc w:val="left"/>
            </w:pPr>
            <w:r>
              <w:rPr>
                <w:rFonts w:ascii="Calibri" w:eastAsia="Microsoft YaHei"/>
                <w:sz w:val="20"/>
                <w:szCs w:val="20"/>
              </w:rPr>
              <w:t xml:space="preserve">Next.js 14 + React 18</w:t>
            </w:r>
          </w:p>
        </w:tc>
        <w:tc>
          <w:tcPr>
            <w:tcW w:type="pct" w:w="35%"/>
            <w:tcMar>
              <w:top w:type="dxa" w:w="60"/>
              <w:left w:type="dxa" w:w="100"/>
              <w:bottom w:type="dxa" w:w="60"/>
              <w:right w:type="dxa" w:w="100"/>
            </w:tcMar>
          </w:tcPr>
          <w:p>
            <w:pPr>
              <w:jc w:val="left"/>
            </w:pPr>
            <w:r>
              <w:rPr>
                <w:rFonts w:ascii="Calibri" w:eastAsia="Microsoft YaHei"/>
                <w:sz w:val="20"/>
                <w:szCs w:val="20"/>
              </w:rPr>
              <w:t xml:space="preserve">SSR for SEO, API routes, image optimization</w:t>
            </w:r>
          </w:p>
        </w:tc>
        <w:tc>
          <w:tcPr>
            <w:tcW w:type="pct" w:w="15%"/>
            <w:tcMar>
              <w:top w:type="dxa" w:w="60"/>
              <w:left w:type="dxa" w:w="100"/>
              <w:bottom w:type="dxa" w:w="60"/>
              <w:right w:type="dxa" w:w="100"/>
            </w:tcMar>
          </w:tcPr>
          <w:p>
            <w:pPr>
              <w:jc w:val="left"/>
            </w:pPr>
            <w:r>
              <w:rPr>
                <w:rFonts w:ascii="Calibri" w:eastAsia="Microsoft YaHei"/>
                <w:sz w:val="20"/>
                <w:szCs w:val="20"/>
              </w:rPr>
              <w:t xml:space="preserve">Vue.js, Angular</w:t>
            </w:r>
          </w:p>
        </w:tc>
      </w:tr>
      <w:tr>
        <w:trPr>
          <w:cantSplit/>
        </w:trPr>
        <w:tc>
          <w:tcPr>
            <w:tcW w:type="pct" w:w="20%"/>
            <w:tcMar>
              <w:top w:type="dxa" w:w="60"/>
              <w:left w:type="dxa" w:w="100"/>
              <w:bottom w:type="dxa" w:w="60"/>
              <w:right w:type="dxa" w:w="100"/>
            </w:tcMar>
          </w:tcPr>
          <w:p>
            <w:pPr>
              <w:jc w:val="left"/>
            </w:pPr>
            <w:r>
              <w:rPr>
                <w:rFonts w:ascii="Calibri" w:eastAsia="Microsoft YaHei"/>
                <w:sz w:val="20"/>
                <w:szCs w:val="20"/>
              </w:rPr>
              <w:t xml:space="preserve">Language</w:t>
            </w:r>
          </w:p>
        </w:tc>
        <w:tc>
          <w:tcPr>
            <w:tcW w:type="pct" w:w="30%"/>
            <w:tcMar>
              <w:top w:type="dxa" w:w="60"/>
              <w:left w:type="dxa" w:w="100"/>
              <w:bottom w:type="dxa" w:w="60"/>
              <w:right w:type="dxa" w:w="100"/>
            </w:tcMar>
          </w:tcPr>
          <w:p>
            <w:pPr>
              <w:jc w:val="left"/>
            </w:pPr>
            <w:r>
              <w:rPr>
                <w:rFonts w:ascii="Calibri" w:eastAsia="Microsoft YaHei"/>
                <w:sz w:val="20"/>
                <w:szCs w:val="20"/>
              </w:rPr>
              <w:t xml:space="preserve">TypeScript</w:t>
            </w:r>
          </w:p>
        </w:tc>
        <w:tc>
          <w:tcPr>
            <w:tcW w:type="pct" w:w="35%"/>
            <w:tcMar>
              <w:top w:type="dxa" w:w="60"/>
              <w:left w:type="dxa" w:w="100"/>
              <w:bottom w:type="dxa" w:w="60"/>
              <w:right w:type="dxa" w:w="100"/>
            </w:tcMar>
          </w:tcPr>
          <w:p>
            <w:pPr>
              <w:jc w:val="left"/>
            </w:pPr>
            <w:r>
              <w:rPr>
                <w:rFonts w:ascii="Calibri" w:eastAsia="Microsoft YaHei"/>
                <w:sz w:val="20"/>
                <w:szCs w:val="20"/>
              </w:rPr>
              <w:t xml:space="preserve">Type safety, better DX, fewer runtime errors</w:t>
            </w:r>
          </w:p>
        </w:tc>
        <w:tc>
          <w:tcPr>
            <w:tcW w:type="pct" w:w="15%"/>
            <w:tcMar>
              <w:top w:type="dxa" w:w="60"/>
              <w:left w:type="dxa" w:w="100"/>
              <w:bottom w:type="dxa" w:w="60"/>
              <w:right w:type="dxa" w:w="100"/>
            </w:tcMar>
          </w:tcPr>
          <w:p>
            <w:pPr>
              <w:jc w:val="left"/>
            </w:pPr>
            <w:r>
              <w:rPr>
                <w:rFonts w:ascii="Calibri" w:eastAsia="Microsoft YaHei"/>
                <w:sz w:val="20"/>
                <w:szCs w:val="20"/>
              </w:rPr>
              <w:t xml:space="preserve">JavaScript (vanilla)</w:t>
            </w:r>
          </w:p>
        </w:tc>
      </w:tr>
      <w:tr>
        <w:trPr>
          <w:cantSplit/>
        </w:trPr>
        <w:tc>
          <w:tcPr>
            <w:tcW w:type="pct" w:w="20%"/>
            <w:tcMar>
              <w:top w:type="dxa" w:w="60"/>
              <w:left w:type="dxa" w:w="100"/>
              <w:bottom w:type="dxa" w:w="60"/>
              <w:right w:type="dxa" w:w="100"/>
            </w:tcMar>
          </w:tcPr>
          <w:p>
            <w:pPr>
              <w:jc w:val="left"/>
            </w:pPr>
            <w:r>
              <w:rPr>
                <w:rFonts w:ascii="Calibri" w:eastAsia="Microsoft YaHei"/>
                <w:sz w:val="20"/>
                <w:szCs w:val="20"/>
              </w:rPr>
              <w:t xml:space="preserve">Styling</w:t>
            </w:r>
          </w:p>
        </w:tc>
        <w:tc>
          <w:tcPr>
            <w:tcW w:type="pct" w:w="30%"/>
            <w:tcMar>
              <w:top w:type="dxa" w:w="60"/>
              <w:left w:type="dxa" w:w="100"/>
              <w:bottom w:type="dxa" w:w="60"/>
              <w:right w:type="dxa" w:w="100"/>
            </w:tcMar>
          </w:tcPr>
          <w:p>
            <w:pPr>
              <w:jc w:val="left"/>
            </w:pPr>
            <w:r>
              <w:rPr>
                <w:rFonts w:ascii="Calibri" w:eastAsia="Microsoft YaHei"/>
                <w:sz w:val="20"/>
                <w:szCs w:val="20"/>
              </w:rPr>
              <w:t xml:space="preserve">Tailwind CSS</w:t>
            </w:r>
          </w:p>
        </w:tc>
        <w:tc>
          <w:tcPr>
            <w:tcW w:type="pct" w:w="35%"/>
            <w:tcMar>
              <w:top w:type="dxa" w:w="60"/>
              <w:left w:type="dxa" w:w="100"/>
              <w:bottom w:type="dxa" w:w="60"/>
              <w:right w:type="dxa" w:w="100"/>
            </w:tcMar>
          </w:tcPr>
          <w:p>
            <w:pPr>
              <w:jc w:val="left"/>
            </w:pPr>
            <w:r>
              <w:rPr>
                <w:rFonts w:ascii="Calibri" w:eastAsia="Microsoft YaHei"/>
                <w:sz w:val="20"/>
                <w:szCs w:val="20"/>
              </w:rPr>
              <w:t xml:space="preserve">Utility-first, responsive, small bundle</w:t>
            </w:r>
          </w:p>
        </w:tc>
        <w:tc>
          <w:tcPr>
            <w:tcW w:type="pct" w:w="15%"/>
            <w:tcMar>
              <w:top w:type="dxa" w:w="60"/>
              <w:left w:type="dxa" w:w="100"/>
              <w:bottom w:type="dxa" w:w="60"/>
              <w:right w:type="dxa" w:w="100"/>
            </w:tcMar>
          </w:tcPr>
          <w:p>
            <w:pPr>
              <w:jc w:val="left"/>
            </w:pPr>
            <w:r>
              <w:rPr>
                <w:rFonts w:ascii="Calibri" w:eastAsia="Microsoft YaHei"/>
                <w:sz w:val="20"/>
                <w:szCs w:val="20"/>
              </w:rPr>
              <w:t xml:space="preserve">Material UI, Styled Components</w:t>
            </w:r>
          </w:p>
        </w:tc>
      </w:tr>
      <w:tr>
        <w:trPr>
          <w:cantSplit/>
        </w:trPr>
        <w:tc>
          <w:tcPr>
            <w:tcW w:type="pct" w:w="20%"/>
            <w:tcMar>
              <w:top w:type="dxa" w:w="60"/>
              <w:left w:type="dxa" w:w="100"/>
              <w:bottom w:type="dxa" w:w="60"/>
              <w:right w:type="dxa" w:w="100"/>
            </w:tcMar>
          </w:tcPr>
          <w:p>
            <w:pPr>
              <w:jc w:val="left"/>
            </w:pPr>
            <w:r>
              <w:rPr>
                <w:rFonts w:ascii="Calibri" w:eastAsia="Microsoft YaHei"/>
                <w:sz w:val="20"/>
                <w:szCs w:val="20"/>
              </w:rPr>
              <w:t xml:space="preserve">Backend Runtime</w:t>
            </w:r>
          </w:p>
        </w:tc>
        <w:tc>
          <w:tcPr>
            <w:tcW w:type="pct" w:w="30%"/>
            <w:tcMar>
              <w:top w:type="dxa" w:w="60"/>
              <w:left w:type="dxa" w:w="100"/>
              <w:bottom w:type="dxa" w:w="60"/>
              <w:right w:type="dxa" w:w="100"/>
            </w:tcMar>
          </w:tcPr>
          <w:p>
            <w:pPr>
              <w:jc w:val="left"/>
            </w:pPr>
            <w:r>
              <w:rPr>
                <w:rFonts w:ascii="Calibri" w:eastAsia="Microsoft YaHei"/>
                <w:sz w:val="20"/>
                <w:szCs w:val="20"/>
              </w:rPr>
              <w:t xml:space="preserve">Node.js + Express</w:t>
            </w:r>
          </w:p>
        </w:tc>
        <w:tc>
          <w:tcPr>
            <w:tcW w:type="pct" w:w="35%"/>
            <w:tcMar>
              <w:top w:type="dxa" w:w="60"/>
              <w:left w:type="dxa" w:w="100"/>
              <w:bottom w:type="dxa" w:w="60"/>
              <w:right w:type="dxa" w:w="100"/>
            </w:tcMar>
          </w:tcPr>
          <w:p>
            <w:pPr>
              <w:jc w:val="left"/>
            </w:pPr>
            <w:r>
              <w:rPr>
                <w:rFonts w:ascii="Calibri" w:eastAsia="Microsoft YaHei"/>
                <w:sz w:val="20"/>
                <w:szCs w:val="20"/>
              </w:rPr>
              <w:t xml:space="preserve">JS fullstack, async I/O, npm ecosystem</w:t>
            </w:r>
          </w:p>
        </w:tc>
        <w:tc>
          <w:tcPr>
            <w:tcW w:type="pct" w:w="15%"/>
            <w:tcMar>
              <w:top w:type="dxa" w:w="60"/>
              <w:left w:type="dxa" w:w="100"/>
              <w:bottom w:type="dxa" w:w="60"/>
              <w:right w:type="dxa" w:w="100"/>
            </w:tcMar>
          </w:tcPr>
          <w:p>
            <w:pPr>
              <w:jc w:val="left"/>
            </w:pPr>
            <w:r>
              <w:rPr>
                <w:rFonts w:ascii="Calibri" w:eastAsia="Microsoft YaHei"/>
                <w:sz w:val="20"/>
                <w:szCs w:val="20"/>
              </w:rPr>
              <w:t xml:space="preserve">Python/Django, Go</w:t>
            </w:r>
          </w:p>
        </w:tc>
      </w:tr>
      <w:tr>
        <w:trPr>
          <w:cantSplit/>
        </w:trPr>
        <w:tc>
          <w:tcPr>
            <w:tcW w:type="pct" w:w="20%"/>
            <w:tcMar>
              <w:top w:type="dxa" w:w="60"/>
              <w:left w:type="dxa" w:w="100"/>
              <w:bottom w:type="dxa" w:w="60"/>
              <w:right w:type="dxa" w:w="100"/>
            </w:tcMar>
          </w:tcPr>
          <w:p>
            <w:pPr>
              <w:jc w:val="left"/>
            </w:pPr>
            <w:r>
              <w:rPr>
                <w:rFonts w:ascii="Calibri" w:eastAsia="Microsoft YaHei"/>
                <w:sz w:val="20"/>
                <w:szCs w:val="20"/>
              </w:rPr>
              <w:t xml:space="preserve">Primary Database</w:t>
            </w:r>
          </w:p>
        </w:tc>
        <w:tc>
          <w:tcPr>
            <w:tcW w:type="pct" w:w="30%"/>
            <w:tcMar>
              <w:top w:type="dxa" w:w="60"/>
              <w:left w:type="dxa" w:w="100"/>
              <w:bottom w:type="dxa" w:w="60"/>
              <w:right w:type="dxa" w:w="100"/>
            </w:tcMar>
          </w:tcPr>
          <w:p>
            <w:pPr>
              <w:jc w:val="left"/>
            </w:pPr>
            <w:r>
              <w:rPr>
                <w:rFonts w:ascii="Calibri" w:eastAsia="Microsoft YaHei"/>
                <w:sz w:val="20"/>
                <w:szCs w:val="20"/>
              </w:rPr>
              <w:t xml:space="preserve">PostgreSQL</w:t>
            </w:r>
          </w:p>
        </w:tc>
        <w:tc>
          <w:tcPr>
            <w:tcW w:type="pct" w:w="35%"/>
            <w:tcMar>
              <w:top w:type="dxa" w:w="60"/>
              <w:left w:type="dxa" w:w="100"/>
              <w:bottom w:type="dxa" w:w="60"/>
              <w:right w:type="dxa" w:w="100"/>
            </w:tcMar>
          </w:tcPr>
          <w:p>
            <w:pPr>
              <w:jc w:val="left"/>
            </w:pPr>
            <w:r>
              <w:rPr>
                <w:rFonts w:ascii="Calibri" w:eastAsia="Microsoft YaHei"/>
                <w:sz w:val="20"/>
                <w:szCs w:val="20"/>
              </w:rPr>
              <w:t xml:space="preserve">Relational data, complex queries, JSON support</w:t>
            </w:r>
          </w:p>
        </w:tc>
        <w:tc>
          <w:tcPr>
            <w:tcW w:type="pct" w:w="15%"/>
            <w:tcMar>
              <w:top w:type="dxa" w:w="60"/>
              <w:left w:type="dxa" w:w="100"/>
              <w:bottom w:type="dxa" w:w="60"/>
              <w:right w:type="dxa" w:w="100"/>
            </w:tcMar>
          </w:tcPr>
          <w:p>
            <w:pPr>
              <w:jc w:val="left"/>
            </w:pPr>
            <w:r>
              <w:rPr>
                <w:rFonts w:ascii="Calibri" w:eastAsia="Microsoft YaHei"/>
                <w:sz w:val="20"/>
                <w:szCs w:val="20"/>
              </w:rPr>
              <w:t xml:space="preserve">MySQL, MongoDB</w:t>
            </w:r>
          </w:p>
        </w:tc>
      </w:tr>
      <w:tr>
        <w:trPr>
          <w:cantSplit/>
        </w:trPr>
        <w:tc>
          <w:tcPr>
            <w:tcW w:type="pct" w:w="20%"/>
            <w:tcMar>
              <w:top w:type="dxa" w:w="60"/>
              <w:left w:type="dxa" w:w="100"/>
              <w:bottom w:type="dxa" w:w="60"/>
              <w:right w:type="dxa" w:w="100"/>
            </w:tcMar>
          </w:tcPr>
          <w:p>
            <w:pPr>
              <w:jc w:val="left"/>
            </w:pPr>
            <w:r>
              <w:rPr>
                <w:rFonts w:ascii="Calibri" w:eastAsia="Microsoft YaHei"/>
                <w:sz w:val="20"/>
                <w:szCs w:val="20"/>
              </w:rPr>
              <w:t xml:space="preserve">Cache Layer</w:t>
            </w:r>
          </w:p>
        </w:tc>
        <w:tc>
          <w:tcPr>
            <w:tcW w:type="pct" w:w="30%"/>
            <w:tcMar>
              <w:top w:type="dxa" w:w="60"/>
              <w:left w:type="dxa" w:w="100"/>
              <w:bottom w:type="dxa" w:w="60"/>
              <w:right w:type="dxa" w:w="100"/>
            </w:tcMar>
          </w:tcPr>
          <w:p>
            <w:pPr>
              <w:jc w:val="left"/>
            </w:pPr>
            <w:r>
              <w:rPr>
                <w:rFonts w:ascii="Calibri" w:eastAsia="Microsoft YaHei"/>
                <w:sz w:val="20"/>
                <w:szCs w:val="20"/>
              </w:rPr>
              <w:t xml:space="preserve">Redis</w:t>
            </w:r>
          </w:p>
        </w:tc>
        <w:tc>
          <w:tcPr>
            <w:tcW w:type="pct" w:w="35%"/>
            <w:tcMar>
              <w:top w:type="dxa" w:w="60"/>
              <w:left w:type="dxa" w:w="100"/>
              <w:bottom w:type="dxa" w:w="60"/>
              <w:right w:type="dxa" w:w="100"/>
            </w:tcMar>
          </w:tcPr>
          <w:p>
            <w:pPr>
              <w:jc w:val="left"/>
            </w:pPr>
            <w:r>
              <w:rPr>
                <w:rFonts w:ascii="Calibri" w:eastAsia="Microsoft YaHei"/>
                <w:sz w:val="20"/>
                <w:szCs w:val="20"/>
              </w:rPr>
              <w:t xml:space="preserve">Sessions, rate limiting, pub/sub</w:t>
            </w:r>
          </w:p>
        </w:tc>
        <w:tc>
          <w:tcPr>
            <w:tcW w:type="pct" w:w="15%"/>
            <w:tcMar>
              <w:top w:type="dxa" w:w="60"/>
              <w:left w:type="dxa" w:w="100"/>
              <w:bottom w:type="dxa" w:w="60"/>
              <w:right w:type="dxa" w:w="100"/>
            </w:tcMar>
          </w:tcPr>
          <w:p>
            <w:pPr>
              <w:jc w:val="left"/>
            </w:pPr>
            <w:r>
              <w:rPr>
                <w:rFonts w:ascii="Calibri" w:eastAsia="Microsoft YaHei"/>
                <w:sz w:val="20"/>
                <w:szCs w:val="20"/>
              </w:rPr>
              <w:t xml:space="preserve">Memcached</w:t>
            </w:r>
          </w:p>
        </w:tc>
      </w:tr>
      <w:tr>
        <w:trPr>
          <w:cantSplit/>
        </w:trPr>
        <w:tc>
          <w:tcPr>
            <w:tcW w:type="pct" w:w="20%"/>
            <w:tcMar>
              <w:top w:type="dxa" w:w="60"/>
              <w:left w:type="dxa" w:w="100"/>
              <w:bottom w:type="dxa" w:w="60"/>
              <w:right w:type="dxa" w:w="100"/>
            </w:tcMar>
          </w:tcPr>
          <w:p>
            <w:pPr>
              <w:jc w:val="left"/>
            </w:pPr>
            <w:r>
              <w:rPr>
                <w:rFonts w:ascii="Calibri" w:eastAsia="Microsoft YaHei"/>
                <w:sz w:val="20"/>
                <w:szCs w:val="20"/>
              </w:rPr>
              <w:t xml:space="preserve">Search Engine</w:t>
            </w:r>
          </w:p>
        </w:tc>
        <w:tc>
          <w:tcPr>
            <w:tcW w:type="pct" w:w="30%"/>
            <w:tcMar>
              <w:top w:type="dxa" w:w="60"/>
              <w:left w:type="dxa" w:w="100"/>
              <w:bottom w:type="dxa" w:w="60"/>
              <w:right w:type="dxa" w:w="100"/>
            </w:tcMar>
          </w:tcPr>
          <w:p>
            <w:pPr>
              <w:jc w:val="left"/>
            </w:pPr>
            <w:r>
              <w:rPr>
                <w:rFonts w:ascii="Calibri" w:eastAsia="Microsoft YaHei"/>
                <w:sz w:val="20"/>
                <w:szCs w:val="20"/>
              </w:rPr>
              <w:t xml:space="preserve">Elasticsearch</w:t>
            </w:r>
          </w:p>
        </w:tc>
        <w:tc>
          <w:tcPr>
            <w:tcW w:type="pct" w:w="35%"/>
            <w:tcMar>
              <w:top w:type="dxa" w:w="60"/>
              <w:left w:type="dxa" w:w="100"/>
              <w:bottom w:type="dxa" w:w="60"/>
              <w:right w:type="dxa" w:w="100"/>
            </w:tcMar>
          </w:tcPr>
          <w:p>
            <w:pPr>
              <w:jc w:val="left"/>
            </w:pPr>
            <w:r>
              <w:rPr>
                <w:rFonts w:ascii="Calibri" w:eastAsia="Microsoft YaHei"/>
                <w:sz w:val="20"/>
                <w:szCs w:val="20"/>
              </w:rPr>
              <w:t xml:space="preserve">Full-text search, faceted navigation, relevance</w:t>
            </w:r>
          </w:p>
        </w:tc>
        <w:tc>
          <w:tcPr>
            <w:tcW w:type="pct" w:w="15%"/>
            <w:tcMar>
              <w:top w:type="dxa" w:w="60"/>
              <w:left w:type="dxa" w:w="100"/>
              <w:bottom w:type="dxa" w:w="60"/>
              <w:right w:type="dxa" w:w="100"/>
            </w:tcMar>
          </w:tcPr>
          <w:p>
            <w:pPr>
              <w:jc w:val="left"/>
            </w:pPr>
            <w:r>
              <w:rPr>
                <w:rFonts w:ascii="Calibri" w:eastAsia="Microsoft YaHei"/>
                <w:sz w:val="20"/>
                <w:szCs w:val="20"/>
              </w:rPr>
              <w:t xml:space="preserve">Postgres full-text, Algolia</w:t>
            </w:r>
          </w:p>
        </w:tc>
      </w:tr>
      <w:tr>
        <w:trPr>
          <w:cantSplit/>
        </w:trPr>
        <w:tc>
          <w:tcPr>
            <w:tcW w:type="pct" w:w="20%"/>
            <w:tcMar>
              <w:top w:type="dxa" w:w="60"/>
              <w:left w:type="dxa" w:w="100"/>
              <w:bottom w:type="dxa" w:w="60"/>
              <w:right w:type="dxa" w:w="100"/>
            </w:tcMar>
          </w:tcPr>
          <w:p>
            <w:pPr>
              <w:jc w:val="left"/>
            </w:pPr>
            <w:r>
              <w:rPr>
                <w:rFonts w:ascii="Calibri" w:eastAsia="Microsoft YaHei"/>
                <w:sz w:val="20"/>
                <w:szCs w:val="20"/>
              </w:rPr>
              <w:t xml:space="preserve">File Storage</w:t>
            </w:r>
          </w:p>
        </w:tc>
        <w:tc>
          <w:tcPr>
            <w:tcW w:type="pct" w:w="30%"/>
            <w:tcMar>
              <w:top w:type="dxa" w:w="60"/>
              <w:left w:type="dxa" w:w="100"/>
              <w:bottom w:type="dxa" w:w="60"/>
              <w:right w:type="dxa" w:w="100"/>
            </w:tcMar>
          </w:tcPr>
          <w:p>
            <w:pPr>
              <w:jc w:val="left"/>
            </w:pPr>
            <w:r>
              <w:rPr>
                <w:rFonts w:ascii="Calibri" w:eastAsia="Microsoft YaHei"/>
                <w:sz w:val="20"/>
                <w:szCs w:val="20"/>
              </w:rPr>
              <w:t xml:space="preserve">AWS S3 + CloudFront</w:t>
            </w:r>
          </w:p>
        </w:tc>
        <w:tc>
          <w:tcPr>
            <w:tcW w:type="pct" w:w="35%"/>
            <w:tcMar>
              <w:top w:type="dxa" w:w="60"/>
              <w:left w:type="dxa" w:w="100"/>
              <w:bottom w:type="dxa" w:w="60"/>
              <w:right w:type="dxa" w:w="100"/>
            </w:tcMar>
          </w:tcPr>
          <w:p>
            <w:pPr>
              <w:jc w:val="left"/>
            </w:pPr>
            <w:r>
              <w:rPr>
                <w:rFonts w:ascii="Calibri" w:eastAsia="Microsoft YaHei"/>
                <w:sz w:val="20"/>
                <w:szCs w:val="20"/>
              </w:rPr>
              <w:t xml:space="preserve">Object storage, CDN delivery, lifecycle</w:t>
            </w:r>
          </w:p>
        </w:tc>
        <w:tc>
          <w:tcPr>
            <w:tcW w:type="pct" w:w="15%"/>
            <w:tcMar>
              <w:top w:type="dxa" w:w="60"/>
              <w:left w:type="dxa" w:w="100"/>
              <w:bottom w:type="dxa" w:w="60"/>
              <w:right w:type="dxa" w:w="100"/>
            </w:tcMar>
          </w:tcPr>
          <w:p>
            <w:pPr>
              <w:jc w:val="left"/>
            </w:pPr>
            <w:r>
              <w:rPr>
                <w:rFonts w:ascii="Calibri" w:eastAsia="Microsoft YaHei"/>
                <w:sz w:val="20"/>
                <w:szCs w:val="20"/>
              </w:rPr>
              <w:t xml:space="preserve">Google Cloud Storage</w:t>
            </w:r>
          </w:p>
        </w:tc>
      </w:tr>
      <w:tr>
        <w:trPr>
          <w:cantSplit/>
        </w:trPr>
        <w:tc>
          <w:tcPr>
            <w:tcW w:type="pct" w:w="20%"/>
            <w:tcMar>
              <w:top w:type="dxa" w:w="60"/>
              <w:left w:type="dxa" w:w="100"/>
              <w:bottom w:type="dxa" w:w="60"/>
              <w:right w:type="dxa" w:w="100"/>
            </w:tcMar>
          </w:tcPr>
          <w:p>
            <w:pPr>
              <w:jc w:val="left"/>
            </w:pPr>
            <w:r>
              <w:rPr>
                <w:rFonts w:ascii="Calibri" w:eastAsia="Microsoft YaHei"/>
                <w:sz w:val="20"/>
                <w:szCs w:val="20"/>
              </w:rPr>
              <w:t xml:space="preserve">Containerization</w:t>
            </w:r>
          </w:p>
        </w:tc>
        <w:tc>
          <w:tcPr>
            <w:tcW w:type="pct" w:w="30%"/>
            <w:tcMar>
              <w:top w:type="dxa" w:w="60"/>
              <w:left w:type="dxa" w:w="100"/>
              <w:bottom w:type="dxa" w:w="60"/>
              <w:right w:type="dxa" w:w="100"/>
            </w:tcMar>
          </w:tcPr>
          <w:p>
            <w:pPr>
              <w:jc w:val="left"/>
            </w:pPr>
            <w:r>
              <w:rPr>
                <w:rFonts w:ascii="Calibri" w:eastAsia="Microsoft YaHei"/>
                <w:sz w:val="20"/>
                <w:szCs w:val="20"/>
              </w:rPr>
              <w:t xml:space="preserve">Docker + Kubernetes</w:t>
            </w:r>
          </w:p>
        </w:tc>
        <w:tc>
          <w:tcPr>
            <w:tcW w:type="pct" w:w="35%"/>
            <w:tcMar>
              <w:top w:type="dxa" w:w="60"/>
              <w:left w:type="dxa" w:w="100"/>
              <w:bottom w:type="dxa" w:w="60"/>
              <w:right w:type="dxa" w:w="100"/>
            </w:tcMar>
          </w:tcPr>
          <w:p>
            <w:pPr>
              <w:jc w:val="left"/>
            </w:pPr>
            <w:r>
              <w:rPr>
                <w:rFonts w:ascii="Calibri" w:eastAsia="Microsoft YaHei"/>
                <w:sz w:val="20"/>
                <w:szCs w:val="20"/>
              </w:rPr>
              <w:t xml:space="preserve">Consistent environments, auto-scaling</w:t>
            </w:r>
          </w:p>
        </w:tc>
        <w:tc>
          <w:tcPr>
            <w:tcW w:type="pct" w:w="15%"/>
            <w:tcMar>
              <w:top w:type="dxa" w:w="60"/>
              <w:left w:type="dxa" w:w="100"/>
              <w:bottom w:type="dxa" w:w="60"/>
              <w:right w:type="dxa" w:w="100"/>
            </w:tcMar>
          </w:tcPr>
          <w:p>
            <w:pPr>
              <w:jc w:val="left"/>
            </w:pPr>
            <w:r>
              <w:rPr>
                <w:rFonts w:ascii="Calibri" w:eastAsia="Microsoft YaHei"/>
                <w:sz w:val="20"/>
                <w:szCs w:val="20"/>
              </w:rPr>
              <w:t xml:space="preserve">Docker Compose, ECS Fargate</w:t>
            </w:r>
          </w:p>
        </w:tc>
      </w:tr>
      <w:tr>
        <w:trPr>
          <w:cantSplit/>
        </w:trPr>
        <w:tc>
          <w:tcPr>
            <w:tcW w:type="pct" w:w="20%"/>
            <w:tcMar>
              <w:top w:type="dxa" w:w="60"/>
              <w:left w:type="dxa" w:w="100"/>
              <w:bottom w:type="dxa" w:w="60"/>
              <w:right w:type="dxa" w:w="100"/>
            </w:tcMar>
          </w:tcPr>
          <w:p>
            <w:pPr>
              <w:jc w:val="left"/>
            </w:pPr>
            <w:r>
              <w:rPr>
                <w:rFonts w:ascii="Calibri" w:eastAsia="Microsoft YaHei"/>
                <w:sz w:val="20"/>
                <w:szCs w:val="20"/>
              </w:rPr>
              <w:t xml:space="preserve">Real-time</w:t>
            </w:r>
          </w:p>
        </w:tc>
        <w:tc>
          <w:tcPr>
            <w:tcW w:type="pct" w:w="30%"/>
            <w:tcMar>
              <w:top w:type="dxa" w:w="60"/>
              <w:left w:type="dxa" w:w="100"/>
              <w:bottom w:type="dxa" w:w="60"/>
              <w:right w:type="dxa" w:w="100"/>
            </w:tcMar>
          </w:tcPr>
          <w:p>
            <w:pPr>
              <w:jc w:val="left"/>
            </w:pPr>
            <w:r>
              <w:rPr>
                <w:rFonts w:ascii="Calibri" w:eastAsia="Microsoft YaHei"/>
                <w:sz w:val="20"/>
                <w:szCs w:val="20"/>
              </w:rPr>
              <w:t xml:space="preserve">Socket.io</w:t>
            </w:r>
          </w:p>
        </w:tc>
        <w:tc>
          <w:tcPr>
            <w:tcW w:type="pct" w:w="35%"/>
            <w:tcMar>
              <w:top w:type="dxa" w:w="60"/>
              <w:left w:type="dxa" w:w="100"/>
              <w:bottom w:type="dxa" w:w="60"/>
              <w:right w:type="dxa" w:w="100"/>
            </w:tcMar>
          </w:tcPr>
          <w:p>
            <w:pPr>
              <w:jc w:val="left"/>
            </w:pPr>
            <w:r>
              <w:rPr>
                <w:rFonts w:ascii="Calibri" w:eastAsia="Microsoft YaHei"/>
                <w:sz w:val="20"/>
                <w:szCs w:val="20"/>
              </w:rPr>
              <w:t xml:space="preserve">WebSocket abstraction, fallback support</w:t>
            </w:r>
          </w:p>
        </w:tc>
        <w:tc>
          <w:tcPr>
            <w:tcW w:type="pct" w:w="15%"/>
            <w:tcMar>
              <w:top w:type="dxa" w:w="60"/>
              <w:left w:type="dxa" w:w="100"/>
              <w:bottom w:type="dxa" w:w="60"/>
              <w:right w:type="dxa" w:w="100"/>
            </w:tcMar>
          </w:tcPr>
          <w:p>
            <w:pPr>
              <w:jc w:val="left"/>
            </w:pPr>
            <w:r>
              <w:rPr>
                <w:rFonts w:ascii="Calibri" w:eastAsia="Microsoft YaHei"/>
                <w:sz w:val="20"/>
                <w:szCs w:val="20"/>
              </w:rPr>
              <w:t xml:space="preserve">WS, Pusher</w:t>
            </w:r>
          </w:p>
        </w:tc>
      </w:tr>
      <w:tr>
        <w:trPr>
          <w:cantSplit/>
        </w:trPr>
        <w:tc>
          <w:tcPr>
            <w:tcW w:type="pct" w:w="20%"/>
            <w:tcMar>
              <w:top w:type="dxa" w:w="60"/>
              <w:left w:type="dxa" w:w="100"/>
              <w:bottom w:type="dxa" w:w="60"/>
              <w:right w:type="dxa" w:w="100"/>
            </w:tcMar>
          </w:tcPr>
          <w:p>
            <w:pPr>
              <w:jc w:val="left"/>
            </w:pPr>
            <w:r>
              <w:rPr>
                <w:rFonts w:ascii="Calibri" w:eastAsia="Microsoft YaHei"/>
                <w:sz w:val="20"/>
                <w:szCs w:val="20"/>
              </w:rPr>
              <w:t xml:space="preserve">Mobile (Phase 5)</w:t>
            </w:r>
          </w:p>
        </w:tc>
        <w:tc>
          <w:tcPr>
            <w:tcW w:type="pct" w:w="30%"/>
            <w:tcMar>
              <w:top w:type="dxa" w:w="60"/>
              <w:left w:type="dxa" w:w="100"/>
              <w:bottom w:type="dxa" w:w="60"/>
              <w:right w:type="dxa" w:w="100"/>
            </w:tcMar>
          </w:tcPr>
          <w:p>
            <w:pPr>
              <w:jc w:val="left"/>
            </w:pPr>
            <w:r>
              <w:rPr>
                <w:rFonts w:ascii="Calibri" w:eastAsia="Microsoft YaHei"/>
                <w:sz w:val="20"/>
                <w:szCs w:val="20"/>
              </w:rPr>
              <w:t xml:space="preserve">React Native</w:t>
            </w:r>
          </w:p>
        </w:tc>
        <w:tc>
          <w:tcPr>
            <w:tcW w:type="pct" w:w="35%"/>
            <w:tcMar>
              <w:top w:type="dxa" w:w="60"/>
              <w:left w:type="dxa" w:w="100"/>
              <w:bottom w:type="dxa" w:w="60"/>
              <w:right w:type="dxa" w:w="100"/>
            </w:tcMar>
          </w:tcPr>
          <w:p>
            <w:pPr>
              <w:jc w:val="left"/>
            </w:pPr>
            <w:r>
              <w:rPr>
                <w:rFonts w:ascii="Calibri" w:eastAsia="Microsoft YaHei"/>
                <w:sz w:val="20"/>
                <w:szCs w:val="20"/>
              </w:rPr>
              <w:t xml:space="preserve">Cross-platform, code sharing with web</w:t>
            </w:r>
          </w:p>
        </w:tc>
        <w:tc>
          <w:tcPr>
            <w:tcW w:type="pct" w:w="15%"/>
            <w:tcMar>
              <w:top w:type="dxa" w:w="60"/>
              <w:left w:type="dxa" w:w="100"/>
              <w:bottom w:type="dxa" w:w="60"/>
              <w:right w:type="dxa" w:w="100"/>
            </w:tcMar>
          </w:tcPr>
          <w:p>
            <w:pPr>
              <w:jc w:val="left"/>
            </w:pPr>
            <w:r>
              <w:rPr>
                <w:rFonts w:ascii="Calibri" w:eastAsia="Microsoft YaHei"/>
                <w:sz w:val="20"/>
                <w:szCs w:val="20"/>
              </w:rPr>
              <w:t xml:space="preserve">Flutter, Native (iOS/Android)</w:t>
            </w:r>
          </w:p>
        </w:tc>
      </w:tr>
      <w:tr>
        <w:trPr>
          <w:cantSplit/>
        </w:trPr>
        <w:tc>
          <w:tcPr>
            <w:tcW w:type="pct" w:w="20%"/>
            <w:tcMar>
              <w:top w:type="dxa" w:w="60"/>
              <w:left w:type="dxa" w:w="100"/>
              <w:bottom w:type="dxa" w:w="60"/>
              <w:right w:type="dxa" w:w="100"/>
            </w:tcMar>
          </w:tcPr>
          <w:p>
            <w:pPr>
              <w:jc w:val="left"/>
            </w:pPr>
            <w:r>
              <w:rPr>
                <w:rFonts w:ascii="Calibri" w:eastAsia="Microsoft YaHei"/>
                <w:sz w:val="20"/>
                <w:szCs w:val="20"/>
              </w:rPr>
              <w:t xml:space="preserve">AI/ML (Phase 5)</w:t>
            </w:r>
          </w:p>
        </w:tc>
        <w:tc>
          <w:tcPr>
            <w:tcW w:type="pct" w:w="30%"/>
            <w:tcMar>
              <w:top w:type="dxa" w:w="60"/>
              <w:left w:type="dxa" w:w="100"/>
              <w:bottom w:type="dxa" w:w="60"/>
              <w:right w:type="dxa" w:w="100"/>
            </w:tcMar>
          </w:tcPr>
          <w:p>
            <w:pPr>
              <w:jc w:val="left"/>
            </w:pPr>
            <w:r>
              <w:rPr>
                <w:rFonts w:ascii="Calibri" w:eastAsia="Microsoft YaHei"/>
                <w:sz w:val="20"/>
                <w:szCs w:val="20"/>
              </w:rPr>
              <w:t xml:space="preserve">Python + TensorFlow</w:t>
            </w:r>
          </w:p>
        </w:tc>
        <w:tc>
          <w:tcPr>
            <w:tcW w:type="pct" w:w="35%"/>
            <w:tcMar>
              <w:top w:type="dxa" w:w="60"/>
              <w:left w:type="dxa" w:w="100"/>
              <w:bottom w:type="dxa" w:w="60"/>
              <w:right w:type="dxa" w:w="100"/>
            </w:tcMar>
          </w:tcPr>
          <w:p>
            <w:pPr>
              <w:jc w:val="left"/>
            </w:pPr>
            <w:r>
              <w:rPr>
                <w:rFonts w:ascii="Calibri" w:eastAsia="Microsoft YaHei"/>
                <w:sz w:val="20"/>
                <w:szCs w:val="20"/>
              </w:rPr>
              <w:t xml:space="preserve">Recommendations, matching, fraud detection</w:t>
            </w:r>
          </w:p>
        </w:tc>
        <w:tc>
          <w:tcPr>
            <w:tcW w:type="pct" w:w="15%"/>
            <w:tcMar>
              <w:top w:type="dxa" w:w="60"/>
              <w:left w:type="dxa" w:w="100"/>
              <w:bottom w:type="dxa" w:w="60"/>
              <w:right w:type="dxa" w:w="100"/>
            </w:tcMar>
          </w:tcPr>
          <w:p>
            <w:pPr>
              <w:jc w:val="left"/>
            </w:pPr>
            <w:r>
              <w:rPr>
                <w:rFonts w:ascii="Calibri" w:eastAsia="Microsoft YaHei"/>
                <w:sz w:val="20"/>
                <w:szCs w:val="20"/>
              </w:rPr>
              <w:t xml:space="preserve">PyTorch, scikit-learn</w:t>
            </w:r>
          </w:p>
        </w:tc>
      </w:tr>
    </w:tbl>
    <w:p>
      <w:pPr>
        <w:spacing w:before="300"/>
      </w:pPr>
    </w:p>
    <w:p>
      <w:pPr>
        <w:pStyle w:val="Heading1"/>
        <w:spacing w:after="200" w:before="400" w:line="312"/>
      </w:pPr>
      <w:r>
        <w:rPr>
          <w:rFonts w:ascii="Calibri" w:eastAsia="SimHei"/>
          <w:b/>
          <w:bCs/>
          <w:color w:val="1E3A5F"/>
          <w:sz w:val="32"/>
          <w:szCs w:val="32"/>
        </w:rPr>
        <w:t xml:space="preserve">Infrastructure &amp; Deployment Architecture</w:t>
      </w:r>
    </w:p>
    <w:p>
      <w:pPr>
        <w:pStyle w:val="Heading2"/>
        <w:spacing w:after="160" w:before="300" w:line="312"/>
      </w:pPr>
      <w:r>
        <w:rPr>
          <w:rFonts w:ascii="Calibri" w:eastAsia="SimHei"/>
          <w:b/>
          <w:bCs/>
          <w:color w:val="1E3A5F"/>
          <w:sz w:val="28"/>
          <w:szCs w:val="28"/>
        </w:rPr>
        <w:t xml:space="preserve">Cloud Infrastructure Design</w:t>
      </w:r>
    </w:p>
    <w:p>
      <w:pPr>
        <w:spacing w:after="120" w:line="312"/>
        <w:ind w:firstLine="480"/>
        <w:jc w:val="both"/>
      </w:pPr>
      <w:r>
        <w:rPr>
          <w:rFonts w:ascii="Calibri" w:eastAsia="Microsoft YaHei"/>
          <w:color w:val="2D3748"/>
          <w:sz w:val="24"/>
          <w:szCs w:val="24"/>
        </w:rPr>
        <w:t xml:space="preserve">The proposed architecture follows cloud-native principles emphasizing scalability, reliability, and operational efficiency. Multi-region deployment with primary presence in EU (closest major cloud region to Algeria with mature service availability) and optional disaster recovery replication to second region. All services containerized and orchestrated via Kubernetes enabling horizontal scaling based on demand signals.</w:t>
      </w:r>
    </w:p>
    <w:p>
      <w:pPr>
        <w:spacing w:after="120" w:line="312"/>
        <w:ind w:firstLine="480"/>
        <w:jc w:val="both"/>
      </w:pPr>
      <w:r>
        <w:rPr>
          <w:rFonts w:ascii="Calibri" w:eastAsia="Microsoft YaHei"/>
          <w:color w:val="2D3748"/>
          <w:sz w:val="24"/>
          <w:szCs w:val="24"/>
        </w:rPr>
        <w:t xml:space="preserve">Network Architecture: Content Delivery Network (CloudFront) edge locations serve static assets with latency under 50ms for Algeria-based users. API backend deployed behind Application Load Balancer with SSL termination at edge, encrypting traffic end-to-end to origin servers. Database instances deployed in private subnets without direct internet access; administration via bastion hosts with SSH key authentication only.</w:t>
      </w:r>
    </w:p>
    <w:p>
      <w:pPr>
        <w:spacing w:after="120" w:line="312"/>
        <w:ind w:firstLine="480"/>
        <w:jc w:val="both"/>
      </w:pPr>
      <w:r>
        <w:rPr>
          <w:rFonts w:ascii="Calibri" w:eastAsia="Microsoft YaHei"/>
          <w:color w:val="2D3748"/>
          <w:sz w:val="24"/>
          <w:szCs w:val="24"/>
        </w:rPr>
        <w:t xml:space="preserve">Data Protection: Database snapshots taken nightly with 30-day retention; point-in-time recovery enabled for 72-hour window. Encrypted backups stored in separate region for disaster recovery. Application-level encryption for sensitive fields (payment details, identity documents) using envelope encryption with master keys in AWS KMS. Regular access reviews ensure principle of least privilege maintained.</w:t>
      </w:r>
    </w:p>
    <w:p>
      <w:pPr>
        <w:pStyle w:val="Heading2"/>
        <w:spacing w:after="160" w:before="300" w:line="312"/>
      </w:pPr>
      <w:r>
        <w:rPr>
          <w:rFonts w:ascii="Calibri" w:eastAsia="SimHei"/>
          <w:b/>
          <w:bCs/>
          <w:color w:val="1E3A5F"/>
          <w:sz w:val="28"/>
          <w:szCs w:val="28"/>
        </w:rPr>
        <w:t xml:space="preserve">CI/CD Pipeline</w:t>
      </w:r>
    </w:p>
    <w:p>
      <w:pPr>
        <w:spacing w:after="120" w:line="312"/>
        <w:ind w:firstLine="480"/>
        <w:jc w:val="both"/>
      </w:pPr>
      <w:r>
        <w:rPr>
          <w:rFonts w:ascii="Calibri" w:eastAsia="Microsoft YaHei"/>
          <w:color w:val="2D3748"/>
          <w:sz w:val="24"/>
          <w:szCs w:val="24"/>
        </w:rPr>
        <w:t xml:space="preserve">Source Control: Git-based version control (GitHub/GitLab) with branch protection rules requiring pull request approval for main branch merges. Feature branches per task; main branch always reflects deployable state. Automated dependency scanning for known vulnerabilities; blocked merge if critical CVEs detected in direct dependencies.</w:t>
      </w:r>
    </w:p>
    <w:p>
      <w:pPr>
        <w:spacing w:after="120" w:line="312"/>
        <w:ind w:firstLine="480"/>
        <w:jc w:val="both"/>
      </w:pPr>
      <w:r>
        <w:rPr>
          <w:rFonts w:ascii="Calibri" w:eastAsia="Microsoft YaHei"/>
          <w:color w:val="2D3748"/>
          <w:sz w:val="24"/>
          <w:szCs w:val="24"/>
        </w:rPr>
        <w:t xml:space="preserve">Build Pipeline: Container images built on every commit to feature branches (for development/testing) and main branch (for staging/production). Multi-stage Docker builds minimize final image size and attack surface. Images scanned for vulnerabilities before promotion to production registry. Build artifacts cached aggressively to minimize build times (&lt;5 minutes for typical frontend change).</w:t>
      </w:r>
    </w:p>
    <w:p>
      <w:pPr>
        <w:spacing w:after="120" w:line="312"/>
        <w:ind w:firstLine="480"/>
        <w:jc w:val="both"/>
      </w:pPr>
      <w:r>
        <w:rPr>
          <w:rFonts w:ascii="Calibri" w:eastAsia="Microsoft YaHei"/>
          <w:color w:val="2D3748"/>
          <w:sz w:val="24"/>
          <w:szCs w:val="24"/>
        </w:rPr>
        <w:t xml:space="preserve">Deployment Process: Blue-green deployment strategy enabling zero-downtime releases and instant rollback capability. Canary deployments for high-risk changes (database migrations, payment system updates) routing small percentage of traffic to new version before full rollout. Automated smoke tests validate deployment success; failed deployments trigger automatic rollback with alerting to on-call engineer.</w:t>
      </w:r>
    </w:p>
    <w:p>
      <w:pPr>
        <w:spacing w:before="300"/>
      </w:pPr>
    </w:p>
    <w:p>
      <w:pPr>
        <w:pStyle w:val="Heading1"/>
        <w:spacing w:after="200" w:before="400" w:line="312"/>
      </w:pPr>
      <w:r>
        <w:rPr>
          <w:rFonts w:ascii="Calibri" w:eastAsia="SimHei"/>
          <w:b/>
          <w:bCs/>
          <w:color w:val="1E3A5F"/>
          <w:sz w:val="32"/>
          <w:szCs w:val="32"/>
        </w:rPr>
        <w:t xml:space="preserve">Budget Summary &amp; Investment Overview</w:t>
      </w:r>
    </w:p>
    <w:p>
      <w:pPr>
        <w:spacing w:after="120" w:line="312"/>
        <w:ind w:firstLine="480"/>
        <w:jc w:val="both"/>
      </w:pPr>
      <w:r>
        <w:rPr>
          <w:rFonts w:ascii="Calibri" w:eastAsia="Microsoft YaHei"/>
          <w:color w:val="2D3748"/>
          <w:sz w:val="24"/>
          <w:szCs w:val="24"/>
        </w:rPr>
        <w:t xml:space="preserve">Total projected investment across all five phases ranges from $310,000 (lean team, minimal contingencies) to $445,000 (full team, premium tools, larger contingency). Budget allocation roughly: 60% personnel costs, 20% infrastructure/services, 15% contingency/reserve, 5% licensing/tools. Detailed breakdown by phase enables staged funding decisions with go/no-go gates between phases.</w:t>
      </w:r>
    </w:p>
    <w:tbl>
      <w:tblPr>
        <w:tblW w:type="pct" w:w="100%"/>
        <w:tblBorders>
          <w:top w:val="single" w:color="D0D5DD" w:sz="1"/>
          <w:left w:val="none"/>
          <w:bottom w:val="single" w:color="D0D5DD" w:sz="1"/>
          <w:right w:val="none"/>
          <w:insideH w:val="single" w:color="E5E7EB" w:sz="1"/>
          <w:insideV w:val="single" w:color="E5E7EB" w:sz="1"/>
        </w:tblBorders>
      </w:tblPr>
      <w:tblGrid>
        <w:gridCol w:w="100"/>
        <w:gridCol w:w="100"/>
        <w:gridCol w:w="100"/>
        <w:gridCol w:w="100"/>
        <w:gridCol w:w="100"/>
      </w:tblGrid>
      <w:tr>
        <w:trPr>
          <w:cantSplit/>
          <w:tblHeader/>
        </w:trPr>
        <w:tc>
          <w:tcPr>
            <w:tcW w:type="pct" w:w="20%"/>
            <w:shd w:fill="1E3A5F" w:val="clear"/>
            <w:tcMar>
              <w:top w:type="dxa" w:w="80"/>
              <w:left w:type="dxa" w:w="120"/>
              <w:bottom w:type="dxa" w:w="80"/>
              <w:right w:type="dxa" w:w="120"/>
            </w:tcMar>
          </w:tcPr>
          <w:p>
            <w:r>
              <w:rPr>
                <w:rFonts w:ascii="Calibri" w:eastAsia="Microsoft YaHei"/>
                <w:b/>
                <w:bCs/>
                <w:color w:val="FFFFFF"/>
                <w:sz w:val="21"/>
                <w:szCs w:val="21"/>
              </w:rPr>
              <w:t xml:space="preserve">Phase</w:t>
            </w:r>
          </w:p>
        </w:tc>
        <w:tc>
          <w:tcPr>
            <w:tcW w:type="pct" w:w="15%"/>
            <w:shd w:fill="1E3A5F" w:val="clear"/>
            <w:tcMar>
              <w:top w:type="dxa" w:w="80"/>
              <w:left w:type="dxa" w:w="120"/>
              <w:bottom w:type="dxa" w:w="80"/>
              <w:right w:type="dxa" w:w="120"/>
            </w:tcMar>
          </w:tcPr>
          <w:p>
            <w:r>
              <w:rPr>
                <w:rFonts w:ascii="Calibri" w:eastAsia="Microsoft YaHei"/>
                <w:b/>
                <w:bCs/>
                <w:color w:val="FFFFFF"/>
                <w:sz w:val="21"/>
                <w:szCs w:val="21"/>
              </w:rPr>
              <w:t xml:space="preserve">Duration</w:t>
            </w:r>
          </w:p>
        </w:tc>
        <w:tc>
          <w:tcPr>
            <w:tcW w:type="pct" w:w="22%"/>
            <w:shd w:fill="1E3A5F" w:val="clear"/>
            <w:tcMar>
              <w:top w:type="dxa" w:w="80"/>
              <w:left w:type="dxa" w:w="120"/>
              <w:bottom w:type="dxa" w:w="80"/>
              <w:right w:type="dxa" w:w="120"/>
            </w:tcMar>
          </w:tcPr>
          <w:p>
            <w:r>
              <w:rPr>
                <w:rFonts w:ascii="Calibri" w:eastAsia="Microsoft YaHei"/>
                <w:b/>
                <w:bCs/>
                <w:color w:val="FFFFFF"/>
                <w:sz w:val="21"/>
                <w:szCs w:val="21"/>
              </w:rPr>
              <w:t xml:space="preserve">Low Estimate</w:t>
            </w:r>
          </w:p>
        </w:tc>
        <w:tc>
          <w:tcPr>
            <w:tcW w:type="pct" w:w="22%"/>
            <w:shd w:fill="1E3A5F" w:val="clear"/>
            <w:tcMar>
              <w:top w:type="dxa" w:w="80"/>
              <w:left w:type="dxa" w:w="120"/>
              <w:bottom w:type="dxa" w:w="80"/>
              <w:right w:type="dxa" w:w="120"/>
            </w:tcMar>
          </w:tcPr>
          <w:p>
            <w:r>
              <w:rPr>
                <w:rFonts w:ascii="Calibri" w:eastAsia="Microsoft YaHei"/>
                <w:b/>
                <w:bCs/>
                <w:color w:val="FFFFFF"/>
                <w:sz w:val="21"/>
                <w:szCs w:val="21"/>
              </w:rPr>
              <w:t xml:space="preserve">High Estimate</w:t>
            </w:r>
          </w:p>
        </w:tc>
        <w:tc>
          <w:tcPr>
            <w:tcW w:type="pct" w:w="21%"/>
            <w:shd w:fill="1E3A5F" w:val="clear"/>
            <w:tcMar>
              <w:top w:type="dxa" w:w="80"/>
              <w:left w:type="dxa" w:w="120"/>
              <w:bottom w:type="dxa" w:w="80"/>
              <w:right w:type="dxa" w:w="120"/>
            </w:tcMar>
          </w:tcPr>
          <w:p>
            <w:r>
              <w:rPr>
                <w:rFonts w:ascii="Calibri" w:eastAsia="Microsoft YaHei"/>
                <w:b/>
                <w:bCs/>
                <w:color w:val="FFFFFF"/>
                <w:sz w:val="21"/>
                <w:szCs w:val="21"/>
              </w:rPr>
              <w:t xml:space="preserve">% of Total</w:t>
            </w:r>
          </w:p>
        </w:tc>
      </w:tr>
      <w:tr>
        <w:trPr>
          <w:cantSplit/>
        </w:trPr>
        <w:tc>
          <w:tcPr>
            <w:tcW w:type="pct" w:w="20%"/>
            <w:tcMar>
              <w:top w:type="dxa" w:w="60"/>
              <w:left w:type="dxa" w:w="100"/>
              <w:bottom w:type="dxa" w:w="60"/>
              <w:right w:type="dxa" w:w="100"/>
            </w:tcMar>
          </w:tcPr>
          <w:p>
            <w:pPr>
              <w:jc w:val="left"/>
            </w:pPr>
            <w:r>
              <w:rPr>
                <w:rFonts w:ascii="Calibri" w:eastAsia="Microsoft YaHei"/>
                <w:sz w:val="20"/>
                <w:szCs w:val="20"/>
              </w:rPr>
              <w:t xml:space="preserve">Phase 1: Foundation &amp; MVP</w:t>
            </w:r>
          </w:p>
        </w:tc>
        <w:tc>
          <w:tcPr>
            <w:tcW w:type="pct" w:w="15%"/>
            <w:tcMar>
              <w:top w:type="dxa" w:w="60"/>
              <w:left w:type="dxa" w:w="100"/>
              <w:bottom w:type="dxa" w:w="60"/>
              <w:right w:type="dxa" w:w="100"/>
            </w:tcMar>
          </w:tcPr>
          <w:p>
            <w:pPr>
              <w:jc w:val="center"/>
            </w:pPr>
            <w:r>
              <w:rPr>
                <w:rFonts w:ascii="Calibri" w:eastAsia="Microsoft YaHei"/>
                <w:sz w:val="20"/>
                <w:szCs w:val="20"/>
              </w:rPr>
              <w:t xml:space="preserve">Months 1-3</w:t>
            </w:r>
          </w:p>
        </w:tc>
        <w:tc>
          <w:tcPr>
            <w:tcW w:type="pct" w:w="22%"/>
            <w:tcMar>
              <w:top w:type="dxa" w:w="60"/>
              <w:left w:type="dxa" w:w="100"/>
              <w:bottom w:type="dxa" w:w="60"/>
              <w:right w:type="dxa" w:w="100"/>
            </w:tcMar>
          </w:tcPr>
          <w:p>
            <w:pPr>
              <w:jc w:val="center"/>
            </w:pPr>
            <w:r>
              <w:rPr>
                <w:rFonts w:ascii="Calibri" w:eastAsia="Microsoft YaHei"/>
                <w:sz w:val="20"/>
                <w:szCs w:val="20"/>
              </w:rPr>
              <w:t xml:space="preserve">$45,000</w:t>
            </w:r>
          </w:p>
        </w:tc>
        <w:tc>
          <w:tcPr>
            <w:tcW w:type="pct" w:w="22%"/>
            <w:tcMar>
              <w:top w:type="dxa" w:w="60"/>
              <w:left w:type="dxa" w:w="100"/>
              <w:bottom w:type="dxa" w:w="60"/>
              <w:right w:type="dxa" w:w="100"/>
            </w:tcMar>
          </w:tcPr>
          <w:p>
            <w:pPr>
              <w:jc w:val="center"/>
            </w:pPr>
            <w:r>
              <w:rPr>
                <w:rFonts w:ascii="Calibri" w:eastAsia="Microsoft YaHei"/>
                <w:sz w:val="20"/>
                <w:szCs w:val="20"/>
              </w:rPr>
              <w:t xml:space="preserve">$65,000</w:t>
            </w:r>
          </w:p>
        </w:tc>
        <w:tc>
          <w:tcPr>
            <w:tcW w:type="pct" w:w="21%"/>
            <w:tcMar>
              <w:top w:type="dxa" w:w="60"/>
              <w:left w:type="dxa" w:w="100"/>
              <w:bottom w:type="dxa" w:w="60"/>
              <w:right w:type="dxa" w:w="100"/>
            </w:tcMar>
          </w:tcPr>
          <w:p>
            <w:pPr>
              <w:jc w:val="center"/>
            </w:pPr>
            <w:r>
              <w:rPr>
                <w:rFonts w:ascii="Calibri" w:eastAsia="Microsoft YaHei"/>
                <w:sz w:val="20"/>
                <w:szCs w:val="20"/>
              </w:rPr>
              <w:t xml:space="preserve">14-15%</w:t>
            </w:r>
          </w:p>
        </w:tc>
      </w:tr>
      <w:tr>
        <w:trPr>
          <w:cantSplit/>
        </w:trPr>
        <w:tc>
          <w:tcPr>
            <w:tcW w:type="pct" w:w="20%"/>
            <w:tcMar>
              <w:top w:type="dxa" w:w="60"/>
              <w:left w:type="dxa" w:w="100"/>
              <w:bottom w:type="dxa" w:w="60"/>
              <w:right w:type="dxa" w:w="100"/>
            </w:tcMar>
          </w:tcPr>
          <w:p>
            <w:pPr>
              <w:jc w:val="left"/>
            </w:pPr>
            <w:r>
              <w:rPr>
                <w:rFonts w:ascii="Calibri" w:eastAsia="Microsoft YaHei"/>
                <w:sz w:val="20"/>
                <w:szCs w:val="20"/>
              </w:rPr>
              <w:t xml:space="preserve">Phase 2: Core Trading</w:t>
            </w:r>
          </w:p>
        </w:tc>
        <w:tc>
          <w:tcPr>
            <w:tcW w:type="pct" w:w="15%"/>
            <w:tcMar>
              <w:top w:type="dxa" w:w="60"/>
              <w:left w:type="dxa" w:w="100"/>
              <w:bottom w:type="dxa" w:w="60"/>
              <w:right w:type="dxa" w:w="100"/>
            </w:tcMar>
          </w:tcPr>
          <w:p>
            <w:pPr>
              <w:jc w:val="center"/>
            </w:pPr>
            <w:r>
              <w:rPr>
                <w:rFonts w:ascii="Calibri" w:eastAsia="Microsoft YaHei"/>
                <w:sz w:val="20"/>
                <w:szCs w:val="20"/>
              </w:rPr>
              <w:t xml:space="preserve">Months 4-6</w:t>
            </w:r>
          </w:p>
        </w:tc>
        <w:tc>
          <w:tcPr>
            <w:tcW w:type="pct" w:w="22%"/>
            <w:tcMar>
              <w:top w:type="dxa" w:w="60"/>
              <w:left w:type="dxa" w:w="100"/>
              <w:bottom w:type="dxa" w:w="60"/>
              <w:right w:type="dxa" w:w="100"/>
            </w:tcMar>
          </w:tcPr>
          <w:p>
            <w:pPr>
              <w:jc w:val="center"/>
            </w:pPr>
            <w:r>
              <w:rPr>
                <w:rFonts w:ascii="Calibri" w:eastAsia="Microsoft YaHei"/>
                <w:sz w:val="20"/>
                <w:szCs w:val="20"/>
              </w:rPr>
              <w:t xml:space="preserve">$55,000</w:t>
            </w:r>
          </w:p>
        </w:tc>
        <w:tc>
          <w:tcPr>
            <w:tcW w:type="pct" w:w="22%"/>
            <w:tcMar>
              <w:top w:type="dxa" w:w="60"/>
              <w:left w:type="dxa" w:w="100"/>
              <w:bottom w:type="dxa" w:w="60"/>
              <w:right w:type="dxa" w:w="100"/>
            </w:tcMar>
          </w:tcPr>
          <w:p>
            <w:pPr>
              <w:jc w:val="center"/>
            </w:pPr>
            <w:r>
              <w:rPr>
                <w:rFonts w:ascii="Calibri" w:eastAsia="Microsoft YaHei"/>
                <w:sz w:val="20"/>
                <w:szCs w:val="20"/>
              </w:rPr>
              <w:t xml:space="preserve">$80,000</w:t>
            </w:r>
          </w:p>
        </w:tc>
        <w:tc>
          <w:tcPr>
            <w:tcW w:type="pct" w:w="21%"/>
            <w:tcMar>
              <w:top w:type="dxa" w:w="60"/>
              <w:left w:type="dxa" w:w="100"/>
              <w:bottom w:type="dxa" w:w="60"/>
              <w:right w:type="dxa" w:w="100"/>
            </w:tcMar>
          </w:tcPr>
          <w:p>
            <w:pPr>
              <w:jc w:val="center"/>
            </w:pPr>
            <w:r>
              <w:rPr>
                <w:rFonts w:ascii="Calibri" w:eastAsia="Microsoft YaHei"/>
                <w:sz w:val="20"/>
                <w:szCs w:val="20"/>
              </w:rPr>
              <w:t xml:space="preserve">18%</w:t>
            </w:r>
          </w:p>
        </w:tc>
      </w:tr>
      <w:tr>
        <w:trPr>
          <w:cantSplit/>
        </w:trPr>
        <w:tc>
          <w:tcPr>
            <w:tcW w:type="pct" w:w="20%"/>
            <w:tcMar>
              <w:top w:type="dxa" w:w="60"/>
              <w:left w:type="dxa" w:w="100"/>
              <w:bottom w:type="dxa" w:w="60"/>
              <w:right w:type="dxa" w:w="100"/>
            </w:tcMar>
          </w:tcPr>
          <w:p>
            <w:pPr>
              <w:jc w:val="left"/>
            </w:pPr>
            <w:r>
              <w:rPr>
                <w:rFonts w:ascii="Calibri" w:eastAsia="Microsoft YaHei"/>
                <w:sz w:val="20"/>
                <w:szCs w:val="20"/>
              </w:rPr>
              <w:t xml:space="preserve">Phase 3: Transactions</w:t>
            </w:r>
          </w:p>
        </w:tc>
        <w:tc>
          <w:tcPr>
            <w:tcW w:type="pct" w:w="15%"/>
            <w:tcMar>
              <w:top w:type="dxa" w:w="60"/>
              <w:left w:type="dxa" w:w="100"/>
              <w:bottom w:type="dxa" w:w="60"/>
              <w:right w:type="dxa" w:w="100"/>
            </w:tcMar>
          </w:tcPr>
          <w:p>
            <w:pPr>
              <w:jc w:val="center"/>
            </w:pPr>
            <w:r>
              <w:rPr>
                <w:rFonts w:ascii="Calibri" w:eastAsia="Microsoft YaHei"/>
                <w:sz w:val="20"/>
                <w:szCs w:val="20"/>
              </w:rPr>
              <w:t xml:space="preserve">Months 7-9</w:t>
            </w:r>
          </w:p>
        </w:tc>
        <w:tc>
          <w:tcPr>
            <w:tcW w:type="pct" w:w="22%"/>
            <w:tcMar>
              <w:top w:type="dxa" w:w="60"/>
              <w:left w:type="dxa" w:w="100"/>
              <w:bottom w:type="dxa" w:w="60"/>
              <w:right w:type="dxa" w:w="100"/>
            </w:tcMar>
          </w:tcPr>
          <w:p>
            <w:pPr>
              <w:jc w:val="center"/>
            </w:pPr>
            <w:r>
              <w:rPr>
                <w:rFonts w:ascii="Calibri" w:eastAsia="Microsoft YaHei"/>
                <w:sz w:val="20"/>
                <w:szCs w:val="20"/>
              </w:rPr>
              <w:t xml:space="preserve">$70,000</w:t>
            </w:r>
          </w:p>
        </w:tc>
        <w:tc>
          <w:tcPr>
            <w:tcW w:type="pct" w:w="22%"/>
            <w:tcMar>
              <w:top w:type="dxa" w:w="60"/>
              <w:left w:type="dxa" w:w="100"/>
              <w:bottom w:type="dxa" w:w="60"/>
              <w:right w:type="dxa" w:w="100"/>
            </w:tcMar>
          </w:tcPr>
          <w:p>
            <w:pPr>
              <w:jc w:val="center"/>
            </w:pPr>
            <w:r>
              <w:rPr>
                <w:rFonts w:ascii="Calibri" w:eastAsia="Microsoft YaHei"/>
                <w:sz w:val="20"/>
                <w:szCs w:val="20"/>
              </w:rPr>
              <w:t xml:space="preserve">$95,000</w:t>
            </w:r>
          </w:p>
        </w:tc>
        <w:tc>
          <w:tcPr>
            <w:tcW w:type="pct" w:w="21%"/>
            <w:tcMar>
              <w:top w:type="dxa" w:w="60"/>
              <w:left w:type="dxa" w:w="100"/>
              <w:bottom w:type="dxa" w:w="60"/>
              <w:right w:type="dxa" w:w="100"/>
            </w:tcMar>
          </w:tcPr>
          <w:p>
            <w:pPr>
              <w:jc w:val="center"/>
            </w:pPr>
            <w:r>
              <w:rPr>
                <w:rFonts w:ascii="Calibri" w:eastAsia="Microsoft YaHei"/>
                <w:sz w:val="20"/>
                <w:szCs w:val="20"/>
              </w:rPr>
              <w:t xml:space="preserve">21-22%</w:t>
            </w:r>
          </w:p>
        </w:tc>
      </w:tr>
      <w:tr>
        <w:trPr>
          <w:cantSplit/>
        </w:trPr>
        <w:tc>
          <w:tcPr>
            <w:tcW w:type="pct" w:w="20%"/>
            <w:tcMar>
              <w:top w:type="dxa" w:w="60"/>
              <w:left w:type="dxa" w:w="100"/>
              <w:bottom w:type="dxa" w:w="60"/>
              <w:right w:type="dxa" w:w="100"/>
            </w:tcMar>
          </w:tcPr>
          <w:p>
            <w:pPr>
              <w:jc w:val="left"/>
            </w:pPr>
            <w:r>
              <w:rPr>
                <w:rFonts w:ascii="Calibri" w:eastAsia="Microsoft YaHei"/>
                <w:sz w:val="20"/>
                <w:szCs w:val="20"/>
              </w:rPr>
              <w:t xml:space="preserve">Phase 4: Logistics</w:t>
            </w:r>
          </w:p>
        </w:tc>
        <w:tc>
          <w:tcPr>
            <w:tcW w:type="pct" w:w="15%"/>
            <w:tcMar>
              <w:top w:type="dxa" w:w="60"/>
              <w:left w:type="dxa" w:w="100"/>
              <w:bottom w:type="dxa" w:w="60"/>
              <w:right w:type="dxa" w:w="100"/>
            </w:tcMar>
          </w:tcPr>
          <w:p>
            <w:pPr>
              <w:jc w:val="center"/>
            </w:pPr>
            <w:r>
              <w:rPr>
                <w:rFonts w:ascii="Calibri" w:eastAsia="Microsoft YaHei"/>
                <w:sz w:val="20"/>
                <w:szCs w:val="20"/>
              </w:rPr>
              <w:t xml:space="preserve">Months 10-12</w:t>
            </w:r>
          </w:p>
        </w:tc>
        <w:tc>
          <w:tcPr>
            <w:tcW w:type="pct" w:w="22%"/>
            <w:tcMar>
              <w:top w:type="dxa" w:w="60"/>
              <w:left w:type="dxa" w:w="100"/>
              <w:bottom w:type="dxa" w:w="60"/>
              <w:right w:type="dxa" w:w="100"/>
            </w:tcMar>
          </w:tcPr>
          <w:p>
            <w:pPr>
              <w:jc w:val="center"/>
            </w:pPr>
            <w:r>
              <w:rPr>
                <w:rFonts w:ascii="Calibri" w:eastAsia="Microsoft YaHei"/>
                <w:sz w:val="20"/>
                <w:szCs w:val="20"/>
              </w:rPr>
              <w:t xml:space="preserve">$60,000</w:t>
            </w:r>
          </w:p>
        </w:tc>
        <w:tc>
          <w:tcPr>
            <w:tcW w:type="pct" w:w="22%"/>
            <w:tcMar>
              <w:top w:type="dxa" w:w="60"/>
              <w:left w:type="dxa" w:w="100"/>
              <w:bottom w:type="dxa" w:w="60"/>
              <w:right w:type="dxa" w:w="100"/>
            </w:tcMar>
          </w:tcPr>
          <w:p>
            <w:pPr>
              <w:jc w:val="center"/>
            </w:pPr>
            <w:r>
              <w:rPr>
                <w:rFonts w:ascii="Calibri" w:eastAsia="Microsoft YaHei"/>
                <w:sz w:val="20"/>
                <w:szCs w:val="20"/>
              </w:rPr>
              <w:t xml:space="preserve">$85,000</w:t>
            </w:r>
          </w:p>
        </w:tc>
        <w:tc>
          <w:tcPr>
            <w:tcW w:type="pct" w:w="21%"/>
            <w:tcMar>
              <w:top w:type="dxa" w:w="60"/>
              <w:left w:type="dxa" w:w="100"/>
              <w:bottom w:type="dxa" w:w="60"/>
              <w:right w:type="dxa" w:w="100"/>
            </w:tcMar>
          </w:tcPr>
          <w:p>
            <w:pPr>
              <w:jc w:val="center"/>
            </w:pPr>
            <w:r>
              <w:rPr>
                <w:rFonts w:ascii="Calibri" w:eastAsia="Microsoft YaHei"/>
                <w:sz w:val="20"/>
                <w:szCs w:val="20"/>
              </w:rPr>
              <w:t xml:space="preserve">19%</w:t>
            </w:r>
          </w:p>
        </w:tc>
      </w:tr>
      <w:tr>
        <w:trPr>
          <w:cantSplit/>
        </w:trPr>
        <w:tc>
          <w:tcPr>
            <w:tcW w:type="pct" w:w="20%"/>
            <w:tcMar>
              <w:top w:type="dxa" w:w="60"/>
              <w:left w:type="dxa" w:w="100"/>
              <w:bottom w:type="dxa" w:w="60"/>
              <w:right w:type="dxa" w:w="100"/>
            </w:tcMar>
          </w:tcPr>
          <w:p>
            <w:pPr>
              <w:jc w:val="left"/>
            </w:pPr>
            <w:r>
              <w:rPr>
                <w:rFonts w:ascii="Calibri" w:eastAsia="Microsoft YaHei"/>
                <w:sz w:val="20"/>
                <w:szCs w:val="20"/>
              </w:rPr>
              <w:t xml:space="preserve">Phase 5: Growth</w:t>
            </w:r>
          </w:p>
        </w:tc>
        <w:tc>
          <w:tcPr>
            <w:tcW w:type="pct" w:w="15%"/>
            <w:tcMar>
              <w:top w:type="dxa" w:w="60"/>
              <w:left w:type="dxa" w:w="100"/>
              <w:bottom w:type="dxa" w:w="60"/>
              <w:right w:type="dxa" w:w="100"/>
            </w:tcMar>
          </w:tcPr>
          <w:p>
            <w:pPr>
              <w:jc w:val="center"/>
            </w:pPr>
            <w:r>
              <w:rPr>
                <w:rFonts w:ascii="Calibri" w:eastAsia="Microsoft YaHei"/>
                <w:sz w:val="20"/>
                <w:szCs w:val="20"/>
              </w:rPr>
              <w:t xml:space="preserve">Months 13-18</w:t>
            </w:r>
          </w:p>
        </w:tc>
        <w:tc>
          <w:tcPr>
            <w:tcW w:type="pct" w:w="22%"/>
            <w:tcMar>
              <w:top w:type="dxa" w:w="60"/>
              <w:left w:type="dxa" w:w="100"/>
              <w:bottom w:type="dxa" w:w="60"/>
              <w:right w:type="dxa" w:w="100"/>
            </w:tcMar>
          </w:tcPr>
          <w:p>
            <w:pPr>
              <w:jc w:val="center"/>
            </w:pPr>
            <w:r>
              <w:rPr>
                <w:rFonts w:ascii="Calibri" w:eastAsia="Microsoft YaHei"/>
                <w:sz w:val="20"/>
                <w:szCs w:val="20"/>
              </w:rPr>
              <w:t xml:space="preserve">$80,000</w:t>
            </w:r>
          </w:p>
        </w:tc>
        <w:tc>
          <w:tcPr>
            <w:tcW w:type="pct" w:w="22%"/>
            <w:tcMar>
              <w:top w:type="dxa" w:w="60"/>
              <w:left w:type="dxa" w:w="100"/>
              <w:bottom w:type="dxa" w:w="60"/>
              <w:right w:type="dxa" w:w="100"/>
            </w:tcMar>
          </w:tcPr>
          <w:p>
            <w:pPr>
              <w:jc w:val="center"/>
            </w:pPr>
            <w:r>
              <w:rPr>
                <w:rFonts w:ascii="Calibri" w:eastAsia="Microsoft YaHei"/>
                <w:sz w:val="20"/>
                <w:szCs w:val="20"/>
              </w:rPr>
              <w:t xml:space="preserve">$120,000</w:t>
            </w:r>
          </w:p>
        </w:tc>
        <w:tc>
          <w:tcPr>
            <w:tcW w:type="pct" w:w="21%"/>
            <w:tcMar>
              <w:top w:type="dxa" w:w="60"/>
              <w:left w:type="dxa" w:w="100"/>
              <w:bottom w:type="dxa" w:w="60"/>
              <w:right w:type="dxa" w:w="100"/>
            </w:tcMar>
          </w:tcPr>
          <w:p>
            <w:pPr>
              <w:jc w:val="center"/>
            </w:pPr>
            <w:r>
              <w:rPr>
                <w:rFonts w:ascii="Calibri" w:eastAsia="Microsoft YaHei"/>
                <w:sz w:val="20"/>
                <w:szCs w:val="20"/>
              </w:rPr>
              <w:t xml:space="preserve">26-27%</w:t>
            </w:r>
          </w:p>
        </w:tc>
      </w:tr>
      <w:tr>
        <w:trPr>
          <w:cantSplit/>
        </w:trPr>
        <w:tc>
          <w:tcPr>
            <w:tcW w:type="pct" w:w="20%"/>
            <w:shd w:fill="F7FAFC" w:val="clear"/>
            <w:tcMar>
              <w:top w:type="dxa" w:w="80"/>
              <w:left w:type="dxa" w:w="100"/>
              <w:bottom w:type="dxa" w:w="80"/>
              <w:right w:type="dxa" w:w="100"/>
            </w:tcMar>
          </w:tcPr>
          <w:p>
            <w:pPr>
              <w:jc w:val="left"/>
            </w:pPr>
            <w:r>
              <w:rPr>
                <w:rFonts w:ascii="Calibri" w:eastAsia="Microsoft YaHei"/>
                <w:b/>
                <w:bCs/>
                <w:sz w:val="21"/>
                <w:szCs w:val="21"/>
              </w:rPr>
              <w:t xml:space="preserve">TOTAL</w:t>
            </w:r>
          </w:p>
        </w:tc>
        <w:tc>
          <w:tcPr>
            <w:tcW w:type="pct" w:w="15%"/>
            <w:tcMar>
              <w:top w:type="dxa" w:w="60"/>
              <w:left w:type="dxa" w:w="100"/>
              <w:bottom w:type="dxa" w:w="60"/>
              <w:right w:type="dxa" w:w="100"/>
            </w:tcMar>
          </w:tcPr>
          <w:p>
            <w:pPr>
              <w:jc w:val="center"/>
            </w:pPr>
            <w:r>
              <w:rPr>
                <w:rFonts w:ascii="Calibri" w:eastAsia="Microsoft YaHei"/>
                <w:sz w:val="20"/>
                <w:szCs w:val="20"/>
              </w:rPr>
              <w:t xml:space="preserve">18 Months</w:t>
            </w:r>
          </w:p>
        </w:tc>
        <w:tc>
          <w:tcPr>
            <w:tcW w:type="pct" w:w="22%"/>
            <w:shd w:fill="F7FAFC" w:val="clear"/>
            <w:tcMar>
              <w:top w:type="dxa" w:w="80"/>
              <w:left w:type="dxa" w:w="100"/>
              <w:bottom w:type="dxa" w:w="80"/>
              <w:right w:type="dxa" w:w="100"/>
            </w:tcMar>
          </w:tcPr>
          <w:p>
            <w:pPr>
              <w:jc w:val="center"/>
            </w:pPr>
            <w:r>
              <w:rPr>
                <w:rFonts w:ascii="Calibri" w:eastAsia="Microsoft YaHei"/>
                <w:b/>
                <w:bCs/>
                <w:color w:val="38A169"/>
                <w:sz w:val="21"/>
                <w:szCs w:val="21"/>
              </w:rPr>
              <w:t xml:space="preserve">$310,000</w:t>
            </w:r>
          </w:p>
        </w:tc>
        <w:tc>
          <w:tcPr>
            <w:tcW w:type="pct" w:w="22%"/>
            <w:shd w:fill="F7FAFC" w:val="clear"/>
            <w:tcMar>
              <w:top w:type="dxa" w:w="80"/>
              <w:left w:type="dxa" w:w="100"/>
              <w:bottom w:type="dxa" w:w="80"/>
              <w:right w:type="dxa" w:w="100"/>
            </w:tcMar>
          </w:tcPr>
          <w:p>
            <w:pPr>
              <w:jc w:val="center"/>
            </w:pPr>
            <w:r>
              <w:rPr>
                <w:rFonts w:ascii="Calibri" w:eastAsia="Microsoft YaHei"/>
                <w:b/>
                <w:bCs/>
                <w:color w:val="38A169"/>
                <w:sz w:val="21"/>
                <w:szCs w:val="21"/>
              </w:rPr>
              <w:t xml:space="preserve">$445,000</w:t>
            </w:r>
          </w:p>
        </w:tc>
        <w:tc>
          <w:tcPr>
            <w:tcW w:type="pct" w:w="21%"/>
            <w:tcMar>
              <w:top w:type="dxa" w:w="60"/>
              <w:left w:type="dxa" w:w="100"/>
              <w:bottom w:type="dxa" w:w="60"/>
              <w:right w:type="dxa" w:w="100"/>
            </w:tcMar>
          </w:tcPr>
          <w:p>
            <w:pPr>
              <w:jc w:val="center"/>
            </w:pPr>
            <w:r>
              <w:rPr>
                <w:rFonts w:ascii="Calibri" w:eastAsia="Microsoft YaHei"/>
                <w:sz w:val="20"/>
                <w:szCs w:val="20"/>
              </w:rPr>
              <w:t xml:space="preserve">100%</w:t>
            </w:r>
          </w:p>
        </w:tc>
      </w:tr>
    </w:tbl>
    <w:p>
      <w:pPr>
        <w:spacing w:before="200"/>
      </w:pPr>
    </w:p>
    <w:p>
      <w:pPr>
        <w:pStyle w:val="Heading2"/>
        <w:spacing w:after="160" w:before="300" w:line="312"/>
      </w:pPr>
      <w:r>
        <w:rPr>
          <w:rFonts w:ascii="Calibri" w:eastAsia="SimHei"/>
          <w:b/>
          <w:bCs/>
          <w:color w:val="1E3A5F"/>
          <w:sz w:val="28"/>
          <w:szCs w:val="28"/>
        </w:rPr>
        <w:t xml:space="preserve">Ongoing Operational Costs (Post-Launch)</w:t>
      </w:r>
    </w:p>
    <w:p>
      <w:pPr>
        <w:spacing w:after="120" w:line="312"/>
        <w:ind w:firstLine="480"/>
        <w:jc w:val="both"/>
      </w:pPr>
      <w:r>
        <w:rPr>
          <w:rFonts w:ascii="Calibri" w:eastAsia="Microsoft YaHei"/>
          <w:color w:val="2D3748"/>
          <w:sz w:val="24"/>
          <w:szCs w:val="24"/>
        </w:rPr>
        <w:t xml:space="preserve">Beyond development investment, anticipate monthly operational costs for running the production platform. These estimates assume steady-state operation post-Phase 3 (when transaction features are live); earlier phases have lower infrastructure needs but also lower revenue offset. Costs scale with user base and transaction volume; figures below represent Month 12-18 projections.</w:t>
      </w:r>
    </w:p>
    <w:p>
      <w:pPr>
        <w:spacing w:after="100" w:line="312"/>
      </w:pPr>
      <w:r>
        <w:rPr>
          <w:rFonts w:ascii="Calibri" w:eastAsia="Microsoft YaHei"/>
          <w:color w:val="2D3748"/>
          <w:sz w:val="24"/>
          <w:szCs w:val="24"/>
        </w:rPr>
        <w:t xml:space="preserve">Cloud Infrastructure (AWS/Azure): $3,000-8,000/month depending on compute instances, database sizing, data transfer volumes, and CDN bandwidth usage. Auto-scaling configurations set minimum baselines with burst capacity for peak periods (business hours, promotional campaigns). Reserved instance purchases (1-3 year terms) offer 30-60% savings over on-demand pricing for predictable workload components.</w:t>
      </w:r>
    </w:p>
    <w:p>
      <w:pPr>
        <w:spacing w:after="100" w:line="312"/>
      </w:pPr>
      <w:r>
        <w:rPr>
          <w:rFonts w:ascii="Calibri" w:eastAsia="Microsoft YaHei"/>
          <w:color w:val="2D3748"/>
          <w:sz w:val="24"/>
          <w:szCs w:val="24"/>
        </w:rPr>
        <w:t xml:space="preserve">Third-Party Services: $1,500-3,000/month including payment processing fees (typically 2-3% transaction volume plus per-transaction fees), email delivery services (SendGrid/Mailgun), SMS notifications (Twilio or local alternative), monitoring/alerting (DataDog/New Relic), and security scanning (Snyk/Detectify). Some costs variable with volume (payment fees, SMS); others fixed monthly subscriptions.</w:t>
      </w:r>
    </w:p>
    <w:p>
      <w:pPr>
        <w:spacing w:after="100" w:line="312"/>
      </w:pPr>
      <w:r>
        <w:rPr>
          <w:rFonts w:ascii="Calibri" w:eastAsia="Microsoft YaHei"/>
          <w:color w:val="2D3748"/>
          <w:sz w:val="24"/>
          <w:szCs w:val="24"/>
        </w:rPr>
        <w:t xml:space="preserve">Personnel (Operations): $15,000-25,000/month for ongoing team maintaining and enhancing platform post-launch. Core team of 4-6 including devops (infrastructure reliability, security patching), backend developer (bug fixes, small enhancements), content manager (category maintenance, quality control), and customer support (user inquiries, dispute assistance). Costs decrease relative to revenue as automation matures but never eliminate need for human judgment in complex cases.</w:t>
      </w:r>
    </w:p>
    <w:p>
      <w:pPr>
        <w:spacing w:before="400"/>
      </w:pPr>
    </w:p>
    <w:p>
      <w:pPr>
        <w:pStyle w:val="Heading1"/>
        <w:spacing w:after="200" w:before="400" w:line="312"/>
      </w:pPr>
      <w:r>
        <w:rPr>
          <w:rFonts w:ascii="Calibri" w:eastAsia="SimHei"/>
          <w:b/>
          <w:bCs/>
          <w:color w:val="1E3A5F"/>
          <w:sz w:val="32"/>
          <w:szCs w:val="32"/>
        </w:rPr>
        <w:t xml:space="preserve">Immediate Next Steps &amp; Action Items</w:t>
      </w:r>
    </w:p>
    <w:p>
      <w:pPr>
        <w:spacing w:after="120" w:line="312"/>
        <w:ind w:firstLine="480"/>
        <w:jc w:val="both"/>
      </w:pPr>
      <w:r>
        <w:rPr>
          <w:rFonts w:ascii="Calibri" w:eastAsia="Microsoft YaHei"/>
          <w:color w:val="2D3748"/>
          <w:sz w:val="24"/>
          <w:szCs w:val="24"/>
        </w:rPr>
        <w:t xml:space="preserve">To initiate the AlgeriaTrade.dz production plan execution, the following actions should be completed within the first two weeks. These foundational activities set conditions for successful Phase 1 kickoff and demonstrate organizational commitment to the project. Delays in these preparatory steps inevitably cascade into later phases; prioritization and decisive action here pays dividends throughout the 18-month journey.</w:t>
      </w:r>
    </w:p>
    <w:p>
      <w:pPr>
        <w:pStyle w:val="Heading3"/>
        <w:spacing w:after="120" w:before="240" w:line="312"/>
      </w:pPr>
      <w:r>
        <w:rPr>
          <w:rFonts w:ascii="Calibri" w:eastAsia="SimHei"/>
          <w:b/>
          <w:bCs/>
          <w:color w:val="2D3748"/>
          <w:sz w:val="24"/>
          <w:szCs w:val="24"/>
        </w:rPr>
        <w:t xml:space="preserve">Week 1: Foundation Activities</w:t>
      </w:r>
    </w:p>
    <w:tbl>
      <w:tblPr>
        <w:tblW w:type="pct" w:w="100%"/>
        <w:tblBorders>
          <w:top w:val="single" w:color="D0D5DD" w:sz="1"/>
          <w:left w:val="none"/>
          <w:bottom w:val="single" w:color="D0D5DD" w:sz="1"/>
          <w:right w:val="none"/>
          <w:insideH w:val="single" w:color="E5E7EB" w:sz="1"/>
          <w:insideV w:val="single" w:color="E5E7EB" w:sz="1"/>
        </w:tblBorders>
      </w:tblPr>
      <w:tblGrid>
        <w:gridCol w:w="100"/>
        <w:gridCol w:w="100"/>
        <w:gridCol w:w="100"/>
        <w:gridCol w:w="100"/>
      </w:tblGrid>
      <w:tr>
        <w:trPr>
          <w:cantSplit/>
          <w:tblHeader/>
        </w:trPr>
        <w:tc>
          <w:tcPr>
            <w:tcW w:type="pct" w:w="45%"/>
            <w:shd w:fill="1E3A5F" w:val="clear"/>
            <w:tcMar>
              <w:top w:type="dxa" w:w="80"/>
              <w:left w:type="dxa" w:w="120"/>
              <w:bottom w:type="dxa" w:w="80"/>
              <w:right w:type="dxa" w:w="120"/>
            </w:tcMar>
          </w:tcPr>
          <w:p>
            <w:r>
              <w:rPr>
                <w:rFonts w:ascii="Calibri" w:eastAsia="Microsoft YaHei"/>
                <w:b/>
                <w:bCs/>
                <w:color w:val="FFFFFF"/>
                <w:sz w:val="21"/>
                <w:szCs w:val="21"/>
              </w:rPr>
              <w:t xml:space="preserve">Action Item</w:t>
            </w:r>
          </w:p>
        </w:tc>
        <w:tc>
          <w:tcPr>
            <w:tcW w:type="pct" w:w="20%"/>
            <w:shd w:fill="1E3A5F" w:val="clear"/>
            <w:tcMar>
              <w:top w:type="dxa" w:w="80"/>
              <w:left w:type="dxa" w:w="120"/>
              <w:bottom w:type="dxa" w:w="80"/>
              <w:right w:type="dxa" w:w="120"/>
            </w:tcMar>
          </w:tcPr>
          <w:p>
            <w:r>
              <w:rPr>
                <w:rFonts w:ascii="Calibri" w:eastAsia="Microsoft YaHei"/>
                <w:b/>
                <w:bCs/>
                <w:color w:val="FFFFFF"/>
                <w:sz w:val="21"/>
                <w:szCs w:val="21"/>
              </w:rPr>
              <w:t xml:space="preserve">Owner</w:t>
            </w:r>
          </w:p>
        </w:tc>
        <w:tc>
          <w:tcPr>
            <w:tcW w:type="pct" w:w="15%"/>
            <w:shd w:fill="1E3A5F" w:val="clear"/>
            <w:tcMar>
              <w:top w:type="dxa" w:w="80"/>
              <w:left w:type="dxa" w:w="120"/>
              <w:bottom w:type="dxa" w:w="80"/>
              <w:right w:type="dxa" w:w="120"/>
            </w:tcMar>
          </w:tcPr>
          <w:p>
            <w:r>
              <w:rPr>
                <w:rFonts w:ascii="Calibri" w:eastAsia="Microsoft YaHei"/>
                <w:b/>
                <w:bCs/>
                <w:color w:val="FFFFFF"/>
                <w:sz w:val="21"/>
                <w:szCs w:val="21"/>
              </w:rPr>
              <w:t xml:space="preserve">Deadline</w:t>
            </w:r>
          </w:p>
        </w:tc>
        <w:tc>
          <w:tcPr>
            <w:tcW w:type="pct" w:w="20%"/>
            <w:shd w:fill="1E3A5F" w:val="clear"/>
            <w:tcMar>
              <w:top w:type="dxa" w:w="80"/>
              <w:left w:type="dxa" w:w="120"/>
              <w:bottom w:type="dxa" w:w="80"/>
              <w:right w:type="dxa" w:w="120"/>
            </w:tcMar>
          </w:tcPr>
          <w:p>
            <w:r>
              <w:rPr>
                <w:rFonts w:ascii="Calibri" w:eastAsia="Microsoft YaHei"/>
                <w:b/>
                <w:bCs/>
                <w:color w:val="FFFFFF"/>
                <w:sz w:val="21"/>
                <w:szCs w:val="21"/>
              </w:rPr>
              <w:t xml:space="preserve">Output</w:t>
            </w:r>
          </w:p>
        </w:tc>
      </w:tr>
      <w:tr>
        <w:trPr>
          <w:cantSplit/>
        </w:trPr>
        <w:tc>
          <w:tcPr>
            <w:tcW w:type="pct" w:w="45%"/>
            <w:tcMar>
              <w:top w:type="dxa" w:w="60"/>
              <w:left w:type="dxa" w:w="100"/>
              <w:bottom w:type="dxa" w:w="60"/>
              <w:right w:type="dxa" w:w="100"/>
            </w:tcMar>
          </w:tcPr>
          <w:p>
            <w:pPr>
              <w:jc w:val="left"/>
            </w:pPr>
            <w:r>
              <w:rPr>
                <w:rFonts w:ascii="Calibri" w:eastAsia="Microsoft YaHei"/>
                <w:sz w:val="20"/>
                <w:szCs w:val="20"/>
              </w:rPr>
              <w:t xml:space="preserve">Finalize project funding approval</w:t>
            </w:r>
          </w:p>
        </w:tc>
        <w:tc>
          <w:tcPr>
            <w:tcW w:type="pct" w:w="20%"/>
            <w:tcMar>
              <w:top w:type="dxa" w:w="60"/>
              <w:left w:type="dxa" w:w="100"/>
              <w:bottom w:type="dxa" w:w="60"/>
              <w:right w:type="dxa" w:w="100"/>
            </w:tcMar>
          </w:tcPr>
          <w:p>
            <w:pPr>
              <w:jc w:val="left"/>
            </w:pPr>
            <w:r>
              <w:rPr>
                <w:rFonts w:ascii="Calibri" w:eastAsia="Microsoft YaHei"/>
                <w:sz w:val="20"/>
                <w:szCs w:val="20"/>
              </w:rPr>
              <w:t xml:space="preserve">Executive Sponsor</w:t>
            </w:r>
          </w:p>
        </w:tc>
        <w:tc>
          <w:tcPr>
            <w:tcW w:type="pct" w:w="15%"/>
            <w:tcMar>
              <w:top w:type="dxa" w:w="60"/>
              <w:left w:type="dxa" w:w="100"/>
              <w:bottom w:type="dxa" w:w="60"/>
              <w:right w:type="dxa" w:w="100"/>
            </w:tcMar>
          </w:tcPr>
          <w:p>
            <w:pPr>
              <w:jc w:val="center"/>
            </w:pPr>
            <w:r>
              <w:rPr>
                <w:rFonts w:ascii="Calibri" w:eastAsia="Microsoft YaHei"/>
                <w:sz w:val="20"/>
                <w:szCs w:val="20"/>
              </w:rPr>
              <w:t xml:space="preserve">Day 3</w:t>
            </w:r>
          </w:p>
        </w:tc>
        <w:tc>
          <w:tcPr>
            <w:tcW w:type="pct" w:w="20%"/>
            <w:tcMar>
              <w:top w:type="dxa" w:w="60"/>
              <w:left w:type="dxa" w:w="100"/>
              <w:bottom w:type="dxa" w:w="60"/>
              <w:right w:type="dxa" w:w="100"/>
            </w:tcMar>
          </w:tcPr>
          <w:p>
            <w:pPr>
              <w:jc w:val="left"/>
            </w:pPr>
            <w:r>
              <w:rPr>
                <w:rFonts w:ascii="Calibri" w:eastAsia="Microsoft YaHei"/>
                <w:sz w:val="20"/>
                <w:szCs w:val="20"/>
              </w:rPr>
              <w:t xml:space="preserve">Signed budget authorization</w:t>
            </w:r>
          </w:p>
        </w:tc>
      </w:tr>
      <w:tr>
        <w:trPr>
          <w:cantSplit/>
        </w:trPr>
        <w:tc>
          <w:tcPr>
            <w:tcW w:type="pct" w:w="45%"/>
            <w:tcMar>
              <w:top w:type="dxa" w:w="60"/>
              <w:left w:type="dxa" w:w="100"/>
              <w:bottom w:type="dxa" w:w="60"/>
              <w:right w:type="dxa" w:w="100"/>
            </w:tcMar>
          </w:tcPr>
          <w:p>
            <w:pPr>
              <w:jc w:val="left"/>
            </w:pPr>
            <w:r>
              <w:rPr>
                <w:rFonts w:ascii="Calibri" w:eastAsia="Microsoft YaHei"/>
                <w:sz w:val="20"/>
                <w:szCs w:val="20"/>
              </w:rPr>
              <w:t xml:space="preserve">Recruit/hire Project Manager</w:t>
            </w:r>
          </w:p>
        </w:tc>
        <w:tc>
          <w:tcPr>
            <w:tcW w:type="pct" w:w="20%"/>
            <w:tcMar>
              <w:top w:type="dxa" w:w="60"/>
              <w:left w:type="dxa" w:w="100"/>
              <w:bottom w:type="dxa" w:w="60"/>
              <w:right w:type="dxa" w:w="100"/>
            </w:tcMar>
          </w:tcPr>
          <w:p>
            <w:pPr>
              <w:jc w:val="left"/>
            </w:pPr>
            <w:r>
              <w:rPr>
                <w:rFonts w:ascii="Calibri" w:eastAsia="Microsoft YaHei"/>
                <w:sz w:val="20"/>
                <w:szCs w:val="20"/>
              </w:rPr>
              <w:t xml:space="preserve">HR/Hiring Manager</w:t>
            </w:r>
          </w:p>
        </w:tc>
        <w:tc>
          <w:tcPr>
            <w:tcW w:type="pct" w:w="15%"/>
            <w:tcMar>
              <w:top w:type="dxa" w:w="60"/>
              <w:left w:type="dxa" w:w="100"/>
              <w:bottom w:type="dxa" w:w="60"/>
              <w:right w:type="dxa" w:w="100"/>
            </w:tcMar>
          </w:tcPr>
          <w:p>
            <w:pPr>
              <w:jc w:val="center"/>
            </w:pPr>
            <w:r>
              <w:rPr>
                <w:rFonts w:ascii="Calibri" w:eastAsia="Microsoft YaHei"/>
                <w:sz w:val="20"/>
                <w:szCs w:val="20"/>
              </w:rPr>
              <w:t xml:space="preserve">Day 5</w:t>
            </w:r>
          </w:p>
        </w:tc>
        <w:tc>
          <w:tcPr>
            <w:tcW w:type="pct" w:w="20%"/>
            <w:tcMar>
              <w:top w:type="dxa" w:w="60"/>
              <w:left w:type="dxa" w:w="100"/>
              <w:bottom w:type="dxa" w:w="60"/>
              <w:right w:type="dxa" w:w="100"/>
            </w:tcMar>
          </w:tcPr>
          <w:p>
            <w:pPr>
              <w:jc w:val="left"/>
            </w:pPr>
            <w:r>
              <w:rPr>
                <w:rFonts w:ascii="Calibri" w:eastAsia="Microsoft YaHei"/>
                <w:sz w:val="20"/>
                <w:szCs w:val="20"/>
              </w:rPr>
              <w:t xml:space="preserve">PM candidate selected/onboarding</w:t>
            </w:r>
          </w:p>
        </w:tc>
      </w:tr>
      <w:tr>
        <w:trPr>
          <w:cantSplit/>
        </w:trPr>
        <w:tc>
          <w:tcPr>
            <w:tcW w:type="pct" w:w="45%"/>
            <w:tcMar>
              <w:top w:type="dxa" w:w="60"/>
              <w:left w:type="dxa" w:w="100"/>
              <w:bottom w:type="dxa" w:w="60"/>
              <w:right w:type="dxa" w:w="100"/>
            </w:tcMar>
          </w:tcPr>
          <w:p>
            <w:pPr>
              <w:jc w:val="left"/>
            </w:pPr>
            <w:r>
              <w:rPr>
                <w:rFonts w:ascii="Calibri" w:eastAsia="Microsoft YaHei"/>
                <w:sz w:val="20"/>
                <w:szCs w:val="20"/>
              </w:rPr>
              <w:t xml:space="preserve">Establish development workspace (GitHub, Slack, Jira)</w:t>
            </w:r>
          </w:p>
        </w:tc>
        <w:tc>
          <w:tcPr>
            <w:tcW w:type="pct" w:w="20%"/>
            <w:tcMar>
              <w:top w:type="dxa" w:w="60"/>
              <w:left w:type="dxa" w:w="100"/>
              <w:bottom w:type="dxa" w:w="60"/>
              <w:right w:type="dxa" w:w="100"/>
            </w:tcMar>
          </w:tcPr>
          <w:p>
            <w:pPr>
              <w:jc w:val="left"/>
            </w:pPr>
            <w:r>
              <w:rPr>
                <w:rFonts w:ascii="Calibri" w:eastAsia="Microsoft YaHei"/>
                <w:sz w:val="20"/>
                <w:szCs w:val="20"/>
              </w:rPr>
              <w:t xml:space="preserve">Tech Lead</w:t>
            </w:r>
          </w:p>
        </w:tc>
        <w:tc>
          <w:tcPr>
            <w:tcW w:type="pct" w:w="15%"/>
            <w:tcMar>
              <w:top w:type="dxa" w:w="60"/>
              <w:left w:type="dxa" w:w="100"/>
              <w:bottom w:type="dxa" w:w="60"/>
              <w:right w:type="dxa" w:w="100"/>
            </w:tcMar>
          </w:tcPr>
          <w:p>
            <w:pPr>
              <w:jc w:val="center"/>
            </w:pPr>
            <w:r>
              <w:rPr>
                <w:rFonts w:ascii="Calibri" w:eastAsia="Microsoft YaHei"/>
                <w:sz w:val="20"/>
                <w:szCs w:val="20"/>
              </w:rPr>
              <w:t xml:space="preserve">Day 7</w:t>
            </w:r>
          </w:p>
        </w:tc>
        <w:tc>
          <w:tcPr>
            <w:tcW w:type="pct" w:w="20%"/>
            <w:tcMar>
              <w:top w:type="dxa" w:w="60"/>
              <w:left w:type="dxa" w:w="100"/>
              <w:bottom w:type="dxa" w:w="60"/>
              <w:right w:type="dxa" w:w="100"/>
            </w:tcMar>
          </w:tcPr>
          <w:p>
            <w:pPr>
              <w:jc w:val="left"/>
            </w:pPr>
            <w:r>
              <w:rPr>
                <w:rFonts w:ascii="Calibri" w:eastAsia="Microsoft YaHei"/>
                <w:sz w:val="20"/>
                <w:szCs w:val="20"/>
              </w:rPr>
              <w:t xml:space="preserve">Operational project infrastructure</w:t>
            </w:r>
          </w:p>
        </w:tc>
      </w:tr>
      <w:tr>
        <w:trPr>
          <w:cantSplit/>
        </w:trPr>
        <w:tc>
          <w:tcPr>
            <w:tcW w:type="pct" w:w="45%"/>
            <w:tcMar>
              <w:top w:type="dxa" w:w="60"/>
              <w:left w:type="dxa" w:w="100"/>
              <w:bottom w:type="dxa" w:w="60"/>
              <w:right w:type="dxa" w:w="100"/>
            </w:tcMar>
          </w:tcPr>
          <w:p>
            <w:pPr>
              <w:jc w:val="left"/>
            </w:pPr>
            <w:r>
              <w:rPr>
                <w:rFonts w:ascii="Calibri" w:eastAsia="Microsoft YaHei"/>
                <w:sz w:val="20"/>
                <w:szCs w:val="20"/>
              </w:rPr>
              <w:t xml:space="preserve">Complete cloud provider account setup</w:t>
            </w:r>
          </w:p>
        </w:tc>
        <w:tc>
          <w:tcPr>
            <w:tcW w:type="pct" w:w="20%"/>
            <w:tcMar>
              <w:top w:type="dxa" w:w="60"/>
              <w:left w:type="dxa" w:w="100"/>
              <w:bottom w:type="dxa" w:w="60"/>
              <w:right w:type="dxa" w:w="100"/>
            </w:tcMar>
          </w:tcPr>
          <w:p>
            <w:pPr>
              <w:jc w:val="left"/>
            </w:pPr>
            <w:r>
              <w:rPr>
                <w:rFonts w:ascii="Calibri" w:eastAsia="Microsoft YaHei"/>
                <w:sz w:val="20"/>
                <w:szCs w:val="20"/>
              </w:rPr>
              <w:t xml:space="preserve">DevOps Engineer</w:t>
            </w:r>
          </w:p>
        </w:tc>
        <w:tc>
          <w:tcPr>
            <w:tcW w:type="pct" w:w="15%"/>
            <w:tcMar>
              <w:top w:type="dxa" w:w="60"/>
              <w:left w:type="dxa" w:w="100"/>
              <w:bottom w:type="dxa" w:w="60"/>
              <w:right w:type="dxa" w:w="100"/>
            </w:tcMar>
          </w:tcPr>
          <w:p>
            <w:pPr>
              <w:jc w:val="center"/>
            </w:pPr>
            <w:r>
              <w:rPr>
                <w:rFonts w:ascii="Calibri" w:eastAsia="Microsoft YaHei"/>
                <w:sz w:val="20"/>
                <w:szCs w:val="20"/>
              </w:rPr>
              <w:t xml:space="preserve">Day 7</w:t>
            </w:r>
          </w:p>
        </w:tc>
        <w:tc>
          <w:tcPr>
            <w:tcW w:type="pct" w:w="20%"/>
            <w:tcMar>
              <w:top w:type="dxa" w:w="60"/>
              <w:left w:type="dxa" w:w="100"/>
              <w:bottom w:type="dxa" w:w="60"/>
              <w:right w:type="dxa" w:w="100"/>
            </w:tcMar>
          </w:tcPr>
          <w:p>
            <w:pPr>
              <w:jc w:val="left"/>
            </w:pPr>
            <w:r>
              <w:rPr>
                <w:rFonts w:ascii="Calibri" w:eastAsia="Microsoft YaHei"/>
                <w:sz w:val="20"/>
                <w:szCs w:val="20"/>
              </w:rPr>
              <w:t xml:space="preserve">AWS/Azure accounts, billing configured</w:t>
            </w:r>
          </w:p>
        </w:tc>
      </w:tr>
    </w:tbl>
    <w:p>
      <w:pPr>
        <w:spacing w:before="200"/>
      </w:pPr>
    </w:p>
    <w:p>
      <w:pPr>
        <w:pStyle w:val="Heading3"/>
        <w:spacing w:after="120" w:before="240" w:line="312"/>
      </w:pPr>
      <w:r>
        <w:rPr>
          <w:rFonts w:ascii="Calibri" w:eastAsia="SimHei"/>
          <w:b/>
          <w:bCs/>
          <w:color w:val="2D3748"/>
          <w:sz w:val="24"/>
          <w:szCs w:val="24"/>
        </w:rPr>
        <w:t xml:space="preserve">Week 2: Kickoff Preparation</w:t>
      </w:r>
    </w:p>
    <w:tbl>
      <w:tblPr>
        <w:tblW w:type="pct" w:w="100%"/>
        <w:tblBorders>
          <w:top w:val="single" w:color="D0D5DD" w:sz="1"/>
          <w:left w:val="none"/>
          <w:bottom w:val="single" w:color="D0D5DD" w:sz="1"/>
          <w:right w:val="none"/>
          <w:insideH w:val="single" w:color="E5E7EB" w:sz="1"/>
          <w:insideV w:val="single" w:color="E5E7EB" w:sz="1"/>
        </w:tblBorders>
      </w:tblPr>
      <w:tblGrid>
        <w:gridCol w:w="100"/>
        <w:gridCol w:w="100"/>
        <w:gridCol w:w="100"/>
        <w:gridCol w:w="100"/>
      </w:tblGrid>
      <w:tr>
        <w:trPr>
          <w:cantSplit/>
          <w:tblHeader/>
        </w:trPr>
        <w:tc>
          <w:tcPr>
            <w:tcW w:type="pct" w:w="45%"/>
            <w:shd w:fill="1E3A5F" w:val="clear"/>
            <w:tcMar>
              <w:top w:type="dxa" w:w="80"/>
              <w:left w:type="dxa" w:w="120"/>
              <w:bottom w:type="dxa" w:w="80"/>
              <w:right w:type="dxa" w:w="120"/>
            </w:tcMar>
          </w:tcPr>
          <w:p>
            <w:r>
              <w:rPr>
                <w:rFonts w:ascii="Calibri" w:eastAsia="Microsoft YaHei"/>
                <w:b/>
                <w:bCs/>
                <w:color w:val="FFFFFF"/>
                <w:sz w:val="21"/>
                <w:szCs w:val="21"/>
              </w:rPr>
              <w:t xml:space="preserve">Action Item</w:t>
            </w:r>
          </w:p>
        </w:tc>
        <w:tc>
          <w:tcPr>
            <w:tcW w:type="pct" w:w="20%"/>
            <w:shd w:fill="1E3A5F" w:val="clear"/>
            <w:tcMar>
              <w:top w:type="dxa" w:w="80"/>
              <w:left w:type="dxa" w:w="120"/>
              <w:bottom w:type="dxa" w:w="80"/>
              <w:right w:type="dxa" w:w="120"/>
            </w:tcMar>
          </w:tcPr>
          <w:p>
            <w:r>
              <w:rPr>
                <w:rFonts w:ascii="Calibri" w:eastAsia="Microsoft YaHei"/>
                <w:b/>
                <w:bCs/>
                <w:color w:val="FFFFFF"/>
                <w:sz w:val="21"/>
                <w:szCs w:val="21"/>
              </w:rPr>
              <w:t xml:space="preserve">Owner</w:t>
            </w:r>
          </w:p>
        </w:tc>
        <w:tc>
          <w:tcPr>
            <w:tcW w:type="pct" w:w="15%"/>
            <w:shd w:fill="1E3A5F" w:val="clear"/>
            <w:tcMar>
              <w:top w:type="dxa" w:w="80"/>
              <w:left w:type="dxa" w:w="120"/>
              <w:bottom w:type="dxa" w:w="80"/>
              <w:right w:type="dxa" w:w="120"/>
            </w:tcMar>
          </w:tcPr>
          <w:p>
            <w:r>
              <w:rPr>
                <w:rFonts w:ascii="Calibri" w:eastAsia="Microsoft YaHei"/>
                <w:b/>
                <w:bCs/>
                <w:color w:val="FFFFFF"/>
                <w:sz w:val="21"/>
                <w:szCs w:val="21"/>
              </w:rPr>
              <w:t xml:space="preserve">Deadline</w:t>
            </w:r>
          </w:p>
        </w:tc>
        <w:tc>
          <w:tcPr>
            <w:tcW w:type="pct" w:w="20%"/>
            <w:shd w:fill="1E3A5F" w:val="clear"/>
            <w:tcMar>
              <w:top w:type="dxa" w:w="80"/>
              <w:left w:type="dxa" w:w="120"/>
              <w:bottom w:type="dxa" w:w="80"/>
              <w:right w:type="dxa" w:w="120"/>
            </w:tcMar>
          </w:tcPr>
          <w:p>
            <w:r>
              <w:rPr>
                <w:rFonts w:ascii="Calibri" w:eastAsia="Microsoft YaHei"/>
                <w:b/>
                <w:bCs/>
                <w:color w:val="FFFFFF"/>
                <w:sz w:val="21"/>
                <w:szCs w:val="21"/>
              </w:rPr>
              <w:t xml:space="preserve">Output</w:t>
            </w:r>
          </w:p>
        </w:tc>
      </w:tr>
      <w:tr>
        <w:trPr>
          <w:cantSplit/>
        </w:trPr>
        <w:tc>
          <w:tcPr>
            <w:tcW w:type="pct" w:w="45%"/>
            <w:tcMar>
              <w:top w:type="dxa" w:w="60"/>
              <w:left w:type="dxa" w:w="100"/>
              <w:bottom w:type="dxa" w:w="60"/>
              <w:right w:type="dxa" w:w="100"/>
            </w:tcMar>
          </w:tcPr>
          <w:p>
            <w:pPr>
              <w:jc w:val="left"/>
            </w:pPr>
            <w:r>
              <w:rPr>
                <w:rFonts w:ascii="Calibri" w:eastAsia="Microsoft YaHei"/>
                <w:sz w:val="20"/>
                <w:szCs w:val="20"/>
              </w:rPr>
              <w:t xml:space="preserve">Conduct Phase 1 kickoff meeting with full team</w:t>
            </w:r>
          </w:p>
        </w:tc>
        <w:tc>
          <w:tcPr>
            <w:tcW w:type="pct" w:w="20%"/>
            <w:tcMar>
              <w:top w:type="dxa" w:w="60"/>
              <w:left w:type="dxa" w:w="100"/>
              <w:bottom w:type="dxa" w:w="60"/>
              <w:right w:type="dxa" w:w="100"/>
            </w:tcMar>
          </w:tcPr>
          <w:p>
            <w:pPr>
              <w:jc w:val="left"/>
            </w:pPr>
            <w:r>
              <w:rPr>
                <w:rFonts w:ascii="Calibri" w:eastAsia="Microsoft YaHei"/>
                <w:sz w:val="20"/>
                <w:szCs w:val="20"/>
              </w:rPr>
              <w:t xml:space="preserve">Project Manager</w:t>
            </w:r>
          </w:p>
        </w:tc>
        <w:tc>
          <w:tcPr>
            <w:tcW w:type="pct" w:w="15%"/>
            <w:tcMar>
              <w:top w:type="dxa" w:w="60"/>
              <w:left w:type="dxa" w:w="100"/>
              <w:bottom w:type="dxa" w:w="60"/>
              <w:right w:type="dxa" w:w="100"/>
            </w:tcMar>
          </w:tcPr>
          <w:p>
            <w:pPr>
              <w:jc w:val="center"/>
            </w:pPr>
            <w:r>
              <w:rPr>
                <w:rFonts w:ascii="Calibri" w:eastAsia="Microsoft YaHei"/>
                <w:sz w:val="20"/>
                <w:szCs w:val="20"/>
              </w:rPr>
              <w:t xml:space="preserve">Day 10</w:t>
            </w:r>
          </w:p>
        </w:tc>
        <w:tc>
          <w:tcPr>
            <w:tcW w:type="pct" w:w="20%"/>
            <w:tcMar>
              <w:top w:type="dxa" w:w="60"/>
              <w:left w:type="dxa" w:w="100"/>
              <w:bottom w:type="dxa" w:w="60"/>
              <w:right w:type="dxa" w:w="100"/>
            </w:tcMar>
          </w:tcPr>
          <w:p>
            <w:pPr>
              <w:jc w:val="left"/>
            </w:pPr>
            <w:r>
              <w:rPr>
                <w:rFonts w:ascii="Calibri" w:eastAsia="Microsoft YaHei"/>
                <w:sz w:val="20"/>
                <w:szCs w:val="20"/>
              </w:rPr>
              <w:t xml:space="preserve">Kickoff presentation, Q&amp;A, action items</w:t>
            </w:r>
          </w:p>
        </w:tc>
      </w:tr>
      <w:tr>
        <w:trPr>
          <w:cantSplit/>
        </w:trPr>
        <w:tc>
          <w:tcPr>
            <w:tcW w:type="pct" w:w="45%"/>
            <w:tcMar>
              <w:top w:type="dxa" w:w="60"/>
              <w:left w:type="dxa" w:w="100"/>
              <w:bottom w:type="dxa" w:w="60"/>
              <w:right w:type="dxa" w:w="100"/>
            </w:tcMar>
          </w:tcPr>
          <w:p>
            <w:pPr>
              <w:jc w:val="left"/>
            </w:pPr>
            <w:r>
              <w:rPr>
                <w:rFonts w:ascii="Calibri" w:eastAsia="Microsoft YaHei"/>
                <w:sz w:val="20"/>
                <w:szCs w:val="20"/>
              </w:rPr>
              <w:t xml:space="preserve">Finalize detailed Phase 1 sprint plan</w:t>
            </w:r>
          </w:p>
        </w:tc>
        <w:tc>
          <w:tcPr>
            <w:tcW w:type="pct" w:w="20%"/>
            <w:tcMar>
              <w:top w:type="dxa" w:w="60"/>
              <w:left w:type="dxa" w:w="100"/>
              <w:bottom w:type="dxa" w:w="60"/>
              <w:right w:type="dxa" w:w="100"/>
            </w:tcMar>
          </w:tcPr>
          <w:p>
            <w:pPr>
              <w:jc w:val="left"/>
            </w:pPr>
            <w:r>
              <w:rPr>
                <w:rFonts w:ascii="Calibri" w:eastAsia="Microsoft YaHei"/>
                <w:sz w:val="20"/>
                <w:szCs w:val="20"/>
              </w:rPr>
              <w:t xml:space="preserve">Tech Lead + PM</w:t>
            </w:r>
          </w:p>
        </w:tc>
        <w:tc>
          <w:tcPr>
            <w:tcW w:type="pct" w:w="15%"/>
            <w:tcMar>
              <w:top w:type="dxa" w:w="60"/>
              <w:left w:type="dxa" w:w="100"/>
              <w:bottom w:type="dxa" w:w="60"/>
              <w:right w:type="dxa" w:w="100"/>
            </w:tcMar>
          </w:tcPr>
          <w:p>
            <w:pPr>
              <w:jc w:val="center"/>
            </w:pPr>
            <w:r>
              <w:rPr>
                <w:rFonts w:ascii="Calibri" w:eastAsia="Microsoft YaHei"/>
                <w:sz w:val="20"/>
                <w:szCs w:val="20"/>
              </w:rPr>
              <w:t xml:space="preserve">Day 12</w:t>
            </w:r>
          </w:p>
        </w:tc>
        <w:tc>
          <w:tcPr>
            <w:tcW w:type="pct" w:w="20%"/>
            <w:tcMar>
              <w:top w:type="dxa" w:w="60"/>
              <w:left w:type="dxa" w:w="100"/>
              <w:bottom w:type="dxa" w:w="60"/>
              <w:right w:type="dxa" w:w="100"/>
            </w:tcMar>
          </w:tcPr>
          <w:p>
            <w:pPr>
              <w:jc w:val="left"/>
            </w:pPr>
            <w:r>
              <w:rPr>
                <w:rFonts w:ascii="Calibri" w:eastAsia="Microsoft YaHei"/>
                <w:sz w:val="20"/>
                <w:szCs w:val="20"/>
              </w:rPr>
              <w:t xml:space="preserve">Jira epics/stories, sprint backlog</w:t>
            </w:r>
          </w:p>
        </w:tc>
      </w:tr>
      <w:tr>
        <w:trPr>
          <w:cantSplit/>
        </w:trPr>
        <w:tc>
          <w:tcPr>
            <w:tcW w:type="pct" w:w="45%"/>
            <w:tcMar>
              <w:top w:type="dxa" w:w="60"/>
              <w:left w:type="dxa" w:w="100"/>
              <w:bottom w:type="dxa" w:w="60"/>
              <w:right w:type="dxa" w:w="100"/>
            </w:tcMar>
          </w:tcPr>
          <w:p>
            <w:pPr>
              <w:jc w:val="left"/>
            </w:pPr>
            <w:r>
              <w:rPr>
                <w:rFonts w:ascii="Calibri" w:eastAsia="Microsoft YaHei"/>
                <w:sz w:val="20"/>
                <w:szCs w:val="20"/>
              </w:rPr>
              <w:t xml:space="preserve">Set up development/staging environments</w:t>
            </w:r>
          </w:p>
        </w:tc>
        <w:tc>
          <w:tcPr>
            <w:tcW w:type="pct" w:w="20%"/>
            <w:tcMar>
              <w:top w:type="dxa" w:w="60"/>
              <w:left w:type="dxa" w:w="100"/>
              <w:bottom w:type="dxa" w:w="60"/>
              <w:right w:type="dxa" w:w="100"/>
            </w:tcMar>
          </w:tcPr>
          <w:p>
            <w:pPr>
              <w:jc w:val="left"/>
            </w:pPr>
            <w:r>
              <w:rPr>
                <w:rFonts w:ascii="Calibri" w:eastAsia="Microsoft YaHei"/>
                <w:sz w:val="20"/>
                <w:szCs w:val="20"/>
              </w:rPr>
              <w:t xml:space="preserve">DevOps Engineer</w:t>
            </w:r>
          </w:p>
        </w:tc>
        <w:tc>
          <w:tcPr>
            <w:tcW w:type="pct" w:w="15%"/>
            <w:tcMar>
              <w:top w:type="dxa" w:w="60"/>
              <w:left w:type="dxa" w:w="100"/>
              <w:bottom w:type="dxa" w:w="60"/>
              <w:right w:type="dxa" w:w="100"/>
            </w:tcMar>
          </w:tcPr>
          <w:p>
            <w:pPr>
              <w:jc w:val="center"/>
            </w:pPr>
            <w:r>
              <w:rPr>
                <w:rFonts w:ascii="Calibri" w:eastAsia="Microsoft YaHei"/>
                <w:sz w:val="20"/>
                <w:szCs w:val="20"/>
              </w:rPr>
              <w:t xml:space="preserve">Day 12</w:t>
            </w:r>
          </w:p>
        </w:tc>
        <w:tc>
          <w:tcPr>
            <w:tcW w:type="pct" w:w="20%"/>
            <w:tcMar>
              <w:top w:type="dxa" w:w="60"/>
              <w:left w:type="dxa" w:w="100"/>
              <w:bottom w:type="dxa" w:w="60"/>
              <w:right w:type="dxa" w:w="100"/>
            </w:tcMar>
          </w:tcPr>
          <w:p>
            <w:pPr>
              <w:jc w:val="left"/>
            </w:pPr>
            <w:r>
              <w:rPr>
                <w:rFonts w:ascii="Calibri" w:eastAsia="Microsoft YaHei"/>
                <w:sz w:val="20"/>
                <w:szCs w:val="20"/>
              </w:rPr>
              <w:t xml:space="preserve">Deployable infra, CI/CD pipeline v1</w:t>
            </w:r>
          </w:p>
        </w:tc>
      </w:tr>
      <w:tr>
        <w:trPr>
          <w:cantSplit/>
        </w:trPr>
        <w:tc>
          <w:tcPr>
            <w:tcW w:type="pct" w:w="45%"/>
            <w:tcMar>
              <w:top w:type="dxa" w:w="60"/>
              <w:left w:type="dxa" w:w="100"/>
              <w:bottom w:type="dxa" w:w="60"/>
              <w:right w:type="dxa" w:w="100"/>
            </w:tcMar>
          </w:tcPr>
          <w:p>
            <w:pPr>
              <w:jc w:val="left"/>
            </w:pPr>
            <w:r>
              <w:rPr>
                <w:rFonts w:ascii="Calibri" w:eastAsia="Microsoft YaHei"/>
                <w:sz w:val="20"/>
                <w:szCs w:val="20"/>
              </w:rPr>
              <w:t xml:space="preserve">Begin Sprint 1 (Days 14-28)</w:t>
            </w:r>
          </w:p>
        </w:tc>
        <w:tc>
          <w:tcPr>
            <w:tcW w:type="pct" w:w="20%"/>
            <w:tcMar>
              <w:top w:type="dxa" w:w="60"/>
              <w:left w:type="dxa" w:w="100"/>
              <w:bottom w:type="dxa" w:w="60"/>
              <w:right w:type="dxa" w:w="100"/>
            </w:tcMar>
          </w:tcPr>
          <w:p>
            <w:pPr>
              <w:jc w:val="left"/>
            </w:pPr>
            <w:r>
              <w:rPr>
                <w:rFonts w:ascii="Calibri" w:eastAsia="Microsoft YaHei"/>
                <w:sz w:val="20"/>
                <w:szCs w:val="20"/>
              </w:rPr>
              <w:t xml:space="preserve">Development Team</w:t>
            </w:r>
          </w:p>
        </w:tc>
        <w:tc>
          <w:tcPr>
            <w:tcW w:type="pct" w:w="15%"/>
            <w:tcMar>
              <w:top w:type="dxa" w:w="60"/>
              <w:left w:type="dxa" w:w="100"/>
              <w:bottom w:type="dxa" w:w="60"/>
              <w:right w:type="dxa" w:w="100"/>
            </w:tcMar>
          </w:tcPr>
          <w:p>
            <w:pPr>
              <w:jc w:val="center"/>
            </w:pPr>
            <w:r>
              <w:rPr>
                <w:rFonts w:ascii="Calibri" w:eastAsia="Microsoft YaHei"/>
                <w:sz w:val="20"/>
                <w:szCs w:val="20"/>
              </w:rPr>
              <w:t xml:space="preserve">Day 14</w:t>
            </w:r>
          </w:p>
        </w:tc>
        <w:tc>
          <w:tcPr>
            <w:tcW w:type="pct" w:w="20%"/>
            <w:tcMar>
              <w:top w:type="dxa" w:w="60"/>
              <w:left w:type="dxa" w:w="100"/>
              <w:bottom w:type="dxa" w:w="60"/>
              <w:right w:type="dxa" w:w="100"/>
            </w:tcMar>
          </w:tcPr>
          <w:p>
            <w:pPr>
              <w:jc w:val="left"/>
            </w:pPr>
            <w:r>
              <w:rPr>
                <w:rFonts w:ascii="Calibri" w:eastAsia="Microsoft YaHei"/>
                <w:sz w:val="20"/>
                <w:szCs w:val="20"/>
              </w:rPr>
              <w:t xml:space="preserve">First working code committed</w:t>
            </w:r>
          </w:p>
        </w:tc>
      </w:tr>
    </w:tbl>
    <w:p>
      <w:pPr>
        <w:spacing w:before="400"/>
      </w:pPr>
    </w:p>
    <w:p>
      <w:pPr>
        <w:shd w:fill="F7FAFC" w:val="clear"/>
        <w:spacing w:after="200" w:before="200" w:line="312"/>
        <w:jc w:val="center"/>
      </w:pPr>
      <w:r>
        <w:rPr>
          <w:rFonts w:ascii="Calibri" w:eastAsia="SimHei"/>
          <w:b/>
          <w:bCs/>
          <w:color w:val="1E3A5F"/>
          <w:sz w:val="26"/>
          <w:szCs w:val="26"/>
        </w:rPr>
        <w:t xml:space="preserve">End of Production Plan Document | Ready for Execution Approval</w:t>
      </w:r>
    </w:p>
    <w:p>
      <w:pPr>
        <w:spacing w:after="200" w:before="200"/>
        <w:jc w:val="center"/>
      </w:pPr>
      <w:r>
        <w:rPr>
          <w:rFonts w:ascii="Calibri" w:eastAsia="Microsoft YaHei"/>
          <w:i/>
          <w:iCs/>
          <w:color w:val="718096"/>
          <w:sz w:val="22"/>
          <w:szCs w:val="22"/>
        </w:rPr>
        <w:t xml:space="preserve">This document provides the strategic roadmap for building AlgeriaTrade.dz into Algeria's leading B2B e-commerce platform. With disciplined execution, appropriate resourcing, and adaptive management of risks, the 18-month timeline is achievable and the business case compelling.</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color w:val="718096"/>
        <w:sz w:val="18"/>
        <w:szCs w:val="18"/>
      </w:rPr>
      <w:t xml:space="preserve">AlgeriaTrade.dz - Production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2D3748"/>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2026-08-13T22:57:16.811Z</dcterms:created>
  <dcterms:modified xsi:type="dcterms:W3CDTF">2026-08-13T22:57:16.811Z</dcterms:modified>
</cp:coreProperties>
</file>

<file path=docProps/custom.xml><?xml version="1.0" encoding="utf-8"?>
<Properties xmlns="http://schemas.openxmlformats.org/officeDocument/2006/custom-properties" xmlns:vt="http://schemas.openxmlformats.org/officeDocument/2006/docPropsVTypes"/>
</file>