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FF483" w14:textId="77777777" w:rsidR="00E64544" w:rsidRPr="00E64544" w:rsidRDefault="00E64544" w:rsidP="00E64544">
      <w:pPr>
        <w:rPr>
          <w:b/>
          <w:bCs/>
        </w:rPr>
      </w:pPr>
      <w:r w:rsidRPr="00E64544">
        <w:rPr>
          <w:b/>
          <w:bCs/>
        </w:rPr>
        <w:t>面向实时引擎的GPU加速SPH流体模拟技术研究综述 (2021-2026)</w:t>
      </w:r>
    </w:p>
    <w:p w14:paraId="31945280" w14:textId="77777777" w:rsidR="00E64544" w:rsidRPr="00E64544" w:rsidRDefault="00E64544" w:rsidP="00E64544">
      <w:pPr>
        <w:rPr>
          <w:b/>
          <w:bCs/>
        </w:rPr>
      </w:pPr>
      <w:r w:rsidRPr="00E64544">
        <w:rPr>
          <w:b/>
          <w:bCs/>
        </w:rPr>
        <w:t>1. 引言：研究背景与意义</w:t>
      </w:r>
    </w:p>
    <w:p w14:paraId="222DD0D8" w14:textId="77777777" w:rsidR="00E64544" w:rsidRPr="00E64544" w:rsidRDefault="00E64544" w:rsidP="00E64544">
      <w:pPr>
        <w:ind w:firstLine="420"/>
      </w:pPr>
      <w:r w:rsidRPr="00E64544">
        <w:t>实时流体模拟是计算机图形学领域中一个充满挑战且极具价值的研究方向，在电子游戏、虚拟现实、电影特效以及科学可视化等领域扮演着重要角色。一个逼真的、可交互的流体系统能够极大地增强用户的沉浸感和应用的真实感。光滑粒子流体动力学（Smoothed Particle Hydrodynamics, SPH）作为一种无网格的拉格朗日方法，因其天然适合处理自由表面、飞溅、融合等复杂流体现象，且易于并行化，已成为实时流体模拟的主流技术之一。</w:t>
      </w:r>
    </w:p>
    <w:p w14:paraId="52B1A7DD" w14:textId="77777777" w:rsidR="00E64544" w:rsidRPr="00E64544" w:rsidRDefault="00E64544" w:rsidP="00E64544">
      <w:pPr>
        <w:ind w:firstLine="420"/>
      </w:pPr>
      <w:r w:rsidRPr="00E64544">
        <w:t>近年来，随着图形处理器（GPU）通用计算能力的飞速发展，利用GPU对SPH算法进行大规模并行加速，已成为实现高精度、大规模、实时流体模拟的关键。本报告旨在梳理和分析2021年至2026年间，在GPU加速的SPH流体模拟及其在实时游戏引擎中应用这一领域的最新研究进展，重点探讨核心SPH算法的演进、不同GPU加速技术的应用现状与挑战，以及与现代游戏引擎集成的工程实践，最后对未来发展趋势进行展望。</w:t>
      </w:r>
    </w:p>
    <w:p w14:paraId="0481A860" w14:textId="77777777" w:rsidR="00E64544" w:rsidRPr="00E64544" w:rsidRDefault="00E64544" w:rsidP="00E64544">
      <w:pPr>
        <w:rPr>
          <w:b/>
          <w:bCs/>
        </w:rPr>
      </w:pPr>
      <w:r w:rsidRPr="00E64544">
        <w:rPr>
          <w:b/>
          <w:bCs/>
        </w:rPr>
        <w:t>2. SPH流体模拟算法的发展与现状</w:t>
      </w:r>
    </w:p>
    <w:p w14:paraId="7D250B3E" w14:textId="77777777" w:rsidR="00E64544" w:rsidRPr="00E64544" w:rsidRDefault="00E64544" w:rsidP="00E64544">
      <w:pPr>
        <w:ind w:firstLine="420"/>
      </w:pPr>
      <w:r w:rsidRPr="00E64544">
        <w:t>SPH方法通过一系列携带物理属性（如质量、速度、密度）的粒子来离散流体，其核心在于使用一个光滑核函数来</w:t>
      </w:r>
      <w:proofErr w:type="gramStart"/>
      <w:r w:rsidRPr="00E64544">
        <w:t>近似场</w:t>
      </w:r>
      <w:proofErr w:type="gramEnd"/>
      <w:r w:rsidRPr="00E64544">
        <w:t>变量及其导数。在实时模拟领域，两种主流的SPH变体是弱可压缩SPH（WCSPH）和预测-校正不可压缩SPH（PCISPH）。</w:t>
      </w:r>
    </w:p>
    <w:p w14:paraId="112D3559" w14:textId="77777777" w:rsidR="00E64544" w:rsidRPr="00E64544" w:rsidRDefault="00E64544" w:rsidP="00E64544">
      <w:r w:rsidRPr="00E64544">
        <w:rPr>
          <w:b/>
          <w:bCs/>
        </w:rPr>
        <w:t>[此处为AI基于检索结果辅助生成的总结]</w:t>
      </w:r>
    </w:p>
    <w:p w14:paraId="0E64597F" w14:textId="77777777" w:rsidR="00E64544" w:rsidRPr="00E64544" w:rsidRDefault="00E64544" w:rsidP="00E64544">
      <w:pPr>
        <w:ind w:firstLine="420"/>
      </w:pPr>
      <w:r w:rsidRPr="00E64544">
        <w:rPr>
          <w:b/>
          <w:bCs/>
        </w:rPr>
        <w:t>WCSPH（Weakly Compressible SPH）</w:t>
      </w:r>
      <w:r w:rsidRPr="00E64544">
        <w:t xml:space="preserve"> 的核心思想是通过一个状态方程（如Tait方程）将粒子密度与压力直接关联。其优点是算法简单，每个时间步的计算量相对较小，无需迭代求解压力泊松方程，非常适合在GPU上进行直接且高效的并行实现。然而，其“弱可压缩”的假设也带来了固有缺陷：为了维持数值稳定性，WCSPH必须采用极小的时间步长（CFL条件约束严格），导致在模拟较长时间时</w:t>
      </w:r>
      <w:proofErr w:type="gramStart"/>
      <w:r w:rsidRPr="00E64544">
        <w:t>总计算</w:t>
      </w:r>
      <w:proofErr w:type="gramEnd"/>
      <w:r w:rsidRPr="00E64544">
        <w:t>量急剧增加，且在</w:t>
      </w:r>
      <w:proofErr w:type="gramStart"/>
      <w:r w:rsidRPr="00E64544">
        <w:t>高冲击</w:t>
      </w:r>
      <w:proofErr w:type="gramEnd"/>
      <w:r w:rsidRPr="00E64544">
        <w:t>场景下容易产生不自然的压力振荡。尽管如此，因其实现的便捷性，在对不可压缩性要求不高的游戏特效中，WCSPH仍是常见选择。</w:t>
      </w:r>
    </w:p>
    <w:p w14:paraId="3ACA1F86" w14:textId="77777777" w:rsidR="00E64544" w:rsidRPr="00E64544" w:rsidRDefault="00E64544" w:rsidP="00E64544">
      <w:pPr>
        <w:ind w:firstLine="420"/>
      </w:pPr>
      <w:r w:rsidRPr="00E64544">
        <w:rPr>
          <w:b/>
          <w:bCs/>
        </w:rPr>
        <w:t>PCISPH（Predictive-Correction Incompressible SPH）</w:t>
      </w:r>
      <w:r w:rsidRPr="00E64544">
        <w:t xml:space="preserve"> 则致力于更严格地满足流体的不可压缩性。它引入了一个预测-校正循环：首先预测粒子的新位置，然后在一个迭代过程中反复校正压力，直到预测的密度误差收敛到一个非常小的阈值为止。其最大优势在于，它允许使用比WCSPH大得多的时间步长，从而在保证低密度波动的前提下，总体计算效率大幅提升。然而，PCISPH的单步计算成本更高，且压力校正迭代的次数不确定，给GPU并行任务的同步带来了新的挑战。</w:t>
      </w:r>
    </w:p>
    <w:p w14:paraId="77282EF8" w14:textId="77777777" w:rsidR="00E64544" w:rsidRPr="00E64544" w:rsidRDefault="00E64544" w:rsidP="00E64544">
      <w:pPr>
        <w:ind w:firstLine="420"/>
      </w:pPr>
      <w:r w:rsidRPr="00E64544">
        <w:t>近五年的研究趋势显示，算法层面上的创新更多聚焦于自适应性和边界处理。例如，通过GPU上实现高效的自适应粒子细化（APR），模拟系统可以在关注区域使用更</w:t>
      </w:r>
      <w:r w:rsidRPr="00E64544">
        <w:lastRenderedPageBreak/>
        <w:t>多粒子来捕捉细节，从而在保证视觉质量的同时节省计算资源。同时，新的边界处理技术提升了SPH与复杂固体交互的精确性和鲁棒性。</w:t>
      </w:r>
    </w:p>
    <w:p w14:paraId="5B9ED162" w14:textId="77777777" w:rsidR="00E64544" w:rsidRPr="00E64544" w:rsidRDefault="00E64544" w:rsidP="00E64544">
      <w:pPr>
        <w:rPr>
          <w:b/>
          <w:bCs/>
        </w:rPr>
      </w:pPr>
      <w:r w:rsidRPr="00E64544">
        <w:rPr>
          <w:b/>
          <w:bCs/>
        </w:rPr>
        <w:t>3. GPU加速技术在流体模拟中的应用现状</w:t>
      </w:r>
    </w:p>
    <w:p w14:paraId="76D38F04" w14:textId="77777777" w:rsidR="00E64544" w:rsidRPr="00E64544" w:rsidRDefault="00E64544" w:rsidP="00E64544">
      <w:pPr>
        <w:ind w:firstLine="420"/>
      </w:pPr>
      <w:r w:rsidRPr="00E64544">
        <w:t>GPU已成为SPH模拟</w:t>
      </w:r>
      <w:proofErr w:type="gramStart"/>
      <w:r w:rsidRPr="00E64544">
        <w:t>的标配硬件</w:t>
      </w:r>
      <w:proofErr w:type="gramEnd"/>
      <w:r w:rsidRPr="00E64544">
        <w:t>。邻居搜索作为SPH中最耗时的步骤（通常占总计算时间的80%以上），已通过基于空间哈希或统一网格的并行排序算法在GPU上得到高效解决。近期的研究重点转向了对不同GPU计算API的深度利用和性能对比。</w:t>
      </w:r>
    </w:p>
    <w:p w14:paraId="2D22744E" w14:textId="77777777" w:rsidR="00E64544" w:rsidRPr="00E64544" w:rsidRDefault="00E64544" w:rsidP="00E64544">
      <w:r w:rsidRPr="00E64544">
        <w:rPr>
          <w:b/>
          <w:bCs/>
        </w:rPr>
        <w:t>[此处为AI基于检索结果辅助生成的总结]</w:t>
      </w:r>
    </w:p>
    <w:p w14:paraId="1DD4A4E3" w14:textId="77777777" w:rsidR="00E64544" w:rsidRPr="00E64544" w:rsidRDefault="00E64544" w:rsidP="00E64544">
      <w:pPr>
        <w:ind w:firstLine="420"/>
      </w:pPr>
      <w:r w:rsidRPr="00E64544">
        <w:rPr>
          <w:b/>
          <w:bCs/>
        </w:rPr>
        <w:t>CUDA</w:t>
      </w:r>
      <w:r w:rsidRPr="00E64544">
        <w:t xml:space="preserve"> 作为NVIDIA推出的成熟GPGPU平台，拥有强大的编译器优化、丰富的科学计算库和详尽的底层硬件控制能力。在学术界和需要极致性能的科学计算领域，CUDA依然是首选。然而，CUDA存在厂商锁定问题，且与图形渲染管线的集成需要通过API互操作（如与OpenGL或DirectX），存在一定的额外开销和复杂性。</w:t>
      </w:r>
    </w:p>
    <w:p w14:paraId="01C6560F" w14:textId="77777777" w:rsidR="00E64544" w:rsidRPr="00E64544" w:rsidRDefault="00E64544" w:rsidP="00E64544">
      <w:pPr>
        <w:ind w:firstLine="420"/>
      </w:pPr>
      <w:r w:rsidRPr="00E64544">
        <w:rPr>
          <w:b/>
          <w:bCs/>
        </w:rPr>
        <w:t>OpenGL Compute Shader</w:t>
      </w:r>
      <w:r w:rsidRPr="00E64544">
        <w:t xml:space="preserve"> 作为图形API的一部分，其最大优势在于与渲染管线的无缝集成。开发者可以使用熟悉的GLSL语言编写计算任务，数据可以直接在计算着色器和渲染着色器之间共享，非常适合游戏引擎环境。然而，其性能通常被认为弱于CUDA，且随着粒子规模增大，性能瓶颈愈发明显。</w:t>
      </w:r>
    </w:p>
    <w:p w14:paraId="30E03CC4" w14:textId="77777777" w:rsidR="00E64544" w:rsidRPr="00E64544" w:rsidRDefault="00E64544" w:rsidP="00E64544">
      <w:pPr>
        <w:ind w:firstLine="420"/>
      </w:pPr>
      <w:r w:rsidRPr="00E64544">
        <w:rPr>
          <w:b/>
          <w:bCs/>
        </w:rPr>
        <w:t>Vulkan Compute</w:t>
      </w:r>
      <w:r w:rsidRPr="00E64544">
        <w:t xml:space="preserve"> 作为新一代的底层图形与计算API，旨在提供跨平台的高性能解决方案。Vulkan赋予开发者对GPU硬件前所未有的控制力，包括显式的内存管理、同步控制和队列提交。对于大规模粒子的SPH模拟，Vulkan Compute能有效减少驱动程序的CPU开销并实现更精细的并行调度。然而，这种高性能以极高的开发复杂性为代价，需要编写大量样板代码来管理资源和状态。</w:t>
      </w:r>
    </w:p>
    <w:p w14:paraId="2587F157" w14:textId="77777777" w:rsidR="00E64544" w:rsidRPr="00E64544" w:rsidRDefault="00E64544" w:rsidP="00E64544">
      <w:pPr>
        <w:rPr>
          <w:b/>
          <w:bCs/>
        </w:rPr>
      </w:pPr>
      <w:r w:rsidRPr="00E64544">
        <w:rPr>
          <w:b/>
          <w:bCs/>
        </w:rPr>
        <w:t>4. 流体模拟与游戏引擎集成的工程实践现状</w:t>
      </w:r>
    </w:p>
    <w:p w14:paraId="6B4261AE" w14:textId="77777777" w:rsidR="00E64544" w:rsidRPr="00E64544" w:rsidRDefault="00E64544" w:rsidP="00E64544">
      <w:pPr>
        <w:ind w:firstLine="420"/>
      </w:pPr>
      <w:r w:rsidRPr="00E64544">
        <w:t>将高性能SPH流体模拟器无缝集成到商业游戏引擎（如Unity、Unreal Engine）中，是学术研究成果转化为实际应用的关键一步。</w:t>
      </w:r>
    </w:p>
    <w:p w14:paraId="6CAA5090" w14:textId="77777777" w:rsidR="00E64544" w:rsidRPr="00E64544" w:rsidRDefault="00E64544" w:rsidP="00E64544">
      <w:pPr>
        <w:ind w:firstLine="420"/>
      </w:pPr>
      <w:r w:rsidRPr="00E64544">
        <w:rPr>
          <w:b/>
          <w:bCs/>
        </w:rPr>
        <w:t>在Unity中</w:t>
      </w:r>
      <w:r w:rsidRPr="00E64544">
        <w:t>，主流实践是利用Compute Shader进行SPH求解器的核心计算。Waseem等人（2026）提出了一套完全在Unity引擎内实现的GPU加速统一框架，采用弱可压缩SPH公式和基于计数排序的空间哈希，实现了流体与刚体的双向耦合及体积渲染，在消费级GPU上以超过54帧/秒的速度模拟四百万粒子。另一项研究深入探讨了Unity 3D中大规模粒子流体模拟的空间哈希优化、</w:t>
      </w:r>
      <w:proofErr w:type="spellStart"/>
      <w:r w:rsidRPr="00E64544">
        <w:t>SoA</w:t>
      </w:r>
      <w:proofErr w:type="spellEnd"/>
      <w:r w:rsidRPr="00E64544">
        <w:t>（Structure of Arrays）内存布局优化以及屏幕空间流体渲染技术，成功扩展至百万粒子规模并保持交互帧率。</w:t>
      </w:r>
    </w:p>
    <w:p w14:paraId="5CE183FF" w14:textId="77777777" w:rsidR="00E64544" w:rsidRPr="00E64544" w:rsidRDefault="00E64544" w:rsidP="00E64544">
      <w:pPr>
        <w:ind w:firstLine="420"/>
      </w:pPr>
      <w:r w:rsidRPr="00E64544">
        <w:rPr>
          <w:b/>
          <w:bCs/>
        </w:rPr>
        <w:t>在Unreal Engine中</w:t>
      </w:r>
      <w:r w:rsidRPr="00E64544">
        <w:t>，集成路径则更依赖其强大的可视化系统，如Niagara粒子系统。挑战在于Niagara并非为大规模科学计算设计，性能存在瓶颈，</w:t>
      </w:r>
      <w:proofErr w:type="gramStart"/>
      <w:r w:rsidRPr="00E64544">
        <w:t>且关于</w:t>
      </w:r>
      <w:proofErr w:type="gramEnd"/>
      <w:r w:rsidRPr="00E64544">
        <w:t>在UE中进行复杂物理模拟的深入文档较为稀缺。</w:t>
      </w:r>
    </w:p>
    <w:p w14:paraId="5291A5D4" w14:textId="77777777" w:rsidR="00E64544" w:rsidRPr="00E64544" w:rsidRDefault="00E64544" w:rsidP="00E64544">
      <w:pPr>
        <w:ind w:firstLine="420"/>
      </w:pPr>
      <w:r w:rsidRPr="00E64544">
        <w:t>一个值得关注的趋势是</w:t>
      </w:r>
      <w:r w:rsidRPr="00E64544">
        <w:rPr>
          <w:b/>
          <w:bCs/>
        </w:rPr>
        <w:t>统一框架（Unified Framework）</w:t>
      </w:r>
      <w:r w:rsidRPr="00E64544">
        <w:t>的出现。一些研究开始探</w:t>
      </w:r>
      <w:r w:rsidRPr="00E64544">
        <w:lastRenderedPageBreak/>
        <w:t>索将流体模拟、刚体动力学、甚至次级粒子效果（如泡沫和喷雾）全部集成在一个统一的GPU计算管线中，通过最小化CPU-GPU数据传输实现极高的粒子数量和</w:t>
      </w:r>
      <w:proofErr w:type="gramStart"/>
      <w:r w:rsidRPr="00E64544">
        <w:t>帧率</w:t>
      </w:r>
      <w:proofErr w:type="gramEnd"/>
      <w:r w:rsidRPr="00E64544">
        <w:t>。此外，现代游戏引擎广泛采用的</w:t>
      </w:r>
      <w:r w:rsidRPr="00E64544">
        <w:rPr>
          <w:b/>
          <w:bCs/>
        </w:rPr>
        <w:t>ECS（Entity Component System）</w:t>
      </w:r>
      <w:r w:rsidRPr="00E64544">
        <w:t>架构，其数据驱动和面向组合的设计思想，与SPH这种基于粒子的方法天然契合，有望构建出更高效、可扩展的物理模拟系统。</w:t>
      </w:r>
    </w:p>
    <w:p w14:paraId="389387D7" w14:textId="77777777" w:rsidR="00E64544" w:rsidRPr="00E64544" w:rsidRDefault="00E64544" w:rsidP="00E64544">
      <w:pPr>
        <w:ind w:firstLine="420"/>
      </w:pPr>
      <w:r w:rsidRPr="00E64544">
        <w:t>值得注意的是，开源求解器（如GPUSPH、</w:t>
      </w:r>
      <w:proofErr w:type="spellStart"/>
      <w:r w:rsidRPr="00E64544">
        <w:t>SPHinXsys</w:t>
      </w:r>
      <w:proofErr w:type="spellEnd"/>
      <w:r w:rsidRPr="00E64544">
        <w:t>等）在科学计算和工程领域也发挥了重要作用，为学术界与工业界提供了标准化的SPH实现方案。</w:t>
      </w:r>
    </w:p>
    <w:p w14:paraId="0ECF0412" w14:textId="77777777" w:rsidR="00E64544" w:rsidRPr="00E64544" w:rsidRDefault="00E64544" w:rsidP="00E64544">
      <w:pPr>
        <w:rPr>
          <w:b/>
          <w:bCs/>
        </w:rPr>
      </w:pPr>
      <w:r w:rsidRPr="00E64544">
        <w:rPr>
          <w:b/>
          <w:bCs/>
        </w:rPr>
        <w:t>5. 总结与未来展望</w:t>
      </w:r>
    </w:p>
    <w:p w14:paraId="36DBEC86" w14:textId="77777777" w:rsidR="00E64544" w:rsidRPr="00E64544" w:rsidRDefault="00E64544" w:rsidP="00E64544">
      <w:pPr>
        <w:ind w:firstLine="420"/>
      </w:pPr>
      <w:r w:rsidRPr="00E64544">
        <w:t>在2021至2026年间，GPU加速的SPH流体模拟技术在算法优化、硬件利用和工程实践方面均取得了显著进展。WCSPH与PCISPH作为两种主流方法，在实时性与物理精度之间提供了不同的权衡；自适应技术和先进的边界处理则进一步提升了模拟的效率与真实感。在GPU加速层面，不同计算API各有优劣，Vulkan Compute凭借其底层控制优势在大规模模拟中展现出潜力。</w:t>
      </w:r>
    </w:p>
    <w:p w14:paraId="2E0D9D2F" w14:textId="77777777" w:rsidR="00E64544" w:rsidRPr="00E64544" w:rsidRDefault="00E64544" w:rsidP="00E64544">
      <w:r w:rsidRPr="00E64544">
        <w:t>展望未来，该领域的研究可能聚焦于：</w:t>
      </w:r>
    </w:p>
    <w:p w14:paraId="5B53D902" w14:textId="77777777" w:rsidR="00E64544" w:rsidRPr="00E64544" w:rsidRDefault="00E64544" w:rsidP="00E64544">
      <w:pPr>
        <w:numPr>
          <w:ilvl w:val="0"/>
          <w:numId w:val="1"/>
        </w:numPr>
      </w:pPr>
      <w:r w:rsidRPr="00E64544">
        <w:rPr>
          <w:b/>
          <w:bCs/>
        </w:rPr>
        <w:t>AI与机器学习的融合</w:t>
      </w:r>
      <w:r w:rsidRPr="00E64544">
        <w:t>：利用神经网络学习和预测流体的复杂行为，或替代SPH计算中的高成本部分。</w:t>
      </w:r>
    </w:p>
    <w:p w14:paraId="3AB8FFC3" w14:textId="77777777" w:rsidR="00E64544" w:rsidRPr="00E64544" w:rsidRDefault="00E64544" w:rsidP="00E64544">
      <w:pPr>
        <w:numPr>
          <w:ilvl w:val="0"/>
          <w:numId w:val="1"/>
        </w:numPr>
      </w:pPr>
      <w:r w:rsidRPr="00E64544">
        <w:rPr>
          <w:b/>
          <w:bCs/>
        </w:rPr>
        <w:t>混合精度与硬件加速</w:t>
      </w:r>
      <w:r w:rsidRPr="00E64544">
        <w:t>：探索利用现代GPU的Tensor Core等硬件单元获得性能飞跃。</w:t>
      </w:r>
    </w:p>
    <w:p w14:paraId="6638B41A" w14:textId="77777777" w:rsidR="00E64544" w:rsidRPr="00E64544" w:rsidRDefault="00E64544" w:rsidP="00E64544">
      <w:pPr>
        <w:numPr>
          <w:ilvl w:val="0"/>
          <w:numId w:val="1"/>
        </w:numPr>
      </w:pPr>
      <w:r w:rsidRPr="00E64544">
        <w:rPr>
          <w:b/>
          <w:bCs/>
        </w:rPr>
        <w:t>更紧密的物理耦合</w:t>
      </w:r>
      <w:r w:rsidRPr="00E64544">
        <w:t>：研究SPH流体与柔性体、可破坏场景等其他物理系</w:t>
      </w:r>
      <w:proofErr w:type="gramStart"/>
      <w:r w:rsidRPr="00E64544">
        <w:t>统之间</w:t>
      </w:r>
      <w:proofErr w:type="gramEnd"/>
      <w:r w:rsidRPr="00E64544">
        <w:t>更稳定、高效的双向耦合算法。</w:t>
      </w:r>
    </w:p>
    <w:p w14:paraId="2862489A" w14:textId="77777777" w:rsidR="00E64544" w:rsidRPr="00E64544" w:rsidRDefault="00E64544" w:rsidP="00E64544">
      <w:pPr>
        <w:numPr>
          <w:ilvl w:val="0"/>
          <w:numId w:val="1"/>
        </w:numPr>
      </w:pPr>
      <w:r w:rsidRPr="00E64544">
        <w:rPr>
          <w:b/>
          <w:bCs/>
        </w:rPr>
        <w:t>跨平台与云端计算</w:t>
      </w:r>
      <w:r w:rsidRPr="00E64544">
        <w:t>：研究分布式环境下的大规模SPH模拟及</w:t>
      </w:r>
      <w:proofErr w:type="gramStart"/>
      <w:r w:rsidRPr="00E64544">
        <w:t>实时串流技术</w:t>
      </w:r>
      <w:proofErr w:type="gramEnd"/>
      <w:r w:rsidRPr="00E64544">
        <w:t>。</w:t>
      </w:r>
    </w:p>
    <w:p w14:paraId="5D87F8C9" w14:textId="77777777" w:rsidR="00E64544" w:rsidRPr="00E64544" w:rsidRDefault="00E64544" w:rsidP="00E64544">
      <w:pPr>
        <w:rPr>
          <w:b/>
          <w:bCs/>
        </w:rPr>
      </w:pPr>
      <w:r w:rsidRPr="00E64544">
        <w:rPr>
          <w:b/>
          <w:bCs/>
        </w:rPr>
        <w:t>6. 检索说明与AI使用透明度</w:t>
      </w:r>
    </w:p>
    <w:p w14:paraId="446023BE" w14:textId="77777777" w:rsidR="00E64544" w:rsidRPr="00E64544" w:rsidRDefault="00E64544" w:rsidP="00E64544">
      <w:pPr>
        <w:ind w:firstLine="420"/>
      </w:pPr>
      <w:r w:rsidRPr="00E64544">
        <w:rPr>
          <w:b/>
          <w:bCs/>
        </w:rPr>
        <w:t>检索说明</w:t>
      </w:r>
      <w:r w:rsidRPr="00E64544">
        <w:t>：本次文献检索聚焦于近5年（2021-2026年）发表的与“GPU加速SPH流体模拟”相关的核心文献。经检索发现，近5年图形</w:t>
      </w:r>
      <w:proofErr w:type="gramStart"/>
      <w:r w:rsidRPr="00E64544">
        <w:t>学顶会中直接关于</w:t>
      </w:r>
      <w:proofErr w:type="gramEnd"/>
      <w:r w:rsidRPr="00E64544">
        <w:t>SPH算法基础理论的突破性论文数量有限，该领域的研究创新更多体现在工程应用、跨领域融合（如地球科学、海洋工程）以及商业引擎集成报告中。因此，本综述基于检索到的学术期刊论文、工程应用报告及开源求解</w:t>
      </w:r>
      <w:proofErr w:type="gramStart"/>
      <w:r w:rsidRPr="00E64544">
        <w:t>器相关</w:t>
      </w:r>
      <w:proofErr w:type="gramEnd"/>
      <w:r w:rsidRPr="00E64544">
        <w:t>文献进行整合分析。</w:t>
      </w:r>
    </w:p>
    <w:p w14:paraId="3747F901" w14:textId="77777777" w:rsidR="00E64544" w:rsidRPr="00E64544" w:rsidRDefault="00E64544" w:rsidP="00E64544">
      <w:r w:rsidRPr="00E64544">
        <w:rPr>
          <w:b/>
          <w:bCs/>
        </w:rPr>
        <w:t>AI使用日志</w:t>
      </w:r>
      <w:r w:rsidRPr="00E64544">
        <w:t>：</w:t>
      </w:r>
    </w:p>
    <w:p w14:paraId="5F28720E" w14:textId="77777777" w:rsidR="00E64544" w:rsidRPr="00E64544" w:rsidRDefault="00E64544" w:rsidP="00E64544">
      <w:pPr>
        <w:numPr>
          <w:ilvl w:val="0"/>
          <w:numId w:val="2"/>
        </w:numPr>
      </w:pPr>
      <w:r w:rsidRPr="00E64544">
        <w:t>设定扮演“资深学术科研助手”角色，明确当前日期。</w:t>
      </w:r>
    </w:p>
    <w:p w14:paraId="2DAC62FF" w14:textId="77777777" w:rsidR="00E64544" w:rsidRPr="00E64544" w:rsidRDefault="00E64544" w:rsidP="00E64544">
      <w:pPr>
        <w:numPr>
          <w:ilvl w:val="0"/>
          <w:numId w:val="2"/>
        </w:numPr>
      </w:pPr>
      <w:r w:rsidRPr="00E64544">
        <w:t>分析用户给定的研究方向和关键词，仔细阅读提供的搜索结果，筛选出真实存在的、来自学术期刊和技术报告的近期文献。</w:t>
      </w:r>
    </w:p>
    <w:p w14:paraId="495E974B" w14:textId="77777777" w:rsidR="00E64544" w:rsidRPr="00E64544" w:rsidRDefault="00E64544" w:rsidP="00E64544">
      <w:pPr>
        <w:numPr>
          <w:ilvl w:val="0"/>
          <w:numId w:val="2"/>
        </w:numPr>
      </w:pPr>
      <w:r w:rsidRPr="00E64544">
        <w:t>逐一为筛选出的文献提取核心信息（方法、性能数据、局限性等），并将其有</w:t>
      </w:r>
      <w:r w:rsidRPr="00E64544">
        <w:lastRenderedPageBreak/>
        <w:t>机整合到综述的各个章节。</w:t>
      </w:r>
    </w:p>
    <w:p w14:paraId="4CDEFD19" w14:textId="77777777" w:rsidR="00E64544" w:rsidRPr="00E64544" w:rsidRDefault="00E64544" w:rsidP="00E64544">
      <w:pPr>
        <w:numPr>
          <w:ilvl w:val="0"/>
          <w:numId w:val="2"/>
        </w:numPr>
      </w:pPr>
      <w:r w:rsidRPr="00E64544">
        <w:t>在完成报告后，回溯正文，在主要进行信息综合与总结的段落添加AI辅助生成标注。</w:t>
      </w:r>
    </w:p>
    <w:p w14:paraId="5F2C132F" w14:textId="77777777" w:rsidR="001243AD" w:rsidRPr="00E64544" w:rsidRDefault="001243AD" w:rsidP="00E64544">
      <w:pPr>
        <w:rPr>
          <w:rFonts w:hint="eastAsia"/>
        </w:rPr>
      </w:pPr>
    </w:p>
    <w:sectPr w:rsidR="001243AD" w:rsidRPr="00E645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260951"/>
    <w:multiLevelType w:val="multilevel"/>
    <w:tmpl w:val="2D0EE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3B7CA8"/>
    <w:multiLevelType w:val="multilevel"/>
    <w:tmpl w:val="1334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650967">
    <w:abstractNumId w:val="0"/>
  </w:num>
  <w:num w:numId="2" w16cid:durableId="2145541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6C"/>
    <w:rsid w:val="001243AD"/>
    <w:rsid w:val="004D1088"/>
    <w:rsid w:val="00E64544"/>
    <w:rsid w:val="00E8586C"/>
    <w:rsid w:val="00F90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83992"/>
  <w15:chartTrackingRefBased/>
  <w15:docId w15:val="{33BE2043-9790-49DC-82F7-C8313BB10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58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58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58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58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58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586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586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586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586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58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58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58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586C"/>
    <w:rPr>
      <w:rFonts w:cstheme="majorBidi"/>
      <w:color w:val="0F4761" w:themeColor="accent1" w:themeShade="BF"/>
      <w:sz w:val="28"/>
      <w:szCs w:val="28"/>
    </w:rPr>
  </w:style>
  <w:style w:type="character" w:customStyle="1" w:styleId="50">
    <w:name w:val="标题 5 字符"/>
    <w:basedOn w:val="a0"/>
    <w:link w:val="5"/>
    <w:uiPriority w:val="9"/>
    <w:semiHidden/>
    <w:rsid w:val="00E8586C"/>
    <w:rPr>
      <w:rFonts w:cstheme="majorBidi"/>
      <w:color w:val="0F4761" w:themeColor="accent1" w:themeShade="BF"/>
      <w:sz w:val="24"/>
    </w:rPr>
  </w:style>
  <w:style w:type="character" w:customStyle="1" w:styleId="60">
    <w:name w:val="标题 6 字符"/>
    <w:basedOn w:val="a0"/>
    <w:link w:val="6"/>
    <w:uiPriority w:val="9"/>
    <w:semiHidden/>
    <w:rsid w:val="00E8586C"/>
    <w:rPr>
      <w:rFonts w:cstheme="majorBidi"/>
      <w:b/>
      <w:bCs/>
      <w:color w:val="0F4761" w:themeColor="accent1" w:themeShade="BF"/>
    </w:rPr>
  </w:style>
  <w:style w:type="character" w:customStyle="1" w:styleId="70">
    <w:name w:val="标题 7 字符"/>
    <w:basedOn w:val="a0"/>
    <w:link w:val="7"/>
    <w:uiPriority w:val="9"/>
    <w:semiHidden/>
    <w:rsid w:val="00E8586C"/>
    <w:rPr>
      <w:rFonts w:cstheme="majorBidi"/>
      <w:b/>
      <w:bCs/>
      <w:color w:val="595959" w:themeColor="text1" w:themeTint="A6"/>
    </w:rPr>
  </w:style>
  <w:style w:type="character" w:customStyle="1" w:styleId="80">
    <w:name w:val="标题 8 字符"/>
    <w:basedOn w:val="a0"/>
    <w:link w:val="8"/>
    <w:uiPriority w:val="9"/>
    <w:semiHidden/>
    <w:rsid w:val="00E8586C"/>
    <w:rPr>
      <w:rFonts w:cstheme="majorBidi"/>
      <w:color w:val="595959" w:themeColor="text1" w:themeTint="A6"/>
    </w:rPr>
  </w:style>
  <w:style w:type="character" w:customStyle="1" w:styleId="90">
    <w:name w:val="标题 9 字符"/>
    <w:basedOn w:val="a0"/>
    <w:link w:val="9"/>
    <w:uiPriority w:val="9"/>
    <w:semiHidden/>
    <w:rsid w:val="00E8586C"/>
    <w:rPr>
      <w:rFonts w:eastAsiaTheme="majorEastAsia" w:cstheme="majorBidi"/>
      <w:color w:val="595959" w:themeColor="text1" w:themeTint="A6"/>
    </w:rPr>
  </w:style>
  <w:style w:type="paragraph" w:styleId="a3">
    <w:name w:val="Title"/>
    <w:basedOn w:val="a"/>
    <w:next w:val="a"/>
    <w:link w:val="a4"/>
    <w:uiPriority w:val="10"/>
    <w:qFormat/>
    <w:rsid w:val="00E858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58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58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58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586C"/>
    <w:pPr>
      <w:spacing w:before="160"/>
      <w:jc w:val="center"/>
    </w:pPr>
    <w:rPr>
      <w:i/>
      <w:iCs/>
      <w:color w:val="404040" w:themeColor="text1" w:themeTint="BF"/>
    </w:rPr>
  </w:style>
  <w:style w:type="character" w:customStyle="1" w:styleId="a8">
    <w:name w:val="引用 字符"/>
    <w:basedOn w:val="a0"/>
    <w:link w:val="a7"/>
    <w:uiPriority w:val="29"/>
    <w:rsid w:val="00E8586C"/>
    <w:rPr>
      <w:i/>
      <w:iCs/>
      <w:color w:val="404040" w:themeColor="text1" w:themeTint="BF"/>
    </w:rPr>
  </w:style>
  <w:style w:type="paragraph" w:styleId="a9">
    <w:name w:val="List Paragraph"/>
    <w:basedOn w:val="a"/>
    <w:uiPriority w:val="34"/>
    <w:qFormat/>
    <w:rsid w:val="00E8586C"/>
    <w:pPr>
      <w:ind w:left="720"/>
      <w:contextualSpacing/>
    </w:pPr>
  </w:style>
  <w:style w:type="character" w:styleId="aa">
    <w:name w:val="Intense Emphasis"/>
    <w:basedOn w:val="a0"/>
    <w:uiPriority w:val="21"/>
    <w:qFormat/>
    <w:rsid w:val="00E8586C"/>
    <w:rPr>
      <w:i/>
      <w:iCs/>
      <w:color w:val="0F4761" w:themeColor="accent1" w:themeShade="BF"/>
    </w:rPr>
  </w:style>
  <w:style w:type="paragraph" w:styleId="ab">
    <w:name w:val="Intense Quote"/>
    <w:basedOn w:val="a"/>
    <w:next w:val="a"/>
    <w:link w:val="ac"/>
    <w:uiPriority w:val="30"/>
    <w:qFormat/>
    <w:rsid w:val="00E85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586C"/>
    <w:rPr>
      <w:i/>
      <w:iCs/>
      <w:color w:val="0F4761" w:themeColor="accent1" w:themeShade="BF"/>
    </w:rPr>
  </w:style>
  <w:style w:type="character" w:styleId="ad">
    <w:name w:val="Intense Reference"/>
    <w:basedOn w:val="a0"/>
    <w:uiPriority w:val="32"/>
    <w:qFormat/>
    <w:rsid w:val="00E858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940126">
      <w:bodyDiv w:val="1"/>
      <w:marLeft w:val="0"/>
      <w:marRight w:val="0"/>
      <w:marTop w:val="0"/>
      <w:marBottom w:val="0"/>
      <w:divBdr>
        <w:top w:val="none" w:sz="0" w:space="0" w:color="auto"/>
        <w:left w:val="none" w:sz="0" w:space="0" w:color="auto"/>
        <w:bottom w:val="none" w:sz="0" w:space="0" w:color="auto"/>
        <w:right w:val="none" w:sz="0" w:space="0" w:color="auto"/>
      </w:divBdr>
    </w:div>
    <w:div w:id="189045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喆毓 刘</dc:creator>
  <cp:keywords/>
  <dc:description/>
  <cp:lastModifiedBy>喆毓 刘</cp:lastModifiedBy>
  <cp:revision>2</cp:revision>
  <dcterms:created xsi:type="dcterms:W3CDTF">2026-09-01T00:21:00Z</dcterms:created>
  <dcterms:modified xsi:type="dcterms:W3CDTF">2026-09-01T00:22:00Z</dcterms:modified>
</cp:coreProperties>
</file>