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9B8E" w:sz="8" w:space="4"/>
        </w:pBdr>
        <w:spacing w:after="40" w:before="0"/>
        <w:jc w:val="center"/>
      </w:pPr>
      <w:r>
        <w:rPr>
          <w:rFonts w:ascii="Arial" w:cs="Arial" w:eastAsia="Arial" w:hAnsi="Arial"/>
          <w:b/>
          <w:bCs/>
          <w:color w:val="006B63"/>
          <w:sz w:val="22"/>
          <w:szCs w:val="22"/>
        </w:rPr>
        <w:t xml:space="preserve">Université Hassan II de Casablanca</w:t>
      </w:r>
      <w:r>
        <w:rPr>
          <w:rFonts w:ascii="Arial" w:cs="Arial" w:eastAsia="Arial" w:hAnsi="Arial"/>
          <w:color w:val="555555"/>
          <w:sz w:val="22"/>
          <w:szCs w:val="22"/>
        </w:rPr>
        <w:t xml:space="preserve">     |     </w:t>
      </w:r>
      <w:r>
        <w:rPr>
          <w:rFonts w:ascii="Arial" w:cs="Arial" w:eastAsia="Arial" w:hAnsi="Arial"/>
          <w:color w:val="006B63"/>
          <w:sz w:val="22"/>
          <w:szCs w:val="22"/>
        </w:rPr>
        <w:t xml:space="preserve">Faculté des Sciences Ben M'Sick</w:t>
      </w:r>
    </w:p>
    <w:p>
      <w:pPr>
        <w:spacing w:after="200" w:before="0"/>
        <w:jc w:val="center"/>
      </w:pPr>
      <w:r>
        <w:rPr>
          <w:rFonts w:ascii="Arial" w:cs="Arial" w:eastAsia="Arial" w:hAnsi="Arial"/>
          <w:color w:val="555555"/>
          <w:sz w:val="20"/>
          <w:szCs w:val="20"/>
        </w:rPr>
        <w:t xml:space="preserve">Département de Mathématiques et Informatique</w:t>
      </w:r>
    </w:p>
    <w:p>
      <w:pPr>
        <w:spacing w:after="0" w:before="0"/>
      </w:pPr>
      <w:r>
        <w:rPr>
          <w:sz w:val="32"/>
          <w:szCs w:val="32"/>
        </w:rPr>
        <w:t xml:space="preserve"/>
      </w:r>
    </w:p>
    <w:p>
      <w:pPr>
        <w:spacing w:after="100" w:before="200"/>
        <w:jc w:val="center"/>
      </w:pPr>
      <w:r>
        <w:rPr>
          <w:rFonts w:ascii="Arial" w:cs="Arial" w:eastAsia="Arial" w:hAnsi="Arial"/>
          <w:b/>
          <w:bCs/>
          <w:color w:val="1F9B8E"/>
          <w:sz w:val="56"/>
          <w:szCs w:val="56"/>
        </w:rPr>
        <w:t xml:space="preserve">Projet de fin de module</w:t>
      </w:r>
    </w:p>
    <w:p>
      <w:pPr>
        <w:spacing w:after="0" w:before="0"/>
      </w:pPr>
      <w:r>
        <w:rPr>
          <w:sz w:val="24"/>
          <w:szCs w:val="24"/>
        </w:rPr>
        <w:t xml:space="preserve"/>
      </w:r>
    </w:p>
    <w:p>
      <w:pPr>
        <w:spacing w:after="80" w:before="80"/>
        <w:jc w:val="center"/>
      </w:pPr>
      <w:r>
        <w:rPr>
          <w:rFonts w:ascii="Arial" w:cs="Arial" w:eastAsia="Arial" w:hAnsi="Arial"/>
          <w:b/>
          <w:bCs/>
          <w:color w:val="1F9B8E"/>
          <w:sz w:val="24"/>
          <w:szCs w:val="24"/>
        </w:rPr>
        <w:t xml:space="preserve">Filière : </w:t>
      </w:r>
      <w:r>
        <w:rPr>
          <w:rFonts w:ascii="Arial" w:cs="Arial" w:eastAsia="Arial" w:hAnsi="Arial"/>
          <w:color w:val="333333"/>
          <w:sz w:val="24"/>
          <w:szCs w:val="24"/>
        </w:rPr>
        <w:t xml:space="preserve">Licence d'Excellence</w:t>
      </w:r>
    </w:p>
    <w:p>
      <w:pPr>
        <w:spacing w:after="80" w:before="80"/>
        <w:jc w:val="center"/>
      </w:pPr>
      <w:r>
        <w:rPr>
          <w:rFonts w:ascii="Arial" w:cs="Arial" w:eastAsia="Arial" w:hAnsi="Arial"/>
          <w:b/>
          <w:bCs/>
          <w:color w:val="1F9B8E"/>
          <w:sz w:val="24"/>
          <w:szCs w:val="24"/>
        </w:rPr>
        <w:t xml:space="preserve">Option : </w:t>
      </w:r>
      <w:r>
        <w:rPr>
          <w:rFonts w:ascii="Arial" w:cs="Arial" w:eastAsia="Arial" w:hAnsi="Arial"/>
          <w:color w:val="333333"/>
          <w:sz w:val="24"/>
          <w:szCs w:val="24"/>
        </w:rPr>
        <w:t xml:space="preserve">Intelligence Artificielle</w:t>
      </w:r>
    </w:p>
    <w:p>
      <w:pPr>
        <w:spacing w:after="0" w:before="0"/>
      </w:pPr>
      <w:r>
        <w:rPr>
          <w:sz w:val="20"/>
          <w:szCs w:val="20"/>
        </w:rPr>
        <w:t xml:space="preserve"/>
      </w:r>
    </w:p>
    <w:p>
      <w:pPr>
        <w:spacing w:after="80" w:before="200"/>
        <w:jc w:val="center"/>
      </w:pPr>
      <w:r>
        <w:rPr>
          <w:rFonts w:ascii="Arial" w:cs="Arial" w:eastAsia="Arial" w:hAnsi="Arial"/>
          <w:b/>
          <w:bCs/>
          <w:color w:val="F5A623"/>
          <w:sz w:val="36"/>
          <w:szCs w:val="36"/>
        </w:rPr>
        <w:t xml:space="preserve">Sujet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A623" w:sz="6"/>
              <w:left w:val="single" w:color="F5A623" w:sz="6"/>
              <w:bottom w:val="single" w:color="F5A623" w:sz="6"/>
              <w:right w:val="single" w:color="F5A623" w:sz="6"/>
            </w:tcBorders>
            <w:shd w:fill="FFFDF0" w:val="clear"/>
            <w:tcMar>
              <w:top w:type="dxa" w:w="160"/>
              <w:left w:type="dxa" w:w="240"/>
              <w:bottom w:type="dxa" w:w="160"/>
              <w:right w:type="dxa" w:w="240"/>
            </w:tcMar>
          </w:tcPr>
          <w:p>
            <w:pPr>
              <w:spacing w:after="60" w:before="60"/>
            </w:pPr>
            <w:r>
              <w:rPr>
                <w:rFonts w:ascii="Arial" w:cs="Arial" w:eastAsia="Arial" w:hAnsi="Arial"/>
                <w:b/>
                <w:bCs/>
                <w:color w:val="1F9B8E"/>
                <w:sz w:val="26"/>
                <w:szCs w:val="26"/>
              </w:rPr>
              <w:t xml:space="preserve">Prédiction de la Croissance des Plants de Laitue</w:t>
            </w:r>
          </w:p>
        </w:tc>
      </w:tr>
    </w:tbl>
    <w:p>
      <w:pPr>
        <w:spacing w:after="0" w:before="0"/>
      </w:pPr>
      <w:r>
        <w:rPr>
          <w:sz w:val="24"/>
          <w:szCs w:val="24"/>
        </w:rPr>
        <w:t xml:space="preserve"/>
      </w:r>
    </w:p>
    <w:p>
      <w:pPr>
        <w:spacing w:after="80" w:before="240"/>
      </w:pPr>
      <w:r>
        <w:rPr>
          <w:rFonts w:ascii="Arial" w:cs="Arial" w:eastAsia="Arial" w:hAnsi="Arial"/>
          <w:b/>
          <w:bCs/>
          <w:color w:val="1F9B8E"/>
          <w:sz w:val="24"/>
          <w:szCs w:val="24"/>
        </w:rPr>
        <w:t xml:space="preserve">Réalisé par :</w:t>
      </w:r>
    </w:p>
    <w:p>
      <w:pPr>
        <w:spacing w:after="40" w:before="40"/>
      </w:pPr>
      <w:r>
        <w:rPr>
          <w:rFonts w:ascii="Arial" w:cs="Arial" w:eastAsia="Arial" w:hAnsi="Arial"/>
          <w:sz w:val="22"/>
          <w:szCs w:val="22"/>
        </w:rPr>
        <w:t xml:space="preserve">Mlle Chaimae Sebbar</w:t>
      </w:r>
    </w:p>
    <w:p>
      <w:pPr>
        <w:spacing w:after="40" w:before="40"/>
      </w:pPr>
      <w:r>
        <w:rPr>
          <w:rFonts w:ascii="Arial" w:cs="Arial" w:eastAsia="Arial" w:hAnsi="Arial"/>
          <w:sz w:val="22"/>
          <w:szCs w:val="22"/>
        </w:rPr>
        <w:t xml:space="preserve">Mlle Aya Assafa</w:t>
      </w:r>
    </w:p>
    <w:p>
      <w:pPr>
        <w:spacing w:after="0" w:before="0"/>
      </w:pPr>
      <w:r>
        <w:rPr>
          <w:sz w:val="16"/>
          <w:szCs w:val="16"/>
        </w:rPr>
        <w:t xml:space="preserve"/>
      </w:r>
    </w:p>
    <w:p>
      <w:pPr>
        <w:spacing w:after="80" w:before="200"/>
      </w:pPr>
      <w:r>
        <w:rPr>
          <w:rFonts w:ascii="Arial" w:cs="Arial" w:eastAsia="Arial" w:hAnsi="Arial"/>
          <w:b/>
          <w:bCs/>
          <w:color w:val="1F9B8E"/>
          <w:sz w:val="24"/>
          <w:szCs w:val="24"/>
        </w:rPr>
        <w:t xml:space="preserve">Encadré par :</w:t>
      </w:r>
    </w:p>
    <w:p>
      <w:pPr>
        <w:spacing w:after="40" w:before="40"/>
      </w:pPr>
      <w:r>
        <w:rPr>
          <w:rFonts w:ascii="Arial" w:cs="Arial" w:eastAsia="Arial" w:hAnsi="Arial"/>
          <w:sz w:val="22"/>
          <w:szCs w:val="22"/>
        </w:rPr>
        <w:t xml:space="preserve">Mr El Habib Ben Lahmar</w:t>
      </w:r>
    </w:p>
    <w:p>
      <w:pPr>
        <w:spacing w:after="0" w:before="0"/>
      </w:pPr>
      <w:r>
        <w:rPr>
          <w:sz w:val="32"/>
          <w:szCs w:val="32"/>
        </w:rPr>
        <w:t xml:space="preserve"/>
      </w:r>
    </w:p>
    <w:p>
      <w:pPr>
        <w:pBdr>
          <w:top w:val="single" w:color="006B63" w:sz="8" w:space="4"/>
        </w:pBdr>
        <w:shd w:fill="006B63" w:val="clear"/>
        <w:spacing w:after="0" w:before="300"/>
        <w:jc w:val="center"/>
      </w:pPr>
      <w:r>
        <w:rPr>
          <w:rFonts w:ascii="Arial" w:cs="Arial" w:eastAsia="Arial" w:hAnsi="Arial"/>
          <w:b/>
          <w:bCs/>
          <w:color w:val="FFFFFF"/>
          <w:sz w:val="22"/>
          <w:szCs w:val="22"/>
        </w:rPr>
        <w:t xml:space="preserve">Année Universitaire : 2025-2026</w:t>
      </w:r>
    </w:p>
    <w:p>
      <w:r>
        <w:br w:type="page"/>
      </w:r>
    </w:p>
    <w:p>
      <w:pPr>
        <w:pBdr>
          <w:bottom w:val="single" w:color="1F9B8E" w:sz="4" w:space="4"/>
        </w:pBdr>
        <w:spacing w:after="180" w:before="300"/>
      </w:pPr>
      <w:r>
        <w:rPr>
          <w:rFonts w:ascii="Arial" w:cs="Arial" w:eastAsia="Arial" w:hAnsi="Arial"/>
          <w:b/>
          <w:bCs/>
          <w:color w:val="1F9B8E"/>
          <w:sz w:val="36"/>
          <w:szCs w:val="36"/>
        </w:rPr>
        <w:t xml:space="preserve">Table des Matières</w:t>
      </w:r>
    </w:p>
    <w:p>
      <w:pPr>
        <w:spacing w:after="0" w:before="0"/>
      </w:pPr>
      <w:r>
        <w:rPr>
          <w:sz w:val="12"/>
          <w:szCs w:val="12"/>
        </w:rPr>
        <w:t xml:space="preserve"/>
      </w:r>
    </w:p>
    <w:p>
      <w:pPr>
        <w:tabs>
          <w:tab w:val="right" w:pos="9026"/>
        </w:tabs>
        <w:spacing w:after="80" w:before="80"/>
      </w:pPr>
      <w:r>
        <w:rPr>
          <w:rFonts w:ascii="Arial" w:cs="Arial" w:eastAsia="Arial" w:hAnsi="Arial"/>
          <w:b/>
          <w:bCs/>
          <w:color w:val="222222"/>
          <w:sz w:val="22"/>
          <w:szCs w:val="22"/>
        </w:rPr>
        <w:t xml:space="preserve">1.  Introduction Générale</w:t>
      </w:r>
      <w:r>
        <w:rPr>
          <w:rFonts w:ascii="Arial" w:cs="Arial" w:eastAsia="Arial" w:hAnsi="Arial"/>
          <w:color w:val="1F9B8E"/>
          <w:sz w:val="22"/>
          <w:szCs w:val="22"/>
        </w:rPr>
        <w:t xml:space="preserve">	3</w:t>
      </w:r>
    </w:p>
    <w:p>
      <w:pPr>
        <w:tabs>
          <w:tab w:val="right" w:pos="9026"/>
        </w:tabs>
        <w:spacing w:after="80" w:before="80"/>
      </w:pPr>
      <w:r>
        <w:rPr>
          <w:rFonts w:ascii="Arial" w:cs="Arial" w:eastAsia="Arial" w:hAnsi="Arial"/>
          <w:b/>
          <w:bCs/>
          <w:color w:val="222222"/>
          <w:sz w:val="22"/>
          <w:szCs w:val="22"/>
        </w:rPr>
        <w:t xml:space="preserve">2.  Présentation du Projet</w:t>
      </w:r>
      <w:r>
        <w:rPr>
          <w:rFonts w:ascii="Arial" w:cs="Arial" w:eastAsia="Arial" w:hAnsi="Arial"/>
          <w:color w:val="1F9B8E"/>
          <w:sz w:val="22"/>
          <w:szCs w:val="22"/>
        </w:rPr>
        <w:t xml:space="preserve">	4</w:t>
      </w:r>
    </w:p>
    <w:p>
      <w:pPr>
        <w:tabs>
          <w:tab w:val="right" w:pos="9026"/>
        </w:tabs>
        <w:spacing w:after="80" w:before="80"/>
      </w:pPr>
      <w:r>
        <w:rPr>
          <w:rFonts w:ascii="Arial" w:cs="Arial" w:eastAsia="Arial" w:hAnsi="Arial"/>
          <w:b/>
          <w:bCs/>
          <w:color w:val="222222"/>
          <w:sz w:val="22"/>
          <w:szCs w:val="22"/>
        </w:rPr>
        <w:t xml:space="preserve">3.  Description du Dataset</w:t>
      </w:r>
      <w:r>
        <w:rPr>
          <w:rFonts w:ascii="Arial" w:cs="Arial" w:eastAsia="Arial" w:hAnsi="Arial"/>
          <w:color w:val="1F9B8E"/>
          <w:sz w:val="22"/>
          <w:szCs w:val="22"/>
        </w:rPr>
        <w:t xml:space="preserve">	5</w:t>
      </w:r>
    </w:p>
    <w:p>
      <w:pPr>
        <w:tabs>
          <w:tab w:val="right" w:pos="9026"/>
        </w:tabs>
        <w:spacing w:after="80" w:before="80"/>
      </w:pPr>
      <w:r>
        <w:rPr>
          <w:rFonts w:ascii="Arial" w:cs="Arial" w:eastAsia="Arial" w:hAnsi="Arial"/>
          <w:b/>
          <w:bCs/>
          <w:color w:val="222222"/>
          <w:sz w:val="22"/>
          <w:szCs w:val="22"/>
        </w:rPr>
        <w:t xml:space="preserve">4.  Prétraitement des Données</w:t>
      </w:r>
      <w:r>
        <w:rPr>
          <w:rFonts w:ascii="Arial" w:cs="Arial" w:eastAsia="Arial" w:hAnsi="Arial"/>
          <w:color w:val="1F9B8E"/>
          <w:sz w:val="22"/>
          <w:szCs w:val="22"/>
        </w:rPr>
        <w:t xml:space="preserve">	6</w:t>
      </w:r>
    </w:p>
    <w:p>
      <w:pPr>
        <w:tabs>
          <w:tab w:val="right" w:pos="9026"/>
        </w:tabs>
        <w:spacing w:after="80" w:before="80"/>
      </w:pPr>
      <w:r>
        <w:rPr>
          <w:rFonts w:ascii="Arial" w:cs="Arial" w:eastAsia="Arial" w:hAnsi="Arial"/>
          <w:b/>
          <w:bCs/>
          <w:color w:val="222222"/>
          <w:sz w:val="22"/>
          <w:szCs w:val="22"/>
        </w:rPr>
        <w:t xml:space="preserve">5.  Normalisation des Données</w:t>
      </w:r>
      <w:r>
        <w:rPr>
          <w:rFonts w:ascii="Arial" w:cs="Arial" w:eastAsia="Arial" w:hAnsi="Arial"/>
          <w:color w:val="1F9B8E"/>
          <w:sz w:val="22"/>
          <w:szCs w:val="22"/>
        </w:rPr>
        <w:t xml:space="preserve">	8</w:t>
      </w:r>
    </w:p>
    <w:p>
      <w:pPr>
        <w:tabs>
          <w:tab w:val="right" w:pos="9026"/>
        </w:tabs>
        <w:spacing w:after="80" w:before="80"/>
      </w:pPr>
      <w:r>
        <w:rPr>
          <w:rFonts w:ascii="Arial" w:cs="Arial" w:eastAsia="Arial" w:hAnsi="Arial"/>
          <w:b/>
          <w:bCs/>
          <w:color w:val="222222"/>
          <w:sz w:val="22"/>
          <w:szCs w:val="22"/>
        </w:rPr>
        <w:t xml:space="preserve">6.  Division des Données</w:t>
      </w:r>
      <w:r>
        <w:rPr>
          <w:rFonts w:ascii="Arial" w:cs="Arial" w:eastAsia="Arial" w:hAnsi="Arial"/>
          <w:color w:val="1F9B8E"/>
          <w:sz w:val="22"/>
          <w:szCs w:val="22"/>
        </w:rPr>
        <w:t xml:space="preserve">	9</w:t>
      </w:r>
    </w:p>
    <w:p>
      <w:pPr>
        <w:tabs>
          <w:tab w:val="right" w:pos="9026"/>
        </w:tabs>
        <w:spacing w:after="80" w:before="80"/>
      </w:pPr>
      <w:r>
        <w:rPr>
          <w:rFonts w:ascii="Arial" w:cs="Arial" w:eastAsia="Arial" w:hAnsi="Arial"/>
          <w:b/>
          <w:bCs/>
          <w:color w:val="222222"/>
          <w:sz w:val="22"/>
          <w:szCs w:val="22"/>
        </w:rPr>
        <w:t xml:space="preserve">7.  Modèles Utilisés</w:t>
      </w:r>
      <w:r>
        <w:rPr>
          <w:rFonts w:ascii="Arial" w:cs="Arial" w:eastAsia="Arial" w:hAnsi="Arial"/>
          <w:color w:val="1F9B8E"/>
          <w:sz w:val="22"/>
          <w:szCs w:val="22"/>
        </w:rPr>
        <w:t xml:space="preserve">	10</w:t>
      </w:r>
    </w:p>
    <w:p>
      <w:pPr>
        <w:tabs>
          <w:tab w:val="right" w:pos="9026"/>
        </w:tabs>
        <w:spacing w:after="80" w:before="80"/>
      </w:pPr>
      <w:r>
        <w:rPr>
          <w:rFonts w:ascii="Arial" w:cs="Arial" w:eastAsia="Arial" w:hAnsi="Arial"/>
          <w:b w:val="false"/>
          <w:bCs w:val="false"/>
          <w:color w:val="555555"/>
          <w:sz w:val="22"/>
          <w:szCs w:val="22"/>
        </w:rPr>
        <w:t xml:space="preserve">  7.1  Régression Linéaire</w:t>
      </w:r>
      <w:r>
        <w:rPr>
          <w:rFonts w:ascii="Arial" w:cs="Arial" w:eastAsia="Arial" w:hAnsi="Arial"/>
          <w:color w:val="1F9B8E"/>
          <w:sz w:val="22"/>
          <w:szCs w:val="22"/>
        </w:rPr>
        <w:t xml:space="preserve">	10</w:t>
      </w:r>
    </w:p>
    <w:p>
      <w:pPr>
        <w:tabs>
          <w:tab w:val="right" w:pos="9026"/>
        </w:tabs>
        <w:spacing w:after="80" w:before="80"/>
      </w:pPr>
      <w:r>
        <w:rPr>
          <w:rFonts w:ascii="Arial" w:cs="Arial" w:eastAsia="Arial" w:hAnsi="Arial"/>
          <w:b w:val="false"/>
          <w:bCs w:val="false"/>
          <w:color w:val="555555"/>
          <w:sz w:val="22"/>
          <w:szCs w:val="22"/>
        </w:rPr>
        <w:t xml:space="preserve">  7.2  Decision Tree Regressor</w:t>
      </w:r>
      <w:r>
        <w:rPr>
          <w:rFonts w:ascii="Arial" w:cs="Arial" w:eastAsia="Arial" w:hAnsi="Arial"/>
          <w:color w:val="1F9B8E"/>
          <w:sz w:val="22"/>
          <w:szCs w:val="22"/>
        </w:rPr>
        <w:t xml:space="preserve">	11</w:t>
      </w:r>
    </w:p>
    <w:p>
      <w:pPr>
        <w:tabs>
          <w:tab w:val="right" w:pos="9026"/>
        </w:tabs>
        <w:spacing w:after="80" w:before="80"/>
      </w:pPr>
      <w:r>
        <w:rPr>
          <w:rFonts w:ascii="Arial" w:cs="Arial" w:eastAsia="Arial" w:hAnsi="Arial"/>
          <w:b w:val="false"/>
          <w:bCs w:val="false"/>
          <w:color w:val="555555"/>
          <w:sz w:val="22"/>
          <w:szCs w:val="22"/>
        </w:rPr>
        <w:t xml:space="preserve">  7.3  Random Forest Regressor</w:t>
      </w:r>
      <w:r>
        <w:rPr>
          <w:rFonts w:ascii="Arial" w:cs="Arial" w:eastAsia="Arial" w:hAnsi="Arial"/>
          <w:color w:val="1F9B8E"/>
          <w:sz w:val="22"/>
          <w:szCs w:val="22"/>
        </w:rPr>
        <w:t xml:space="preserve">	12</w:t>
      </w:r>
    </w:p>
    <w:p>
      <w:pPr>
        <w:tabs>
          <w:tab w:val="right" w:pos="9026"/>
        </w:tabs>
        <w:spacing w:after="80" w:before="80"/>
      </w:pPr>
      <w:r>
        <w:rPr>
          <w:rFonts w:ascii="Arial" w:cs="Arial" w:eastAsia="Arial" w:hAnsi="Arial"/>
          <w:b w:val="false"/>
          <w:bCs w:val="false"/>
          <w:color w:val="555555"/>
          <w:sz w:val="22"/>
          <w:szCs w:val="22"/>
        </w:rPr>
        <w:t xml:space="preserve">  7.4  Réseau de Neurones Artificiels (ANN)</w:t>
      </w:r>
      <w:r>
        <w:rPr>
          <w:rFonts w:ascii="Arial" w:cs="Arial" w:eastAsia="Arial" w:hAnsi="Arial"/>
          <w:color w:val="1F9B8E"/>
          <w:sz w:val="22"/>
          <w:szCs w:val="22"/>
        </w:rPr>
        <w:t xml:space="preserve">	12</w:t>
      </w:r>
    </w:p>
    <w:p>
      <w:pPr>
        <w:tabs>
          <w:tab w:val="right" w:pos="9026"/>
        </w:tabs>
        <w:spacing w:after="80" w:before="80"/>
      </w:pPr>
      <w:r>
        <w:rPr>
          <w:rFonts w:ascii="Arial" w:cs="Arial" w:eastAsia="Arial" w:hAnsi="Arial"/>
          <w:b/>
          <w:bCs/>
          <w:color w:val="222222"/>
          <w:sz w:val="22"/>
          <w:szCs w:val="22"/>
        </w:rPr>
        <w:t xml:space="preserve">8.  Évaluation des Modèles</w:t>
      </w:r>
      <w:r>
        <w:rPr>
          <w:rFonts w:ascii="Arial" w:cs="Arial" w:eastAsia="Arial" w:hAnsi="Arial"/>
          <w:color w:val="1F9B8E"/>
          <w:sz w:val="22"/>
          <w:szCs w:val="22"/>
        </w:rPr>
        <w:t xml:space="preserve">	13</w:t>
      </w:r>
    </w:p>
    <w:p>
      <w:pPr>
        <w:tabs>
          <w:tab w:val="right" w:pos="9026"/>
        </w:tabs>
        <w:spacing w:after="80" w:before="80"/>
      </w:pPr>
      <w:r>
        <w:rPr>
          <w:rFonts w:ascii="Arial" w:cs="Arial" w:eastAsia="Arial" w:hAnsi="Arial"/>
          <w:b/>
          <w:bCs/>
          <w:color w:val="222222"/>
          <w:sz w:val="22"/>
          <w:szCs w:val="22"/>
        </w:rPr>
        <w:t xml:space="preserve">9.  Visualisation des Résultats</w:t>
      </w:r>
      <w:r>
        <w:rPr>
          <w:rFonts w:ascii="Arial" w:cs="Arial" w:eastAsia="Arial" w:hAnsi="Arial"/>
          <w:color w:val="1F9B8E"/>
          <w:sz w:val="22"/>
          <w:szCs w:val="22"/>
        </w:rPr>
        <w:t xml:space="preserve">	14</w:t>
      </w:r>
    </w:p>
    <w:p>
      <w:pPr>
        <w:tabs>
          <w:tab w:val="right" w:pos="9026"/>
        </w:tabs>
        <w:spacing w:after="80" w:before="80"/>
      </w:pPr>
      <w:r>
        <w:rPr>
          <w:rFonts w:ascii="Arial" w:cs="Arial" w:eastAsia="Arial" w:hAnsi="Arial"/>
          <w:b/>
          <w:bCs/>
          <w:color w:val="222222"/>
          <w:sz w:val="22"/>
          <w:szCs w:val="22"/>
        </w:rPr>
        <w:t xml:space="preserve">10.  Sauvegarde du Modèle</w:t>
      </w:r>
      <w:r>
        <w:rPr>
          <w:rFonts w:ascii="Arial" w:cs="Arial" w:eastAsia="Arial" w:hAnsi="Arial"/>
          <w:color w:val="1F9B8E"/>
          <w:sz w:val="22"/>
          <w:szCs w:val="22"/>
        </w:rPr>
        <w:t xml:space="preserve">	14</w:t>
      </w:r>
    </w:p>
    <w:p>
      <w:pPr>
        <w:tabs>
          <w:tab w:val="right" w:pos="9026"/>
        </w:tabs>
        <w:spacing w:after="80" w:before="80"/>
      </w:pPr>
      <w:r>
        <w:rPr>
          <w:rFonts w:ascii="Arial" w:cs="Arial" w:eastAsia="Arial" w:hAnsi="Arial"/>
          <w:b/>
          <w:bCs/>
          <w:color w:val="222222"/>
          <w:sz w:val="22"/>
          <w:szCs w:val="22"/>
        </w:rPr>
        <w:t xml:space="preserve">11.  Conclusion</w:t>
      </w:r>
      <w:r>
        <w:rPr>
          <w:rFonts w:ascii="Arial" w:cs="Arial" w:eastAsia="Arial" w:hAnsi="Arial"/>
          <w:color w:val="1F9B8E"/>
          <w:sz w:val="22"/>
          <w:szCs w:val="22"/>
        </w:rPr>
        <w:t xml:space="preserve">	15</w:t>
      </w:r>
    </w:p>
    <w:p>
      <w:r>
        <w:br w:type="page"/>
      </w:r>
    </w:p>
    <w:p>
      <w:pPr>
        <w:pBdr>
          <w:bottom w:val="single" w:color="1F9B8E" w:sz="4" w:space="4"/>
        </w:pBdr>
        <w:spacing w:after="180" w:before="300"/>
      </w:pPr>
      <w:r>
        <w:rPr>
          <w:rFonts w:ascii="Arial" w:cs="Arial" w:eastAsia="Arial" w:hAnsi="Arial"/>
          <w:b/>
          <w:bCs/>
          <w:color w:val="1F9B8E"/>
          <w:sz w:val="36"/>
          <w:szCs w:val="36"/>
        </w:rPr>
        <w:t xml:space="preserve">1. Introduction Générale</w:t>
      </w:r>
    </w:p>
    <w:p>
      <w:pPr>
        <w:spacing w:after="120" w:before="100"/>
        <w:jc w:val="left"/>
      </w:pPr>
      <w:r>
        <w:rPr>
          <w:rFonts w:ascii="Arial" w:cs="Arial" w:eastAsia="Arial" w:hAnsi="Arial"/>
          <w:b w:val="false"/>
          <w:bCs w:val="false"/>
          <w:i w:val="false"/>
          <w:iCs w:val="false"/>
          <w:color w:val="000000"/>
          <w:sz w:val="22"/>
          <w:szCs w:val="22"/>
        </w:rPr>
        <w:t xml:space="preserve">L'agriculture intelligente est devenue un domaine essentiel pour améliorer la productivité agricole tout en optimisant l'utilisation des ressources. Grâce aux avancées récentes dans le domaine de l'intelligence artificielle et du Machine Learning, il est désormais possible de prédire différents paramètres liés à la croissance des cultures avec une précision remarquable.</w:t>
      </w:r>
    </w:p>
    <w:p>
      <w:pPr>
        <w:spacing w:after="120" w:before="0"/>
        <w:jc w:val="left"/>
      </w:pPr>
      <w:r>
        <w:rPr>
          <w:rFonts w:ascii="Arial" w:cs="Arial" w:eastAsia="Arial" w:hAnsi="Arial"/>
          <w:b w:val="false"/>
          <w:bCs w:val="false"/>
          <w:i w:val="false"/>
          <w:iCs w:val="false"/>
          <w:color w:val="000000"/>
          <w:sz w:val="22"/>
          <w:szCs w:val="22"/>
        </w:rPr>
        <w:t xml:space="preserve">Dans ce projet, nous avons développé un système capable de prédire le nombre de jours de croissance d'un plant de laitue (Growth Days) à partir de plusieurs caractéristiques environnementales et agronomiques. Cette étude a pour objectif principal d'aider les agriculteurs à mieux planifier leurs récoltes et à optimiser la gestion de leurs cultures.</w:t>
      </w:r>
    </w:p>
    <w:p>
      <w:pPr>
        <w:spacing w:after="120" w:before="0"/>
        <w:jc w:val="left"/>
      </w:pPr>
      <w:r>
        <w:rPr>
          <w:rFonts w:ascii="Arial" w:cs="Arial" w:eastAsia="Arial" w:hAnsi="Arial"/>
          <w:b w:val="false"/>
          <w:bCs w:val="false"/>
          <w:i w:val="false"/>
          <w:iCs w:val="false"/>
          <w:color w:val="000000"/>
          <w:sz w:val="22"/>
          <w:szCs w:val="22"/>
        </w:rPr>
        <w:t xml:space="preserve">L'agriculture de précision, en combinant les données environnementales et les algorithmes d'apprentissage automatique, ouvre de nouvelles perspectives pour une gestion plus efficace et durable des ressources agricoles. Ce rapport présente les différentes étapes de notre démarche, depuis la collecte des données jusqu'à l'évaluation des modèles prédictifs développés.</w:t>
      </w:r>
    </w:p>
    <w:p>
      <w:pPr>
        <w:spacing w:after="0" w:before="0"/>
      </w:pPr>
      <w:r>
        <w:rPr>
          <w:sz w:val="16"/>
          <w:szCs w:val="1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9B8E" w:sz="6"/>
              <w:left w:val="single" w:color="1F9B8E" w:sz="6"/>
              <w:bottom w:val="single" w:color="1F9B8E" w:sz="6"/>
              <w:right w:val="single" w:color="1F9B8E" w:sz="6"/>
            </w:tcBorders>
            <w:shd w:fill="EAF7F5" w:val="clear"/>
            <w:tcMar>
              <w:top w:type="dxa" w:w="160"/>
              <w:left w:type="dxa" w:w="240"/>
              <w:bottom w:type="dxa" w:w="160"/>
              <w:right w:type="dxa" w:w="240"/>
            </w:tcMar>
          </w:tcPr>
          <w:p>
            <w:pPr>
              <w:spacing w:after="60" w:before="60"/>
            </w:pPr>
            <w:r>
              <w:rPr>
                <w:rFonts w:ascii="Arial" w:cs="Arial" w:eastAsia="Arial" w:hAnsi="Arial"/>
                <w:b/>
                <w:bCs/>
                <w:color w:val="006B63"/>
                <w:sz w:val="22"/>
                <w:szCs w:val="22"/>
              </w:rPr>
              <w:t xml:space="preserve">Contexte : Agriculture intelligente &amp; Machine Learning</w:t>
            </w:r>
          </w:p>
          <w:p>
            <w:pPr>
              <w:spacing w:after="60" w:before="60"/>
            </w:pPr>
            <w:r>
              <w:rPr>
                <w:rFonts w:ascii="Arial" w:cs="Arial" w:eastAsia="Arial" w:hAnsi="Arial"/>
                <w:b w:val="false"/>
                <w:bCs w:val="false"/>
                <w:color w:val="333333"/>
                <w:sz w:val="22"/>
                <w:szCs w:val="22"/>
              </w:rPr>
              <w:t xml:space="preserve">Cible : Prédiction de la durée de croissance (Growth Days) des plants de laitue</w:t>
            </w:r>
          </w:p>
          <w:p>
            <w:pPr>
              <w:spacing w:after="60" w:before="60"/>
            </w:pPr>
            <w:r>
              <w:rPr>
                <w:rFonts w:ascii="Arial" w:cs="Arial" w:eastAsia="Arial" w:hAnsi="Arial"/>
                <w:b w:val="false"/>
                <w:bCs w:val="false"/>
                <w:color w:val="333333"/>
                <w:sz w:val="22"/>
                <w:szCs w:val="22"/>
              </w:rPr>
              <w:t xml:space="preserve">Approche : Modèles de régression supervisée et réseau de neurones artificiels</w:t>
            </w:r>
          </w:p>
        </w:tc>
      </w:tr>
    </w:tbl>
    <w:p>
      <w:r>
        <w:br w:type="page"/>
      </w:r>
    </w:p>
    <w:p>
      <w:pPr>
        <w:pBdr>
          <w:bottom w:val="single" w:color="1F9B8E" w:sz="4" w:space="4"/>
        </w:pBdr>
        <w:spacing w:after="180" w:before="300"/>
      </w:pPr>
      <w:r>
        <w:rPr>
          <w:rFonts w:ascii="Arial" w:cs="Arial" w:eastAsia="Arial" w:hAnsi="Arial"/>
          <w:b/>
          <w:bCs/>
          <w:color w:val="1F9B8E"/>
          <w:sz w:val="36"/>
          <w:szCs w:val="36"/>
        </w:rPr>
        <w:t xml:space="preserve">2. Présentation du Projet</w:t>
      </w:r>
    </w:p>
    <w:p>
      <w:pPr>
        <w:spacing w:after="180" w:before="300"/>
      </w:pPr>
      <w:r>
        <w:rPr>
          <w:rFonts w:ascii="Arial" w:cs="Arial" w:eastAsia="Arial" w:hAnsi="Arial"/>
          <w:b/>
          <w:bCs/>
          <w:color w:val="006B63"/>
          <w:sz w:val="28"/>
          <w:szCs w:val="28"/>
        </w:rPr>
        <w:t xml:space="preserve">2.1 Objectif</w:t>
      </w:r>
    </w:p>
    <w:p>
      <w:pPr>
        <w:spacing w:after="120" w:before="80"/>
        <w:jc w:val="left"/>
      </w:pPr>
      <w:r>
        <w:rPr>
          <w:rFonts w:ascii="Arial" w:cs="Arial" w:eastAsia="Arial" w:hAnsi="Arial"/>
          <w:b w:val="false"/>
          <w:bCs w:val="false"/>
          <w:i w:val="false"/>
          <w:iCs w:val="false"/>
          <w:color w:val="000000"/>
          <w:sz w:val="22"/>
          <w:szCs w:val="22"/>
        </w:rPr>
        <w:t xml:space="preserve">L'objectif principal de ce projet est de construire un modèle prédictif performant capable d'estimer avec précision la durée de croissance des plants de laitue à partir des données environnementales collectées. Une bonne prédiction permet aux agriculteurs d'anticiper les dates de récolte et de mieux gérer leurs ressources.</w:t>
      </w:r>
    </w:p>
    <w:p>
      <w:pPr>
        <w:spacing w:after="180" w:before="300"/>
      </w:pPr>
      <w:r>
        <w:rPr>
          <w:rFonts w:ascii="Arial" w:cs="Arial" w:eastAsia="Arial" w:hAnsi="Arial"/>
          <w:b/>
          <w:bCs/>
          <w:color w:val="006B63"/>
          <w:sz w:val="28"/>
          <w:szCs w:val="28"/>
        </w:rPr>
        <w:t xml:space="preserve">2.2 Solution Proposée</w:t>
      </w:r>
    </w:p>
    <w:p>
      <w:pPr>
        <w:spacing w:after="80" w:before="80"/>
        <w:jc w:val="left"/>
      </w:pPr>
      <w:r>
        <w:rPr>
          <w:rFonts w:ascii="Arial" w:cs="Arial" w:eastAsia="Arial" w:hAnsi="Arial"/>
          <w:b w:val="false"/>
          <w:bCs w:val="false"/>
          <w:i w:val="false"/>
          <w:iCs w:val="false"/>
          <w:color w:val="000000"/>
          <w:sz w:val="22"/>
          <w:szCs w:val="22"/>
        </w:rPr>
        <w:t xml:space="preserve">La solution développée dans ce projet suit une approche structurée et rigoureuse :</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Prétraitement et nettoyage des données brutes</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Suppression des valeurs aberrantes par la méthode IQR</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Normalisation des variables avec StandardScaler</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Entraînement de plusieurs modèles de Machine Learning</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Comparaison des performances à l'aide de métriques standardisées</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Sauvegarde du meilleur modèle obtenu pour réutilisation</w:t>
      </w:r>
    </w:p>
    <w:p>
      <w:pPr>
        <w:spacing w:after="0" w:before="0"/>
      </w:pPr>
      <w:r>
        <w:rPr>
          <w:sz w:val="12"/>
          <w:szCs w:val="12"/>
        </w:rPr>
        <w:t xml:space="preserve"/>
      </w:r>
    </w:p>
    <w:p>
      <w:pPr>
        <w:spacing w:after="180" w:before="300"/>
      </w:pPr>
      <w:r>
        <w:rPr>
          <w:rFonts w:ascii="Arial" w:cs="Arial" w:eastAsia="Arial" w:hAnsi="Arial"/>
          <w:b/>
          <w:bCs/>
          <w:color w:val="006B63"/>
          <w:sz w:val="28"/>
          <w:szCs w:val="28"/>
        </w:rPr>
        <w:t xml:space="preserve">2.3 Technologies Utilisées</w:t>
      </w:r>
    </w:p>
    <w:p>
      <w:pPr>
        <w:spacing w:after="80" w:before="80"/>
        <w:jc w:val="left"/>
      </w:pPr>
      <w:r>
        <w:rPr>
          <w:rFonts w:ascii="Arial" w:cs="Arial" w:eastAsia="Arial" w:hAnsi="Arial"/>
          <w:b w:val="false"/>
          <w:bCs w:val="false"/>
          <w:i w:val="false"/>
          <w:iCs w:val="false"/>
          <w:color w:val="000000"/>
          <w:sz w:val="22"/>
          <w:szCs w:val="22"/>
        </w:rPr>
        <w:t xml:space="preserve">Les outils et bibliothèques suivants ont été utilisés dans ce projet :</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Python 3.x — Langage de programmation principal</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Pandas &amp; NumPy — Manipulation et traitement des données</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Scikit-learn — Implémentation des modèles de Machine Learning</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TensorFlow / Keras — Développement du réseau de neurones</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Matplotlib &amp; Seaborn — Visualisation des données et des résultats</w:t>
      </w:r>
    </w:p>
    <w:p>
      <w:r>
        <w:br w:type="page"/>
      </w:r>
    </w:p>
    <w:p>
      <w:pPr>
        <w:pBdr>
          <w:bottom w:val="single" w:color="1F9B8E" w:sz="4" w:space="4"/>
        </w:pBdr>
        <w:spacing w:after="180" w:before="300"/>
      </w:pPr>
      <w:r>
        <w:rPr>
          <w:rFonts w:ascii="Arial" w:cs="Arial" w:eastAsia="Arial" w:hAnsi="Arial"/>
          <w:b/>
          <w:bCs/>
          <w:color w:val="1F9B8E"/>
          <w:sz w:val="36"/>
          <w:szCs w:val="36"/>
        </w:rPr>
        <w:t xml:space="preserve">3. Description du Dataset</w:t>
      </w:r>
    </w:p>
    <w:p>
      <w:pPr>
        <w:spacing w:after="120" w:before="80"/>
        <w:jc w:val="left"/>
      </w:pPr>
      <w:r>
        <w:rPr>
          <w:rFonts w:ascii="Arial" w:cs="Arial" w:eastAsia="Arial" w:hAnsi="Arial"/>
          <w:b w:val="false"/>
          <w:bCs w:val="false"/>
          <w:i w:val="false"/>
          <w:iCs w:val="false"/>
          <w:color w:val="000000"/>
          <w:sz w:val="22"/>
          <w:szCs w:val="22"/>
        </w:rPr>
        <w:t xml:space="preserve">Le dataset utilisé dans ce projet est contenu dans le fichier lettuce_dataset_updated.csv. Il regroupe plusieurs variables numériques décrivant les conditions environnementales et agronomiques des plants de laitue.</w:t>
      </w:r>
    </w:p>
    <w:p>
      <w:pPr>
        <w:spacing w:after="180" w:before="300"/>
      </w:pPr>
      <w:r>
        <w:rPr>
          <w:rFonts w:ascii="Arial" w:cs="Arial" w:eastAsia="Arial" w:hAnsi="Arial"/>
          <w:b/>
          <w:bCs/>
          <w:color w:val="006B63"/>
          <w:sz w:val="28"/>
          <w:szCs w:val="28"/>
        </w:rPr>
        <w:t xml:space="preserve">3.1 Variable Cible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9B8E" w:sz="6"/>
              <w:left w:val="single" w:color="1F9B8E" w:sz="6"/>
              <w:bottom w:val="single" w:color="1F9B8E" w:sz="6"/>
              <w:right w:val="single" w:color="1F9B8E" w:sz="6"/>
            </w:tcBorders>
            <w:shd w:fill="EAF7F5" w:val="clear"/>
            <w:tcMar>
              <w:top w:type="dxa" w:w="160"/>
              <w:left w:type="dxa" w:w="240"/>
              <w:bottom w:type="dxa" w:w="160"/>
              <w:right w:type="dxa" w:w="240"/>
            </w:tcMar>
          </w:tcPr>
          <w:p>
            <w:pPr>
              <w:spacing w:after="60" w:before="60"/>
            </w:pPr>
            <w:r>
              <w:rPr>
                <w:rFonts w:ascii="Arial" w:cs="Arial" w:eastAsia="Arial" w:hAnsi="Arial"/>
                <w:b/>
                <w:bCs/>
                <w:color w:val="1F9B8E"/>
                <w:sz w:val="24"/>
                <w:szCs w:val="24"/>
              </w:rPr>
              <w:t xml:space="preserve">Growth Days</w:t>
            </w:r>
          </w:p>
          <w:p>
            <w:pPr>
              <w:spacing w:after="60" w:before="60"/>
            </w:pPr>
            <w:r>
              <w:rPr>
                <w:rFonts w:ascii="Arial" w:cs="Arial" w:eastAsia="Arial" w:hAnsi="Arial"/>
                <w:b w:val="false"/>
                <w:bCs w:val="false"/>
                <w:color w:val="444444"/>
                <w:sz w:val="22"/>
                <w:szCs w:val="22"/>
              </w:rPr>
              <w:t xml:space="preserve">Cette variable représente le nombre de jours nécessaires à la croissance complète du plant de laitue.</w:t>
            </w:r>
          </w:p>
        </w:tc>
      </w:tr>
    </w:tbl>
    <w:p>
      <w:pPr>
        <w:spacing w:after="0" w:before="0"/>
      </w:pPr>
      <w:r>
        <w:rPr>
          <w:sz w:val="12"/>
          <w:szCs w:val="12"/>
        </w:rPr>
        <w:t xml:space="preserve"/>
      </w:r>
    </w:p>
    <w:p>
      <w:pPr>
        <w:spacing w:after="180" w:before="300"/>
      </w:pPr>
      <w:r>
        <w:rPr>
          <w:rFonts w:ascii="Arial" w:cs="Arial" w:eastAsia="Arial" w:hAnsi="Arial"/>
          <w:b/>
          <w:bCs/>
          <w:color w:val="006B63"/>
          <w:sz w:val="28"/>
          <w:szCs w:val="28"/>
        </w:rPr>
        <w:t xml:space="preserve">3.2 Variables Explicatives</w:t>
      </w:r>
    </w:p>
    <w:p>
      <w:pPr>
        <w:spacing w:after="80" w:before="80"/>
        <w:jc w:val="left"/>
      </w:pPr>
      <w:r>
        <w:rPr>
          <w:rFonts w:ascii="Arial" w:cs="Arial" w:eastAsia="Arial" w:hAnsi="Arial"/>
          <w:b w:val="false"/>
          <w:bCs w:val="false"/>
          <w:i w:val="false"/>
          <w:iCs w:val="false"/>
          <w:color w:val="000000"/>
          <w:sz w:val="22"/>
          <w:szCs w:val="22"/>
        </w:rPr>
        <w:t xml:space="preserve">Les variables explicatives représentent les différentes caractéristiques environnementales et agronomiques influençant directement la croissance des plants :</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Température (°C) — Température ambiante mesurée</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Humidité (%) — Taux d'humidité de l'air</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pH du sol — Acidité ou basicité du substrat</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Conductivité électrique (EC) — Concentration en nutriments</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Intensité lumineuse (lux) — Niveau d'exposition à la lumière</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Concentration en CO₂ (ppm) — Taux de dioxyde de carbone</w:t>
      </w:r>
    </w:p>
    <w:p>
      <w:pPr>
        <w:spacing w:after="0" w:before="0"/>
      </w:pPr>
      <w:r>
        <w:rPr>
          <w:sz w:val="12"/>
          <w:szCs w:val="12"/>
        </w:rPr>
        <w:t xml:space="preserve"/>
      </w:r>
    </w:p>
    <w:p>
      <w:pPr>
        <w:spacing w:after="120" w:before="80"/>
        <w:jc w:val="left"/>
      </w:pPr>
      <w:r>
        <w:rPr>
          <w:rFonts w:ascii="Arial" w:cs="Arial" w:eastAsia="Arial" w:hAnsi="Arial"/>
          <w:b w:val="false"/>
          <w:bCs w:val="false"/>
          <w:i w:val="false"/>
          <w:iCs w:val="false"/>
          <w:color w:val="000000"/>
          <w:sz w:val="22"/>
          <w:szCs w:val="22"/>
        </w:rPr>
        <w:t xml:space="preserve">Ces paramètres ont été collectés de manière continue dans un environnement contrôlé afin d'assurer la qualité et la fiabilité des données utilisées pour l'entraînement des modèles.</w:t>
      </w:r>
    </w:p>
    <w:p>
      <w:r>
        <w:br w:type="page"/>
      </w:r>
    </w:p>
    <w:p>
      <w:pPr>
        <w:pBdr>
          <w:bottom w:val="single" w:color="1F9B8E" w:sz="4" w:space="4"/>
        </w:pBdr>
        <w:spacing w:after="180" w:before="300"/>
      </w:pPr>
      <w:r>
        <w:rPr>
          <w:rFonts w:ascii="Arial" w:cs="Arial" w:eastAsia="Arial" w:hAnsi="Arial"/>
          <w:b/>
          <w:bCs/>
          <w:color w:val="1F9B8E"/>
          <w:sz w:val="36"/>
          <w:szCs w:val="36"/>
        </w:rPr>
        <w:t xml:space="preserve">4. Prétraitement des Données</w:t>
      </w:r>
    </w:p>
    <w:p>
      <w:pPr>
        <w:spacing w:after="120" w:before="80"/>
        <w:jc w:val="left"/>
      </w:pPr>
      <w:r>
        <w:rPr>
          <w:rFonts w:ascii="Arial" w:cs="Arial" w:eastAsia="Arial" w:hAnsi="Arial"/>
          <w:b w:val="false"/>
          <w:bCs w:val="false"/>
          <w:i w:val="false"/>
          <w:iCs w:val="false"/>
          <w:color w:val="000000"/>
          <w:sz w:val="22"/>
          <w:szCs w:val="22"/>
        </w:rPr>
        <w:t xml:space="preserve">Le prétraitement des données est une étape cruciale dans tout projet de Machine Learning. Des données propres et bien structurées garantissent des modèles plus performants et des résultats plus fiables. Plusieurs étapes de nettoyage ont été réalisées avant l'entraînement.</w:t>
      </w:r>
    </w:p>
    <w:p>
      <w:pPr>
        <w:spacing w:after="180" w:before="300"/>
      </w:pPr>
      <w:r>
        <w:rPr>
          <w:rFonts w:ascii="Arial" w:cs="Arial" w:eastAsia="Arial" w:hAnsi="Arial"/>
          <w:b/>
          <w:bCs/>
          <w:color w:val="006B63"/>
          <w:sz w:val="28"/>
          <w:szCs w:val="28"/>
        </w:rPr>
        <w:t xml:space="preserve">4.1 Suppression des Doublons</w:t>
      </w:r>
    </w:p>
    <w:p>
      <w:pPr>
        <w:spacing w:after="100" w:before="60"/>
        <w:jc w:val="left"/>
      </w:pPr>
      <w:r>
        <w:rPr>
          <w:rFonts w:ascii="Arial" w:cs="Arial" w:eastAsia="Arial" w:hAnsi="Arial"/>
          <w:b w:val="false"/>
          <w:bCs w:val="false"/>
          <w:i w:val="false"/>
          <w:iCs w:val="false"/>
          <w:color w:val="000000"/>
          <w:sz w:val="22"/>
          <w:szCs w:val="22"/>
        </w:rPr>
        <w:t xml:space="preserve">Les lignes dupliquées ont été identifiées et supprimées du dataset afin d'éviter tout biais dans les résultats de l'entraînement. La présence de doublons peut conduire à une surestimation des performances des modèles.</w:t>
      </w:r>
    </w:p>
    <w:p>
      <w:pPr>
        <w:spacing w:after="180" w:before="300"/>
      </w:pPr>
      <w:r>
        <w:rPr>
          <w:rFonts w:ascii="Arial" w:cs="Arial" w:eastAsia="Arial" w:hAnsi="Arial"/>
          <w:b/>
          <w:bCs/>
          <w:color w:val="006B63"/>
          <w:sz w:val="28"/>
          <w:szCs w:val="28"/>
        </w:rPr>
        <w:t xml:space="preserve">4.2 Gestion des Valeurs Manquantes</w:t>
      </w:r>
    </w:p>
    <w:p>
      <w:pPr>
        <w:spacing w:after="100" w:before="60"/>
        <w:jc w:val="left"/>
      </w:pPr>
      <w:r>
        <w:rPr>
          <w:rFonts w:ascii="Arial" w:cs="Arial" w:eastAsia="Arial" w:hAnsi="Arial"/>
          <w:b w:val="false"/>
          <w:bCs w:val="false"/>
          <w:i w:val="false"/>
          <w:iCs w:val="false"/>
          <w:color w:val="000000"/>
          <w:sz w:val="22"/>
          <w:szCs w:val="22"/>
        </w:rPr>
        <w:t xml:space="preserve">Les valeurs manquantes ont été détectées et remplacées par la moyenne des colonnes numériques correspondantes. Cette stratégie d'imputation simple permet de préserver le maximum d'observations tout en minimisant l'impact sur la distribution statistique des variables.</w:t>
      </w:r>
    </w:p>
    <w:p>
      <w:pPr>
        <w:spacing w:after="180" w:before="300"/>
      </w:pPr>
      <w:r>
        <w:rPr>
          <w:rFonts w:ascii="Arial" w:cs="Arial" w:eastAsia="Arial" w:hAnsi="Arial"/>
          <w:b/>
          <w:bCs/>
          <w:color w:val="006B63"/>
          <w:sz w:val="28"/>
          <w:szCs w:val="28"/>
        </w:rPr>
        <w:t xml:space="preserve">4.3 Suppression des Colonnes Inutiles</w:t>
      </w:r>
    </w:p>
    <w:p>
      <w:pPr>
        <w:spacing w:after="80" w:before="60"/>
        <w:jc w:val="left"/>
      </w:pPr>
      <w:r>
        <w:rPr>
          <w:rFonts w:ascii="Arial" w:cs="Arial" w:eastAsia="Arial" w:hAnsi="Arial"/>
          <w:b w:val="false"/>
          <w:bCs w:val="false"/>
          <w:i w:val="false"/>
          <w:iCs w:val="false"/>
          <w:color w:val="000000"/>
          <w:sz w:val="22"/>
          <w:szCs w:val="22"/>
        </w:rPr>
        <w:t xml:space="preserve">Les colonnes suivantes ont été supprimées car elles n'apportent aucune information pertinente pour la prédiction :</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Plant_ID — Identifiant unique du plant (variable d'index)</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Date — Date d'enregistrement (non exploitable directement)</w:t>
      </w:r>
    </w:p>
    <w:p>
      <w:pPr>
        <w:spacing w:after="180" w:before="300"/>
      </w:pPr>
      <w:r>
        <w:rPr>
          <w:rFonts w:ascii="Arial" w:cs="Arial" w:eastAsia="Arial" w:hAnsi="Arial"/>
          <w:b/>
          <w:bCs/>
          <w:color w:val="006B63"/>
          <w:sz w:val="28"/>
          <w:szCs w:val="28"/>
        </w:rPr>
        <w:t xml:space="preserve">4.4 Détection et Suppression des Valeurs Aberrantes</w:t>
      </w:r>
    </w:p>
    <w:p>
      <w:pPr>
        <w:spacing w:after="100" w:before="60"/>
        <w:jc w:val="left"/>
      </w:pPr>
      <w:r>
        <w:rPr>
          <w:rFonts w:ascii="Arial" w:cs="Arial" w:eastAsia="Arial" w:hAnsi="Arial"/>
          <w:b w:val="false"/>
          <w:bCs w:val="false"/>
          <w:i w:val="false"/>
          <w:iCs w:val="false"/>
          <w:color w:val="000000"/>
          <w:sz w:val="22"/>
          <w:szCs w:val="22"/>
        </w:rPr>
        <w:t xml:space="preserve">La méthode IQR (Interquartile Range) a été utilisée pour identifier et supprimer les observations atypiques. Cette méthode statistique robuste permet de détecter les valeurs qui s'écartent significativement de la distribution normale des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6B63" w:sz="6"/>
              <w:left w:val="single" w:color="006B63" w:sz="6"/>
              <w:bottom w:val="single" w:color="006B63" w:sz="6"/>
              <w:right w:val="single" w:color="006B63" w:sz="6"/>
            </w:tcBorders>
            <w:shd w:fill="F0F8FF" w:val="clear"/>
            <w:tcMar>
              <w:top w:type="dxa" w:w="160"/>
              <w:left w:type="dxa" w:w="240"/>
              <w:bottom w:type="dxa" w:w="160"/>
              <w:right w:type="dxa" w:w="240"/>
            </w:tcMar>
          </w:tcPr>
          <w:p>
            <w:pPr>
              <w:spacing w:after="60" w:before="60"/>
            </w:pPr>
            <w:r>
              <w:rPr>
                <w:rFonts w:ascii="Arial" w:cs="Arial" w:eastAsia="Arial" w:hAnsi="Arial"/>
                <w:b/>
                <w:bCs/>
                <w:color w:val="006B63"/>
                <w:sz w:val="22"/>
                <w:szCs w:val="22"/>
              </w:rPr>
              <w:t xml:space="preserve">Méthode IQR (Interquartile Range)</w:t>
            </w:r>
          </w:p>
          <w:p>
            <w:pPr>
              <w:spacing w:after="60" w:before="60"/>
            </w:pPr>
            <w:r>
              <w:rPr>
                <w:rFonts w:ascii="Arial" w:cs="Arial" w:eastAsia="Arial" w:hAnsi="Arial"/>
                <w:b w:val="false"/>
                <w:bCs w:val="false"/>
                <w:color w:val="444444"/>
                <w:sz w:val="20"/>
                <w:szCs w:val="20"/>
              </w:rPr>
              <w:t xml:space="preserve">Q1 = 1er quartile (25%)   |   Q3 = 3ème quartile (75%)   |   IQR = Q3 - Q1</w:t>
            </w:r>
          </w:p>
          <w:p>
            <w:pPr>
              <w:spacing w:after="60" w:before="60"/>
            </w:pPr>
            <w:r>
              <w:rPr>
                <w:rFonts w:ascii="Arial" w:cs="Arial" w:eastAsia="Arial" w:hAnsi="Arial"/>
                <w:b w:val="false"/>
                <w:bCs w:val="false"/>
                <w:color w:val="444444"/>
                <w:sz w:val="20"/>
                <w:szCs w:val="20"/>
              </w:rPr>
              <w:t xml:space="preserve">Valeurs aberrantes : &lt; Q1 - 1.5×IQR  ou  &gt; Q3 + 1.5×IQR</w:t>
            </w:r>
          </w:p>
        </w:tc>
      </w:tr>
    </w:tbl>
    <w:p>
      <w:r>
        <w:br w:type="page"/>
      </w:r>
    </w:p>
    <w:p>
      <w:pPr>
        <w:pBdr>
          <w:bottom w:val="single" w:color="1F9B8E" w:sz="4" w:space="4"/>
        </w:pBdr>
        <w:spacing w:after="180" w:before="300"/>
      </w:pPr>
      <w:r>
        <w:rPr>
          <w:rFonts w:ascii="Arial" w:cs="Arial" w:eastAsia="Arial" w:hAnsi="Arial"/>
          <w:b/>
          <w:bCs/>
          <w:color w:val="1F9B8E"/>
          <w:sz w:val="36"/>
          <w:szCs w:val="36"/>
        </w:rPr>
        <w:t xml:space="preserve">5. Normalisation des Données</w:t>
      </w:r>
    </w:p>
    <w:p>
      <w:pPr>
        <w:spacing w:after="120" w:before="80"/>
        <w:jc w:val="left"/>
      </w:pPr>
      <w:r>
        <w:rPr>
          <w:rFonts w:ascii="Arial" w:cs="Arial" w:eastAsia="Arial" w:hAnsi="Arial"/>
          <w:b w:val="false"/>
          <w:bCs w:val="false"/>
          <w:i w:val="false"/>
          <w:iCs w:val="false"/>
          <w:color w:val="000000"/>
          <w:sz w:val="22"/>
          <w:szCs w:val="22"/>
        </w:rPr>
        <w:t xml:space="preserve">La normalisation est une étape fondamentale qui consiste à transformer les variables afin qu'elles soient toutes sur la même échelle. Sans normalisation, les variables avec de grandes amplitudes pourraient dominer les autres et biaiser les résultats des modèles.</w:t>
      </w:r>
    </w:p>
    <w:p>
      <w:pPr>
        <w:spacing w:after="180" w:before="300"/>
      </w:pPr>
      <w:r>
        <w:rPr>
          <w:rFonts w:ascii="Arial" w:cs="Arial" w:eastAsia="Arial" w:hAnsi="Arial"/>
          <w:b/>
          <w:bCs/>
          <w:color w:val="006B63"/>
          <w:sz w:val="28"/>
          <w:szCs w:val="28"/>
        </w:rPr>
        <w:t xml:space="preserve">5.1 StandardScaler</w:t>
      </w:r>
    </w:p>
    <w:p>
      <w:pPr>
        <w:spacing w:after="80" w:before="60"/>
        <w:jc w:val="left"/>
      </w:pPr>
      <w:r>
        <w:rPr>
          <w:rFonts w:ascii="Arial" w:cs="Arial" w:eastAsia="Arial" w:hAnsi="Arial"/>
          <w:b w:val="false"/>
          <w:bCs w:val="false"/>
          <w:i w:val="false"/>
          <w:iCs w:val="false"/>
          <w:color w:val="000000"/>
          <w:sz w:val="22"/>
          <w:szCs w:val="22"/>
        </w:rPr>
        <w:t xml:space="preserve">L'algorithme StandardScaler de la bibliothèque scikit-learn a été utilisé pour normaliser les données. Cette transformation centre les variables autour de zéro avec un écart-type de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9B8E" w:sz="6"/>
              <w:left w:val="single" w:color="1F9B8E" w:sz="6"/>
              <w:bottom w:val="single" w:color="1F9B8E" w:sz="6"/>
              <w:right w:val="single" w:color="1F9B8E" w:sz="6"/>
            </w:tcBorders>
            <w:shd w:fill="EAF7F5" w:val="clear"/>
            <w:tcMar>
              <w:top w:type="dxa" w:w="160"/>
              <w:left w:type="dxa" w:w="240"/>
              <w:bottom w:type="dxa" w:w="160"/>
              <w:right w:type="dxa" w:w="240"/>
            </w:tcMar>
          </w:tcPr>
          <w:p>
            <w:pPr>
              <w:spacing w:after="60" w:before="60"/>
            </w:pPr>
            <w:r>
              <w:rPr>
                <w:rFonts w:ascii="Arial" w:cs="Arial" w:eastAsia="Arial" w:hAnsi="Arial"/>
                <w:b/>
                <w:bCs/>
                <w:color w:val="1F9B8E"/>
                <w:sz w:val="22"/>
                <w:szCs w:val="22"/>
              </w:rPr>
              <w:t xml:space="preserve">Formule : z = (x - μ) / σ</w:t>
            </w:r>
          </w:p>
          <w:p>
            <w:pPr>
              <w:spacing w:after="60" w:before="60"/>
            </w:pPr>
            <w:r>
              <w:rPr>
                <w:rFonts w:ascii="Arial" w:cs="Arial" w:eastAsia="Arial" w:hAnsi="Arial"/>
                <w:b w:val="false"/>
                <w:bCs w:val="false"/>
                <w:color w:val="444444"/>
                <w:sz w:val="20"/>
                <w:szCs w:val="20"/>
              </w:rPr>
              <w:t xml:space="preserve">x = valeur originale   |   μ = moyenne   |   σ = écart-type</w:t>
            </w:r>
          </w:p>
          <w:p>
            <w:pPr>
              <w:spacing w:after="60" w:before="60"/>
            </w:pPr>
            <w:r>
              <w:rPr>
                <w:rFonts w:ascii="Arial" w:cs="Arial" w:eastAsia="Arial" w:hAnsi="Arial"/>
                <w:b w:val="false"/>
                <w:bCs w:val="false"/>
                <w:color w:val="444444"/>
                <w:sz w:val="20"/>
                <w:szCs w:val="20"/>
              </w:rPr>
              <w:t xml:space="preserve">Résultat : distribution avec moyenne = 0 et écart-type = 1</w:t>
            </w:r>
          </w:p>
        </w:tc>
      </w:tr>
    </w:tbl>
    <w:p>
      <w:pPr>
        <w:spacing w:after="0" w:before="0"/>
      </w:pPr>
      <w:r>
        <w:rPr>
          <w:sz w:val="16"/>
          <w:szCs w:val="16"/>
        </w:rPr>
        <w:t xml:space="preserve"/>
      </w:r>
    </w:p>
    <w:p>
      <w:pPr>
        <w:spacing w:after="120" w:before="80"/>
        <w:jc w:val="left"/>
      </w:pPr>
      <w:r>
        <w:rPr>
          <w:rFonts w:ascii="Arial" w:cs="Arial" w:eastAsia="Arial" w:hAnsi="Arial"/>
          <w:b w:val="false"/>
          <w:bCs w:val="false"/>
          <w:i w:val="false"/>
          <w:iCs w:val="false"/>
          <w:color w:val="000000"/>
          <w:sz w:val="22"/>
          <w:szCs w:val="22"/>
        </w:rPr>
        <w:t xml:space="preserve">Cette normalisation améliore significativement les performances des algorithmes d'apprentissage sensibles à l'échelle des variables, notamment la régression linéaire et les réseaux de neurones.</w:t>
      </w:r>
    </w:p>
    <w:p>
      <w:pPr>
        <w:pBdr>
          <w:bottom w:val="single" w:color="1F9B8E" w:sz="4" w:space="4"/>
        </w:pBdr>
        <w:spacing w:after="180" w:before="300"/>
      </w:pPr>
      <w:r>
        <w:rPr>
          <w:rFonts w:ascii="Arial" w:cs="Arial" w:eastAsia="Arial" w:hAnsi="Arial"/>
          <w:b/>
          <w:bCs/>
          <w:color w:val="1F9B8E"/>
          <w:sz w:val="36"/>
          <w:szCs w:val="36"/>
        </w:rPr>
        <w:t xml:space="preserve">6. Division des Données</w:t>
      </w:r>
    </w:p>
    <w:p>
      <w:pPr>
        <w:spacing w:after="120" w:before="80"/>
        <w:jc w:val="left"/>
      </w:pPr>
      <w:r>
        <w:rPr>
          <w:rFonts w:ascii="Arial" w:cs="Arial" w:eastAsia="Arial" w:hAnsi="Arial"/>
          <w:b w:val="false"/>
          <w:bCs w:val="false"/>
          <w:i w:val="false"/>
          <w:iCs w:val="false"/>
          <w:color w:val="000000"/>
          <w:sz w:val="22"/>
          <w:szCs w:val="22"/>
        </w:rPr>
        <w:t xml:space="preserve">Afin d'évaluer correctement la capacité de généralisation des modèles entraînés, le dataset a été divisé en deux sous-ensembles distincts. Cette séparation permet de s'assurer que le modèle est évalué sur des données qu'il n'a jamais vues lors de l'entraînement.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F9B8E" w:sz="1"/>
              <w:left w:val="single" w:color="1F9B8E" w:sz="1"/>
              <w:bottom w:val="single" w:color="1F9B8E" w:sz="1"/>
              <w:right w:val="single" w:color="1F9B8E" w:sz="1"/>
            </w:tcBorders>
            <w:shd w:fill="1F9B8E" w:val="clear"/>
            <w:tcMar>
              <w:top w:type="dxa" w:w="120"/>
              <w:left w:type="dxa" w:w="240"/>
              <w:bottom w:type="dxa" w:w="120"/>
              <w:right w:type="dxa" w:w="240"/>
            </w:tcMar>
          </w:tcPr>
          <w:p>
            <w:pPr>
              <w:jc w:val="center"/>
            </w:pPr>
            <w:r>
              <w:rPr>
                <w:rFonts w:ascii="Arial" w:cs="Arial" w:eastAsia="Arial" w:hAnsi="Arial"/>
                <w:b/>
                <w:bCs/>
                <w:color w:val="FFFFFF"/>
                <w:sz w:val="22"/>
                <w:szCs w:val="22"/>
              </w:rPr>
              <w:t xml:space="preserve">Ensemble d'Entraînement</w:t>
            </w:r>
          </w:p>
        </w:tc>
        <w:tc>
          <w:tcPr>
            <w:tcW w:type="dxa" w:w="4513"/>
            <w:tcBorders>
              <w:top w:val="single" w:color="1F9B8E" w:sz="1"/>
              <w:left w:val="single" w:color="1F9B8E" w:sz="1"/>
              <w:bottom w:val="single" w:color="1F9B8E" w:sz="1"/>
              <w:right w:val="single" w:color="1F9B8E" w:sz="1"/>
            </w:tcBorders>
            <w:shd w:fill="1F9B8E" w:val="clear"/>
            <w:tcMar>
              <w:top w:type="dxa" w:w="120"/>
              <w:left w:type="dxa" w:w="240"/>
              <w:bottom w:type="dxa" w:w="120"/>
              <w:right w:type="dxa" w:w="240"/>
            </w:tcMar>
          </w:tcPr>
          <w:p>
            <w:pPr>
              <w:jc w:val="center"/>
            </w:pPr>
            <w:r>
              <w:rPr>
                <w:rFonts w:ascii="Arial" w:cs="Arial" w:eastAsia="Arial" w:hAnsi="Arial"/>
                <w:b/>
                <w:bCs/>
                <w:color w:val="FFFFFF"/>
                <w:sz w:val="22"/>
                <w:szCs w:val="22"/>
              </w:rPr>
              <w:t xml:space="preserve">Ensemble de Test</w:t>
            </w:r>
          </w:p>
        </w:tc>
      </w:tr>
      <w:tr>
        <w:tc>
          <w:tcPr>
            <w:tcW w:type="dxa" w:w="4513"/>
            <w:tcBorders>
              <w:top w:val="single" w:color="1F9B8E" w:sz="1"/>
              <w:left w:val="single" w:color="1F9B8E" w:sz="1"/>
              <w:bottom w:val="single" w:color="1F9B8E" w:sz="1"/>
              <w:right w:val="single" w:color="1F9B8E" w:sz="1"/>
            </w:tcBorders>
            <w:shd w:fill="EAF7F5" w:val="clear"/>
            <w:tcMar>
              <w:top w:type="dxa" w:w="160"/>
              <w:left w:type="dxa" w:w="240"/>
              <w:bottom w:type="dxa" w:w="160"/>
              <w:right w:type="dxa" w:w="240"/>
            </w:tcMar>
          </w:tcPr>
          <w:p>
            <w:pPr>
              <w:jc w:val="center"/>
            </w:pPr>
            <w:r>
              <w:rPr>
                <w:rFonts w:ascii="Arial" w:cs="Arial" w:eastAsia="Arial" w:hAnsi="Arial"/>
                <w:b/>
                <w:bCs/>
                <w:color w:val="1F9B8E"/>
                <w:sz w:val="36"/>
                <w:szCs w:val="36"/>
              </w:rPr>
              <w:t xml:space="preserve">80 %</w:t>
            </w:r>
          </w:p>
          <w:p>
            <w:pPr>
              <w:jc w:val="center"/>
            </w:pPr>
            <w:r>
              <w:rPr>
                <w:rFonts w:ascii="Arial" w:cs="Arial" w:eastAsia="Arial" w:hAnsi="Arial"/>
                <w:color w:val="555555"/>
                <w:sz w:val="20"/>
                <w:szCs w:val="20"/>
              </w:rPr>
              <w:t xml:space="preserve">Apprentissage du modèle</w:t>
            </w:r>
          </w:p>
        </w:tc>
        <w:tc>
          <w:tcPr>
            <w:tcW w:type="dxa" w:w="4513"/>
            <w:tcBorders>
              <w:top w:val="single" w:color="F5A623" w:sz="1"/>
              <w:left w:val="single" w:color="F5A623" w:sz="1"/>
              <w:bottom w:val="single" w:color="F5A623" w:sz="1"/>
              <w:right w:val="single" w:color="F5A623" w:sz="1"/>
            </w:tcBorders>
            <w:shd w:fill="FFFDF0" w:val="clear"/>
            <w:tcMar>
              <w:top w:type="dxa" w:w="160"/>
              <w:left w:type="dxa" w:w="240"/>
              <w:bottom w:type="dxa" w:w="160"/>
              <w:right w:type="dxa" w:w="240"/>
            </w:tcMar>
          </w:tcPr>
          <w:p>
            <w:pPr>
              <w:jc w:val="center"/>
            </w:pPr>
            <w:r>
              <w:rPr>
                <w:rFonts w:ascii="Arial" w:cs="Arial" w:eastAsia="Arial" w:hAnsi="Arial"/>
                <w:b/>
                <w:bCs/>
                <w:color w:val="F5A623"/>
                <w:sz w:val="36"/>
                <w:szCs w:val="36"/>
              </w:rPr>
              <w:t xml:space="preserve">20 %</w:t>
            </w:r>
          </w:p>
          <w:p>
            <w:pPr>
              <w:jc w:val="center"/>
            </w:pPr>
            <w:r>
              <w:rPr>
                <w:rFonts w:ascii="Arial" w:cs="Arial" w:eastAsia="Arial" w:hAnsi="Arial"/>
                <w:color w:val="555555"/>
                <w:sz w:val="20"/>
                <w:szCs w:val="20"/>
              </w:rPr>
              <w:t xml:space="preserve">Évaluation du modèle</w:t>
            </w:r>
          </w:p>
        </w:tc>
      </w:tr>
    </w:tbl>
    <w:p>
      <w:r>
        <w:br w:type="page"/>
      </w:r>
    </w:p>
    <w:p>
      <w:pPr>
        <w:pBdr>
          <w:bottom w:val="single" w:color="1F9B8E" w:sz="4" w:space="4"/>
        </w:pBdr>
        <w:spacing w:after="180" w:before="300"/>
      </w:pPr>
      <w:r>
        <w:rPr>
          <w:rFonts w:ascii="Arial" w:cs="Arial" w:eastAsia="Arial" w:hAnsi="Arial"/>
          <w:b/>
          <w:bCs/>
          <w:color w:val="1F9B8E"/>
          <w:sz w:val="36"/>
          <w:szCs w:val="36"/>
        </w:rPr>
        <w:t xml:space="preserve">7. Modèles Utilisés</w:t>
      </w:r>
    </w:p>
    <w:p>
      <w:pPr>
        <w:spacing w:after="120" w:before="80"/>
        <w:jc w:val="left"/>
      </w:pPr>
      <w:r>
        <w:rPr>
          <w:rFonts w:ascii="Arial" w:cs="Arial" w:eastAsia="Arial" w:hAnsi="Arial"/>
          <w:b w:val="false"/>
          <w:bCs w:val="false"/>
          <w:i w:val="false"/>
          <w:iCs w:val="false"/>
          <w:color w:val="000000"/>
          <w:sz w:val="22"/>
          <w:szCs w:val="22"/>
        </w:rPr>
        <w:t xml:space="preserve">Quatre modèles de Machine Learning et de Deep Learning ont été entraînés et comparés dans ce projet. Chaque modèle présente des caractéristiques différentes en termes de complexité, d'interprétabilité et de performance prédictive.</w:t>
      </w:r>
    </w:p>
    <w:p>
      <w:pPr>
        <w:spacing w:after="180" w:before="300"/>
      </w:pPr>
      <w:r>
        <w:rPr>
          <w:rFonts w:ascii="Arial" w:cs="Arial" w:eastAsia="Arial" w:hAnsi="Arial"/>
          <w:b/>
          <w:bCs/>
          <w:color w:val="006B63"/>
          <w:sz w:val="28"/>
          <w:szCs w:val="28"/>
        </w:rPr>
        <w:t xml:space="preserve">7.1 Régression Linéaire</w:t>
      </w:r>
    </w:p>
    <w:p>
      <w:pPr>
        <w:spacing w:after="100" w:before="60"/>
        <w:jc w:val="left"/>
      </w:pPr>
      <w:r>
        <w:rPr>
          <w:rFonts w:ascii="Arial" w:cs="Arial" w:eastAsia="Arial" w:hAnsi="Arial"/>
          <w:b w:val="false"/>
          <w:bCs w:val="false"/>
          <w:i w:val="false"/>
          <w:iCs w:val="false"/>
          <w:color w:val="000000"/>
          <w:sz w:val="22"/>
          <w:szCs w:val="22"/>
        </w:rPr>
        <w:t xml:space="preserve">La régression linéaire a été utilisée comme modèle de référence (baseline) afin d'établir une première base de comparaison. Ce modèle suppose une relation linéaire entre les variables explicatives et la variable cible (Growth Days).</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Simple à implémenter et à interpréter</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Performant sur des relations linéaires</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Sensible aux valeurs aberrantes</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Sert de référence pour les autres modèles</w:t>
      </w:r>
    </w:p>
    <w:p>
      <w:pPr>
        <w:spacing w:after="0" w:before="0"/>
      </w:pPr>
      <w:r>
        <w:rPr>
          <w:sz w:val="10"/>
          <w:szCs w:val="10"/>
        </w:rPr>
        <w:t xml:space="preserve"/>
      </w:r>
    </w:p>
    <w:p>
      <w:pPr>
        <w:spacing w:after="180" w:before="300"/>
      </w:pPr>
      <w:r>
        <w:rPr>
          <w:rFonts w:ascii="Arial" w:cs="Arial" w:eastAsia="Arial" w:hAnsi="Arial"/>
          <w:b/>
          <w:bCs/>
          <w:color w:val="006B63"/>
          <w:sz w:val="28"/>
          <w:szCs w:val="28"/>
        </w:rPr>
        <w:t xml:space="preserve">7.2 Decision Tree Regressor</w:t>
      </w:r>
    </w:p>
    <w:p>
      <w:pPr>
        <w:spacing w:after="100" w:before="60"/>
        <w:jc w:val="left"/>
      </w:pPr>
      <w:r>
        <w:rPr>
          <w:rFonts w:ascii="Arial" w:cs="Arial" w:eastAsia="Arial" w:hAnsi="Arial"/>
          <w:b w:val="false"/>
          <w:bCs w:val="false"/>
          <w:i w:val="false"/>
          <w:iCs w:val="false"/>
          <w:color w:val="000000"/>
          <w:sz w:val="22"/>
          <w:szCs w:val="22"/>
        </w:rPr>
        <w:t xml:space="preserve">L'arbre de décision construit un ensemble de règles de décision permettant de prédire la variable cible à partir des caractéristiques du dataset. Il partitionne récursivement l'espace des données en sous-régions homogènes.</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Facile à interpréter visuellement</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Rapide à entraîner sur des datasets de taille moyenne</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Gère naturellement les relations non linéaires</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Risque de surapprentissage sans élagage</w:t>
      </w:r>
    </w:p>
    <w:p>
      <w:pPr>
        <w:spacing w:after="0" w:before="0"/>
      </w:pPr>
      <w:r>
        <w:rPr>
          <w:sz w:val="10"/>
          <w:szCs w:val="10"/>
        </w:rPr>
        <w:t xml:space="preserve"/>
      </w:r>
    </w:p>
    <w:p>
      <w:pPr>
        <w:spacing w:after="180" w:before="300"/>
      </w:pPr>
      <w:r>
        <w:rPr>
          <w:rFonts w:ascii="Arial" w:cs="Arial" w:eastAsia="Arial" w:hAnsi="Arial"/>
          <w:b/>
          <w:bCs/>
          <w:color w:val="006B63"/>
          <w:sz w:val="28"/>
          <w:szCs w:val="28"/>
        </w:rPr>
        <w:t xml:space="preserve">7.3 Random Forest Regressor</w:t>
      </w:r>
    </w:p>
    <w:p>
      <w:pPr>
        <w:spacing w:after="100" w:before="60"/>
        <w:jc w:val="left"/>
      </w:pPr>
      <w:r>
        <w:rPr>
          <w:rFonts w:ascii="Arial" w:cs="Arial" w:eastAsia="Arial" w:hAnsi="Arial"/>
          <w:b w:val="false"/>
          <w:bCs w:val="false"/>
          <w:i w:val="false"/>
          <w:iCs w:val="false"/>
          <w:color w:val="000000"/>
          <w:sz w:val="22"/>
          <w:szCs w:val="22"/>
        </w:rPr>
        <w:t xml:space="preserve">Random Forest est un ensemble de plusieurs arbres de décision entraînés sur des sous-ensembles aléatoires du dataset (technique de bagging). La prédiction finale correspond à la moyenne des prédictions de tous les arbres.</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Réduction significative du surapprentissage</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Excellente précision sur des données réelles</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Robustesse face au bruit et aux valeurs aberrantes</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Moins interprétable qu'un arbre simple</w:t>
      </w:r>
    </w:p>
    <w:p>
      <w:pPr>
        <w:spacing w:after="0" w:before="0"/>
      </w:pPr>
      <w:r>
        <w:rPr>
          <w:sz w:val="10"/>
          <w:szCs w:val="10"/>
        </w:rPr>
        <w:t xml:space="preserve"/>
      </w:r>
    </w:p>
    <w:p>
      <w:pPr>
        <w:spacing w:after="180" w:before="300"/>
      </w:pPr>
      <w:r>
        <w:rPr>
          <w:rFonts w:ascii="Arial" w:cs="Arial" w:eastAsia="Arial" w:hAnsi="Arial"/>
          <w:b/>
          <w:bCs/>
          <w:color w:val="006B63"/>
          <w:sz w:val="28"/>
          <w:szCs w:val="28"/>
        </w:rPr>
        <w:t xml:space="preserve">7.4 Réseau de Neurones Artificiels (ANN)</w:t>
      </w:r>
    </w:p>
    <w:p>
      <w:pPr>
        <w:spacing w:after="100" w:before="60"/>
        <w:jc w:val="left"/>
      </w:pPr>
      <w:r>
        <w:rPr>
          <w:rFonts w:ascii="Arial" w:cs="Arial" w:eastAsia="Arial" w:hAnsi="Arial"/>
          <w:b w:val="false"/>
          <w:bCs w:val="false"/>
          <w:i w:val="false"/>
          <w:iCs w:val="false"/>
          <w:color w:val="000000"/>
          <w:sz w:val="22"/>
          <w:szCs w:val="22"/>
        </w:rPr>
        <w:t xml:space="preserve">Un réseau de neurones profond a été développé avec TensorFlow/Keras. Cette architecture multi-couches est capable d'apprendre des représentations complexes et non linéaires des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6B63" w:sz="6"/>
              <w:left w:val="single" w:color="006B63" w:sz="6"/>
              <w:bottom w:val="single" w:color="006B63" w:sz="6"/>
              <w:right w:val="single" w:color="006B63" w:sz="6"/>
            </w:tcBorders>
            <w:shd w:fill="F0F8FF" w:val="clear"/>
            <w:tcMar>
              <w:top w:type="dxa" w:w="160"/>
              <w:left w:type="dxa" w:w="240"/>
              <w:bottom w:type="dxa" w:w="160"/>
              <w:right w:type="dxa" w:w="240"/>
            </w:tcMar>
          </w:tcPr>
          <w:p>
            <w:pPr>
              <w:spacing w:after="60" w:before="60"/>
            </w:pPr>
            <w:r>
              <w:rPr>
                <w:rFonts w:ascii="Arial" w:cs="Arial" w:eastAsia="Arial" w:hAnsi="Arial"/>
                <w:b/>
                <w:bCs/>
                <w:color w:val="006B63"/>
                <w:sz w:val="22"/>
                <w:szCs w:val="22"/>
              </w:rPr>
              <w:t xml:space="preserve">Architecture du Réseau de Neurones</w:t>
            </w:r>
          </w:p>
          <w:p>
            <w:pPr>
              <w:spacing w:after="60" w:before="60"/>
            </w:pPr>
            <w:r>
              <w:rPr>
                <w:rFonts w:ascii="Arial" w:cs="Arial" w:eastAsia="Arial" w:hAnsi="Arial"/>
                <w:b w:val="false"/>
                <w:bCs w:val="false"/>
                <w:color w:val="333333"/>
                <w:sz w:val="20"/>
                <w:szCs w:val="20"/>
              </w:rPr>
              <w:t xml:space="preserve">• Couche d'entrée : N neurones (selon les features)</w:t>
            </w:r>
          </w:p>
          <w:p>
            <w:pPr>
              <w:spacing w:after="60" w:before="60"/>
            </w:pPr>
            <w:r>
              <w:rPr>
                <w:rFonts w:ascii="Arial" w:cs="Arial" w:eastAsia="Arial" w:hAnsi="Arial"/>
                <w:b w:val="false"/>
                <w:bCs w:val="false"/>
                <w:color w:val="333333"/>
                <w:sz w:val="20"/>
                <w:szCs w:val="20"/>
              </w:rPr>
              <w:t xml:space="preserve">• Couche cachée 1 : 128 neurones — Activation : ReLU</w:t>
            </w:r>
          </w:p>
          <w:p>
            <w:pPr>
              <w:spacing w:after="60" w:before="60"/>
            </w:pPr>
            <w:r>
              <w:rPr>
                <w:rFonts w:ascii="Arial" w:cs="Arial" w:eastAsia="Arial" w:hAnsi="Arial"/>
                <w:b w:val="false"/>
                <w:bCs w:val="false"/>
                <w:color w:val="333333"/>
                <w:sz w:val="20"/>
                <w:szCs w:val="20"/>
              </w:rPr>
              <w:t xml:space="preserve">• Couche cachée 2 : 64 neurones — Activation : ReLU</w:t>
            </w:r>
          </w:p>
          <w:p>
            <w:pPr>
              <w:spacing w:after="60" w:before="60"/>
            </w:pPr>
            <w:r>
              <w:rPr>
                <w:rFonts w:ascii="Arial" w:cs="Arial" w:eastAsia="Arial" w:hAnsi="Arial"/>
                <w:b w:val="false"/>
                <w:bCs w:val="false"/>
                <w:color w:val="333333"/>
                <w:sz w:val="20"/>
                <w:szCs w:val="20"/>
              </w:rPr>
              <w:t xml:space="preserve">• Couche cachée 3 : 32 neurones — Activation : ReLU</w:t>
            </w:r>
          </w:p>
          <w:p>
            <w:pPr>
              <w:spacing w:after="60" w:before="60"/>
            </w:pPr>
            <w:r>
              <w:rPr>
                <w:rFonts w:ascii="Arial" w:cs="Arial" w:eastAsia="Arial" w:hAnsi="Arial"/>
                <w:b w:val="false"/>
                <w:bCs w:val="false"/>
                <w:color w:val="333333"/>
                <w:sz w:val="20"/>
                <w:szCs w:val="20"/>
              </w:rPr>
              <w:t xml:space="preserve">• Couche de sortie : 1 neurone (régression)</w:t>
            </w:r>
          </w:p>
          <w:p>
            <w:pPr>
              <w:spacing w:after="60" w:before="60"/>
            </w:pPr>
            <w:r>
              <w:rPr>
                <w:rFonts w:ascii="Arial" w:cs="Arial" w:eastAsia="Arial" w:hAnsi="Arial"/>
                <w:b/>
                <w:bCs/>
                <w:color w:val="1F9B8E"/>
                <w:sz w:val="20"/>
                <w:szCs w:val="20"/>
              </w:rPr>
              <w:t xml:space="preserve">Optimiseur : Adam   |   Perte : MSE   |   Régularisation : Early Stopping</w:t>
            </w:r>
          </w:p>
        </w:tc>
      </w:tr>
    </w:tbl>
    <w:p>
      <w:r>
        <w:br w:type="page"/>
      </w:r>
    </w:p>
    <w:p>
      <w:pPr>
        <w:pBdr>
          <w:bottom w:val="single" w:color="1F9B8E" w:sz="4" w:space="4"/>
        </w:pBdr>
        <w:spacing w:after="180" w:before="300"/>
      </w:pPr>
      <w:r>
        <w:rPr>
          <w:rFonts w:ascii="Arial" w:cs="Arial" w:eastAsia="Arial" w:hAnsi="Arial"/>
          <w:b/>
          <w:bCs/>
          <w:color w:val="1F9B8E"/>
          <w:sz w:val="36"/>
          <w:szCs w:val="36"/>
        </w:rPr>
        <w:t xml:space="preserve">8. Évaluation des Modèles</w:t>
      </w:r>
    </w:p>
    <w:p>
      <w:pPr>
        <w:spacing w:after="120" w:before="80"/>
        <w:jc w:val="left"/>
      </w:pPr>
      <w:r>
        <w:rPr>
          <w:rFonts w:ascii="Arial" w:cs="Arial" w:eastAsia="Arial" w:hAnsi="Arial"/>
          <w:b w:val="false"/>
          <w:bCs w:val="false"/>
          <w:i w:val="false"/>
          <w:iCs w:val="false"/>
          <w:color w:val="000000"/>
          <w:sz w:val="22"/>
          <w:szCs w:val="22"/>
        </w:rPr>
        <w:t xml:space="preserve">Les performances des différents modèles ont été évaluées à l'aide de trois métriques standards pour les problèmes de régression. Ces métriques permettent une comparaison objective et rigoureuse des capacités prédictives de chaque modèle.</w:t>
      </w:r>
    </w:p>
    <w:p>
      <w:pPr>
        <w:spacing w:after="180" w:before="300"/>
      </w:pPr>
      <w:r>
        <w:rPr>
          <w:rFonts w:ascii="Arial" w:cs="Arial" w:eastAsia="Arial" w:hAnsi="Arial"/>
          <w:b/>
          <w:bCs/>
          <w:color w:val="006B63"/>
          <w:sz w:val="28"/>
          <w:szCs w:val="28"/>
        </w:rPr>
        <w:t xml:space="preserve">8.1 MAE — Mean Absolute Error</w:t>
      </w:r>
    </w:p>
    <w:p>
      <w:pPr>
        <w:spacing w:after="60" w:before="60"/>
        <w:jc w:val="left"/>
      </w:pPr>
      <w:r>
        <w:rPr>
          <w:rFonts w:ascii="Arial" w:cs="Arial" w:eastAsia="Arial" w:hAnsi="Arial"/>
          <w:b w:val="false"/>
          <w:bCs w:val="false"/>
          <w:i w:val="false"/>
          <w:iCs w:val="false"/>
          <w:color w:val="000000"/>
          <w:sz w:val="22"/>
          <w:szCs w:val="22"/>
        </w:rPr>
        <w:t xml:space="preserve">L'erreur absolue moyenne mesure la différence moyenne en valeur absolue entre les valeurs réelles et les valeurs prédites. Une valeur de MAE proche de 0 indique de meilleures prédictions.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9B8E" w:sz="6"/>
              <w:left w:val="single" w:color="1F9B8E" w:sz="6"/>
              <w:bottom w:val="single" w:color="1F9B8E" w:sz="6"/>
              <w:right w:val="single" w:color="1F9B8E" w:sz="6"/>
            </w:tcBorders>
            <w:shd w:fill="EAF7F5" w:val="clear"/>
            <w:tcMar>
              <w:top w:type="dxa" w:w="160"/>
              <w:left w:type="dxa" w:w="240"/>
              <w:bottom w:type="dxa" w:w="160"/>
              <w:right w:type="dxa" w:w="240"/>
            </w:tcMar>
          </w:tcPr>
          <w:p>
            <w:pPr>
              <w:spacing w:after="60" w:before="60"/>
            </w:pPr>
            <w:r>
              <w:rPr>
                <w:rFonts w:ascii="Arial" w:cs="Arial" w:eastAsia="Arial" w:hAnsi="Arial"/>
                <w:b/>
                <w:bCs/>
                <w:color w:val="1F9B8E"/>
                <w:sz w:val="22"/>
                <w:szCs w:val="22"/>
              </w:rPr>
              <w:t xml:space="preserve">MAE = (1/n) × Σ |yᵢ - ŷᵢ|</w:t>
            </w:r>
          </w:p>
        </w:tc>
      </w:tr>
    </w:tbl>
    <w:p>
      <w:pPr>
        <w:spacing w:after="0" w:before="0"/>
      </w:pPr>
      <w:r>
        <w:rPr>
          <w:sz w:val="10"/>
          <w:szCs w:val="10"/>
        </w:rPr>
        <w:t xml:space="preserve"/>
      </w:r>
    </w:p>
    <w:p>
      <w:pPr>
        <w:spacing w:after="180" w:before="300"/>
      </w:pPr>
      <w:r>
        <w:rPr>
          <w:rFonts w:ascii="Arial" w:cs="Arial" w:eastAsia="Arial" w:hAnsi="Arial"/>
          <w:b/>
          <w:bCs/>
          <w:color w:val="006B63"/>
          <w:sz w:val="28"/>
          <w:szCs w:val="28"/>
        </w:rPr>
        <w:t xml:space="preserve">8.2 RMSE — Root Mean Squared Error</w:t>
      </w:r>
    </w:p>
    <w:p>
      <w:pPr>
        <w:spacing w:after="60" w:before="60"/>
        <w:jc w:val="left"/>
      </w:pPr>
      <w:r>
        <w:rPr>
          <w:rFonts w:ascii="Arial" w:cs="Arial" w:eastAsia="Arial" w:hAnsi="Arial"/>
          <w:b w:val="false"/>
          <w:bCs w:val="false"/>
          <w:i w:val="false"/>
          <w:iCs w:val="false"/>
          <w:color w:val="000000"/>
          <w:sz w:val="22"/>
          <w:szCs w:val="22"/>
        </w:rPr>
        <w:t xml:space="preserve">La racine de l'erreur quadratique moyenne pénalise davantage les grandes erreurs de prédiction en raison du carré appliqué aux résidus. C'est la métrique la plus sensible aux valeurs extrêmes.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9B8E" w:sz="6"/>
              <w:left w:val="single" w:color="1F9B8E" w:sz="6"/>
              <w:bottom w:val="single" w:color="1F9B8E" w:sz="6"/>
              <w:right w:val="single" w:color="1F9B8E" w:sz="6"/>
            </w:tcBorders>
            <w:shd w:fill="EAF7F5" w:val="clear"/>
            <w:tcMar>
              <w:top w:type="dxa" w:w="160"/>
              <w:left w:type="dxa" w:w="240"/>
              <w:bottom w:type="dxa" w:w="160"/>
              <w:right w:type="dxa" w:w="240"/>
            </w:tcMar>
          </w:tcPr>
          <w:p>
            <w:pPr>
              <w:spacing w:after="60" w:before="60"/>
            </w:pPr>
            <w:r>
              <w:rPr>
                <w:rFonts w:ascii="Arial" w:cs="Arial" w:eastAsia="Arial" w:hAnsi="Arial"/>
                <w:b/>
                <w:bCs/>
                <w:color w:val="1F9B8E"/>
                <w:sz w:val="22"/>
                <w:szCs w:val="22"/>
              </w:rPr>
              <w:t xml:space="preserve">RMSE = √[(1/n) × Σ (yᵢ - ŷᵢ)²]</w:t>
            </w:r>
          </w:p>
        </w:tc>
      </w:tr>
    </w:tbl>
    <w:p>
      <w:pPr>
        <w:spacing w:after="0" w:before="0"/>
      </w:pPr>
      <w:r>
        <w:rPr>
          <w:sz w:val="10"/>
          <w:szCs w:val="10"/>
        </w:rPr>
        <w:t xml:space="preserve"/>
      </w:r>
    </w:p>
    <w:p>
      <w:pPr>
        <w:spacing w:after="180" w:before="300"/>
      </w:pPr>
      <w:r>
        <w:rPr>
          <w:rFonts w:ascii="Arial" w:cs="Arial" w:eastAsia="Arial" w:hAnsi="Arial"/>
          <w:b/>
          <w:bCs/>
          <w:color w:val="006B63"/>
          <w:sz w:val="28"/>
          <w:szCs w:val="28"/>
        </w:rPr>
        <w:t xml:space="preserve">8.3 R² Score — Coefficient de Détermination</w:t>
      </w:r>
    </w:p>
    <w:p>
      <w:pPr>
        <w:spacing w:after="60" w:before="60"/>
        <w:jc w:val="left"/>
      </w:pPr>
      <w:r>
        <w:rPr>
          <w:rFonts w:ascii="Arial" w:cs="Arial" w:eastAsia="Arial" w:hAnsi="Arial"/>
          <w:b w:val="false"/>
          <w:bCs w:val="false"/>
          <w:i w:val="false"/>
          <w:iCs w:val="false"/>
          <w:color w:val="000000"/>
          <w:sz w:val="22"/>
          <w:szCs w:val="22"/>
        </w:rPr>
        <w:t xml:space="preserve">Le coefficient de détermination indique la proportion de la variance de la variable cible expliquée par le modèle. Un score R² proche de 1 signifie une excellente capacité prédictive.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9B8E" w:sz="6"/>
              <w:left w:val="single" w:color="1F9B8E" w:sz="6"/>
              <w:bottom w:val="single" w:color="1F9B8E" w:sz="6"/>
              <w:right w:val="single" w:color="1F9B8E" w:sz="6"/>
            </w:tcBorders>
            <w:shd w:fill="EAF7F5" w:val="clear"/>
            <w:tcMar>
              <w:top w:type="dxa" w:w="160"/>
              <w:left w:type="dxa" w:w="240"/>
              <w:bottom w:type="dxa" w:w="160"/>
              <w:right w:type="dxa" w:w="240"/>
            </w:tcMar>
          </w:tcPr>
          <w:p>
            <w:pPr>
              <w:spacing w:after="60" w:before="60"/>
            </w:pPr>
            <w:r>
              <w:rPr>
                <w:rFonts w:ascii="Arial" w:cs="Arial" w:eastAsia="Arial" w:hAnsi="Arial"/>
                <w:b/>
                <w:bCs/>
                <w:color w:val="1F9B8E"/>
                <w:sz w:val="22"/>
                <w:szCs w:val="22"/>
              </w:rPr>
              <w:t xml:space="preserve">R² = 1 - [Σ(yᵢ - ŷᵢ)² / Σ(yᵢ - ȳ)²]</w:t>
            </w:r>
          </w:p>
          <w:p>
            <w:pPr>
              <w:spacing w:after="60" w:before="60"/>
            </w:pPr>
            <w:r>
              <w:rPr>
                <w:rFonts w:ascii="Arial" w:cs="Arial" w:eastAsia="Arial" w:hAnsi="Arial"/>
                <w:b w:val="false"/>
                <w:bCs w:val="false"/>
                <w:color w:val="444444"/>
                <w:sz w:val="20"/>
                <w:szCs w:val="20"/>
              </w:rPr>
              <w:t xml:space="preserve">R² = 1 → Prédiction parfaite   |   R² = 0 → Pas mieux que la moyenne</w:t>
            </w:r>
          </w:p>
        </w:tc>
      </w:tr>
    </w:tbl>
    <w:p>
      <w:r>
        <w:br w:type="page"/>
      </w:r>
    </w:p>
    <w:p>
      <w:pPr>
        <w:pBdr>
          <w:bottom w:val="single" w:color="1F9B8E" w:sz="4" w:space="4"/>
        </w:pBdr>
        <w:spacing w:after="180" w:before="300"/>
      </w:pPr>
      <w:r>
        <w:rPr>
          <w:rFonts w:ascii="Arial" w:cs="Arial" w:eastAsia="Arial" w:hAnsi="Arial"/>
          <w:b/>
          <w:bCs/>
          <w:color w:val="1F9B8E"/>
          <w:sz w:val="36"/>
          <w:szCs w:val="36"/>
        </w:rPr>
        <w:t xml:space="preserve">9. Visualisation des Résultats</w:t>
      </w:r>
    </w:p>
    <w:p>
      <w:pPr>
        <w:spacing w:after="120" w:before="80"/>
        <w:jc w:val="left"/>
      </w:pPr>
      <w:r>
        <w:rPr>
          <w:rFonts w:ascii="Arial" w:cs="Arial" w:eastAsia="Arial" w:hAnsi="Arial"/>
          <w:b w:val="false"/>
          <w:bCs w:val="false"/>
          <w:i w:val="false"/>
          <w:iCs w:val="false"/>
          <w:color w:val="000000"/>
          <w:sz w:val="22"/>
          <w:szCs w:val="22"/>
        </w:rPr>
        <w:t xml:space="preserve">Plusieurs graphiques ont été produits pour analyser les performances des modèles et mieux comprendre le comportement des données. Ces visualisations constituent un outil essentiel pour l'interprétation et la communication des résultats.</w:t>
      </w:r>
    </w:p>
    <w:p>
      <w:pPr>
        <w:spacing w:after="180" w:before="300"/>
      </w:pPr>
      <w:r>
        <w:rPr>
          <w:rFonts w:ascii="Arial" w:cs="Arial" w:eastAsia="Arial" w:hAnsi="Arial"/>
          <w:b/>
          <w:bCs/>
          <w:color w:val="006B63"/>
          <w:sz w:val="28"/>
          <w:szCs w:val="28"/>
        </w:rPr>
        <w:t xml:space="preserve">9.1 Comparaison des Modèles</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RMSE Comparison — Comparaison des erreurs quadratiques moyennes</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MAE Comparison — Comparaison des erreurs absolues moyennes</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R² Comparison — Comparaison des coefficients de détermination</w:t>
      </w:r>
    </w:p>
    <w:p>
      <w:pPr>
        <w:spacing w:after="0" w:before="0"/>
      </w:pPr>
      <w:r>
        <w:rPr>
          <w:sz w:val="10"/>
          <w:szCs w:val="10"/>
        </w:rPr>
        <w:t xml:space="preserve"/>
      </w:r>
    </w:p>
    <w:p>
      <w:pPr>
        <w:spacing w:after="180" w:before="300"/>
      </w:pPr>
      <w:r>
        <w:rPr>
          <w:rFonts w:ascii="Arial" w:cs="Arial" w:eastAsia="Arial" w:hAnsi="Arial"/>
          <w:b/>
          <w:bCs/>
          <w:color w:val="006B63"/>
          <w:sz w:val="28"/>
          <w:szCs w:val="28"/>
        </w:rPr>
        <w:t xml:space="preserve">9.2 Analyse des Données</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Matrice de corrélation (Heatmap) — Relations entre les variables</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Distribution des variables — Histogrammes et boîtes à moustaches</w:t>
      </w:r>
    </w:p>
    <w:p>
      <w:pPr>
        <w:spacing w:after="0" w:before="0"/>
      </w:pPr>
      <w:r>
        <w:rPr>
          <w:sz w:val="10"/>
          <w:szCs w:val="10"/>
        </w:rPr>
        <w:t xml:space="preserve"/>
      </w:r>
    </w:p>
    <w:p>
      <w:pPr>
        <w:spacing w:after="180" w:before="300"/>
      </w:pPr>
      <w:r>
        <w:rPr>
          <w:rFonts w:ascii="Arial" w:cs="Arial" w:eastAsia="Arial" w:hAnsi="Arial"/>
          <w:b/>
          <w:bCs/>
          <w:color w:val="006B63"/>
          <w:sz w:val="28"/>
          <w:szCs w:val="28"/>
        </w:rPr>
        <w:t xml:space="preserve">9.3 Analyse du Réseau de Neurones</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Courbe de Loss — Évolution de la perte lors de l'entraînement</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Courbe de MAE — Évolution de l'erreur absolue moyenne</w:t>
      </w:r>
    </w:p>
    <w:p>
      <w:pPr>
        <w:spacing w:after="0" w:before="0"/>
      </w:pPr>
      <w:r>
        <w:rPr>
          <w:sz w:val="10"/>
          <w:szCs w:val="10"/>
        </w:rPr>
        <w:t xml:space="preserve"/>
      </w:r>
    </w:p>
    <w:p>
      <w:pPr>
        <w:spacing w:after="180" w:before="300"/>
      </w:pPr>
      <w:r>
        <w:rPr>
          <w:rFonts w:ascii="Arial" w:cs="Arial" w:eastAsia="Arial" w:hAnsi="Arial"/>
          <w:b/>
          <w:bCs/>
          <w:color w:val="006B63"/>
          <w:sz w:val="28"/>
          <w:szCs w:val="28"/>
        </w:rPr>
        <w:t xml:space="preserve">9.4 Analyse des Erreurs</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Distribution des erreurs — Histogramme des résidus</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Residual Plot — Graphique des résidus en fonction des prédictions</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Actual vs Predicted — Comparaison des valeurs réelles et prédites</w:t>
      </w:r>
    </w:p>
    <w:p>
      <w:pPr>
        <w:spacing w:after="0" w:before="0"/>
      </w:pPr>
      <w:r>
        <w:rPr>
          <w:sz w:val="16"/>
          <w:szCs w:val="16"/>
        </w:rPr>
        <w:t xml:space="preserve"/>
      </w:r>
    </w:p>
    <w:p>
      <w:pPr>
        <w:pBdr>
          <w:bottom w:val="single" w:color="1F9B8E" w:sz="4" w:space="4"/>
        </w:pBdr>
        <w:spacing w:after="180" w:before="300"/>
      </w:pPr>
      <w:r>
        <w:rPr>
          <w:rFonts w:ascii="Arial" w:cs="Arial" w:eastAsia="Arial" w:hAnsi="Arial"/>
          <w:b/>
          <w:bCs/>
          <w:color w:val="1F9B8E"/>
          <w:sz w:val="36"/>
          <w:szCs w:val="36"/>
        </w:rPr>
        <w:t xml:space="preserve">10. Sauvegarde du Modèle</w:t>
      </w:r>
    </w:p>
    <w:p>
      <w:pPr>
        <w:spacing w:after="120" w:before="80"/>
        <w:jc w:val="left"/>
      </w:pPr>
      <w:r>
        <w:rPr>
          <w:rFonts w:ascii="Arial" w:cs="Arial" w:eastAsia="Arial" w:hAnsi="Arial"/>
          <w:b w:val="false"/>
          <w:bCs w:val="false"/>
          <w:i w:val="false"/>
          <w:iCs w:val="false"/>
          <w:color w:val="000000"/>
          <w:sz w:val="22"/>
          <w:szCs w:val="22"/>
        </w:rPr>
        <w:t xml:space="preserve">À l'issue de la phase d'entraînement et d'évaluation, le meilleur modèle obtenu (le réseau de neurones ANN) a été sauvegardé pour une utilisation ultérieure sans nécessiter un ré-entraînement complet.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9B8E" w:sz="6"/>
              <w:left w:val="single" w:color="1F9B8E" w:sz="6"/>
              <w:bottom w:val="single" w:color="1F9B8E" w:sz="6"/>
              <w:right w:val="single" w:color="1F9B8E" w:sz="6"/>
            </w:tcBorders>
            <w:shd w:fill="EAF7F5" w:val="clear"/>
            <w:tcMar>
              <w:top w:type="dxa" w:w="160"/>
              <w:left w:type="dxa" w:w="240"/>
              <w:bottom w:type="dxa" w:w="160"/>
              <w:right w:type="dxa" w:w="240"/>
            </w:tcMar>
          </w:tcPr>
          <w:p>
            <w:pPr>
              <w:spacing w:after="60" w:before="60"/>
            </w:pPr>
            <w:r>
              <w:rPr>
                <w:rFonts w:ascii="Arial" w:cs="Arial" w:eastAsia="Arial" w:hAnsi="Arial"/>
                <w:b/>
                <w:bCs/>
                <w:color w:val="1F9B8E"/>
                <w:sz w:val="22"/>
                <w:szCs w:val="22"/>
              </w:rPr>
              <w:t xml:space="preserve">Modèle sauvegardé : plant_model.keras</w:t>
            </w:r>
          </w:p>
          <w:p>
            <w:pPr>
              <w:spacing w:after="60" w:before="60"/>
            </w:pPr>
            <w:r>
              <w:rPr>
                <w:rFonts w:ascii="Arial" w:cs="Arial" w:eastAsia="Arial" w:hAnsi="Arial"/>
                <w:b w:val="false"/>
                <w:bCs w:val="false"/>
                <w:color w:val="444444"/>
                <w:sz w:val="20"/>
                <w:szCs w:val="20"/>
              </w:rPr>
              <w:t xml:space="preserve">Format : Keras (.keras) — Compatible avec TensorFlow 2.x</w:t>
            </w:r>
          </w:p>
          <w:p>
            <w:pPr>
              <w:spacing w:after="60" w:before="60"/>
            </w:pPr>
            <w:r>
              <w:rPr>
                <w:rFonts w:ascii="Arial" w:cs="Arial" w:eastAsia="Arial" w:hAnsi="Arial"/>
                <w:b w:val="false"/>
                <w:bCs w:val="false"/>
                <w:color w:val="444444"/>
                <w:sz w:val="20"/>
                <w:szCs w:val="20"/>
              </w:rPr>
              <w:t xml:space="preserve">Avantage : Réutilisable sans réentraînement — Déployable en production</w:t>
            </w:r>
          </w:p>
        </w:tc>
      </w:tr>
    </w:tbl>
    <w:p>
      <w:pPr>
        <w:spacing w:after="0" w:before="0"/>
      </w:pPr>
      <w:r>
        <w:rPr>
          <w:sz w:val="12"/>
          <w:szCs w:val="12"/>
        </w:rPr>
        <w:t xml:space="preserve"/>
      </w:r>
    </w:p>
    <w:p>
      <w:pPr>
        <w:spacing w:after="120" w:before="80"/>
        <w:jc w:val="left"/>
      </w:pPr>
      <w:r>
        <w:rPr>
          <w:rFonts w:ascii="Arial" w:cs="Arial" w:eastAsia="Arial" w:hAnsi="Arial"/>
          <w:b w:val="false"/>
          <w:bCs w:val="false"/>
          <w:i w:val="false"/>
          <w:iCs w:val="false"/>
          <w:color w:val="000000"/>
          <w:sz w:val="22"/>
          <w:szCs w:val="22"/>
        </w:rPr>
        <w:t xml:space="preserve">La persistance du modèle permet son intégration dans des applications agricoles en temps réel, offrant ainsi aux exploitants la possibilité d'obtenir des prédictions instantanées sur la durée de croissance de leurs cultures.</w:t>
      </w:r>
    </w:p>
    <w:p>
      <w:r>
        <w:br w:type="page"/>
      </w:r>
    </w:p>
    <w:p>
      <w:pPr>
        <w:pBdr>
          <w:bottom w:val="single" w:color="1F9B8E" w:sz="4" w:space="4"/>
        </w:pBdr>
        <w:spacing w:after="180" w:before="300"/>
      </w:pPr>
      <w:r>
        <w:rPr>
          <w:rFonts w:ascii="Arial" w:cs="Arial" w:eastAsia="Arial" w:hAnsi="Arial"/>
          <w:b/>
          <w:bCs/>
          <w:color w:val="1F9B8E"/>
          <w:sz w:val="36"/>
          <w:szCs w:val="36"/>
        </w:rPr>
        <w:t xml:space="preserve">11. Conclusion</w:t>
      </w:r>
    </w:p>
    <w:p>
      <w:pPr>
        <w:spacing w:after="120" w:before="80"/>
        <w:jc w:val="left"/>
      </w:pPr>
      <w:r>
        <w:rPr>
          <w:rFonts w:ascii="Arial" w:cs="Arial" w:eastAsia="Arial" w:hAnsi="Arial"/>
          <w:b w:val="false"/>
          <w:bCs w:val="false"/>
          <w:i w:val="false"/>
          <w:iCs w:val="false"/>
          <w:color w:val="000000"/>
          <w:sz w:val="22"/>
          <w:szCs w:val="22"/>
        </w:rPr>
        <w:t xml:space="preserve">Dans ce projet, nous avons développé et comparé plusieurs systèmes de prédiction de la durée de croissance des plants de laitue en utilisant différentes techniques de Machine Learning et de Deep Learning. L'ensemble du pipeline, depuis le prétraitement des données jusqu'à l'évaluation des modèles, a été implémenté de manière rigoureuse.</w:t>
      </w:r>
    </w:p>
    <w:p>
      <w:pPr>
        <w:spacing w:after="120" w:before="0"/>
        <w:jc w:val="left"/>
      </w:pPr>
      <w:r>
        <w:rPr>
          <w:rFonts w:ascii="Arial" w:cs="Arial" w:eastAsia="Arial" w:hAnsi="Arial"/>
          <w:b w:val="false"/>
          <w:bCs w:val="false"/>
          <w:i w:val="false"/>
          <w:iCs w:val="false"/>
          <w:color w:val="000000"/>
          <w:sz w:val="22"/>
          <w:szCs w:val="22"/>
        </w:rPr>
        <w:t xml:space="preserve">Après le nettoyage des données, la normalisation et l'entraînement des différents modèles, les performances ont été comparées à l'aide des métriques MAE, RMSE et R². Les résultats obtenus démontrent que les méthodes d'intelligence artificielle peuvent fournir des prédictions fiables dans le contexte de l'agriculture intelligente.</w:t>
      </w:r>
    </w:p>
    <w:p>
      <w:pPr>
        <w:spacing w:after="180" w:before="300"/>
      </w:pPr>
      <w:r>
        <w:rPr>
          <w:rFonts w:ascii="Arial" w:cs="Arial" w:eastAsia="Arial" w:hAnsi="Arial"/>
          <w:b/>
          <w:bCs/>
          <w:color w:val="006B63"/>
          <w:sz w:val="28"/>
          <w:szCs w:val="28"/>
        </w:rPr>
        <w:t xml:space="preserve">11.1 Résumé des Contributions</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Mise en place d'un pipeline complet de prétraitement des données agricoles</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Comparaison de 4 modèles : Régression Linéaire, Decision Tree, Random Forest et ANN</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Évaluation rigoureuse avec les métriques MAE, RMSE et R²</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Développement d'un réseau de neurones profond avec Early Stopping</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Sauvegarde du meilleur modèle pour déploiement en production</w:t>
      </w:r>
    </w:p>
    <w:p>
      <w:pPr>
        <w:spacing w:after="0" w:before="0"/>
      </w:pPr>
      <w:r>
        <w:rPr>
          <w:sz w:val="12"/>
          <w:szCs w:val="12"/>
        </w:rPr>
        <w:t xml:space="preserve"/>
      </w:r>
    </w:p>
    <w:p>
      <w:pPr>
        <w:spacing w:after="180" w:before="300"/>
      </w:pPr>
      <w:r>
        <w:rPr>
          <w:rFonts w:ascii="Arial" w:cs="Arial" w:eastAsia="Arial" w:hAnsi="Arial"/>
          <w:b/>
          <w:bCs/>
          <w:color w:val="006B63"/>
          <w:sz w:val="28"/>
          <w:szCs w:val="28"/>
        </w:rPr>
        <w:t xml:space="preserve">11.2 Perspectives Futures</w:t>
      </w:r>
    </w:p>
    <w:p>
      <w:pPr>
        <w:spacing w:after="80" w:before="60"/>
        <w:jc w:val="left"/>
      </w:pPr>
      <w:r>
        <w:rPr>
          <w:rFonts w:ascii="Arial" w:cs="Arial" w:eastAsia="Arial" w:hAnsi="Arial"/>
          <w:b w:val="false"/>
          <w:bCs w:val="false"/>
          <w:i w:val="false"/>
          <w:iCs w:val="false"/>
          <w:color w:val="000000"/>
          <w:sz w:val="22"/>
          <w:szCs w:val="22"/>
        </w:rPr>
        <w:t xml:space="preserve">Pour améliorer encore les performances et l'applicabilité de ce système, plusieurs pistes d'amélioration sont envisageables :</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Utiliser un dataset plus volumineux et plus diversifié</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Intégrer davantage de paramètres environnementaux (radiation solaire, qualité du sol...)</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Tester des architectures Deep Learning plus avancées (LSTM, CNN)</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Déployer le modèle dans une application web ou mobile pour les agriculteurs</w:t>
      </w:r>
    </w:p>
    <w:p>
      <w:pPr>
        <w:spacing w:after="60" w:before="60"/>
        <w:ind w:left="720" w:hanging="360"/>
      </w:pPr>
      <w:r>
        <w:rPr>
          <w:rFonts w:ascii="Arial" w:cs="Arial" w:eastAsia="Arial" w:hAnsi="Arial"/>
          <w:b/>
          <w:bCs/>
          <w:color w:val="1F9B8E"/>
          <w:sz w:val="22"/>
          <w:szCs w:val="22"/>
        </w:rPr>
        <w:t xml:space="preserve">• </w:t>
      </w:r>
      <w:r>
        <w:rPr>
          <w:rFonts w:ascii="Arial" w:cs="Arial" w:eastAsia="Arial" w:hAnsi="Arial"/>
          <w:color w:val="333333"/>
          <w:sz w:val="22"/>
          <w:szCs w:val="22"/>
        </w:rPr>
        <w:t xml:space="preserve">Étendre l'approche à d'autres cultures agricoles</w:t>
      </w:r>
    </w:p>
    <w:p>
      <w:pPr>
        <w:spacing w:after="0" w:before="0"/>
      </w:pPr>
      <w:r>
        <w:rPr>
          <w:sz w:val="16"/>
          <w:szCs w:val="1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9B8E" w:sz="6"/>
              <w:left w:val="single" w:color="1F9B8E" w:sz="6"/>
              <w:bottom w:val="single" w:color="1F9B8E" w:sz="6"/>
              <w:right w:val="single" w:color="1F9B8E" w:sz="6"/>
            </w:tcBorders>
            <w:shd w:fill="EAF7F5" w:val="clear"/>
            <w:tcMar>
              <w:top w:type="dxa" w:w="160"/>
              <w:left w:type="dxa" w:w="240"/>
              <w:bottom w:type="dxa" w:w="160"/>
              <w:right w:type="dxa" w:w="240"/>
            </w:tcMar>
          </w:tcPr>
          <w:p>
            <w:pPr>
              <w:spacing w:after="60" w:before="60"/>
            </w:pPr>
            <w:r>
              <w:rPr>
                <w:rFonts w:ascii="Arial" w:cs="Arial" w:eastAsia="Arial" w:hAnsi="Arial"/>
                <w:b/>
                <w:bCs/>
                <w:color w:val="006B63"/>
                <w:sz w:val="22"/>
                <w:szCs w:val="22"/>
              </w:rPr>
              <w:t xml:space="preserve">Ce projet démontre le potentiel des techniques d'intelligence artificielle</w:t>
            </w:r>
          </w:p>
          <w:p>
            <w:pPr>
              <w:spacing w:after="60" w:before="60"/>
            </w:pPr>
            <w:r>
              <w:rPr>
                <w:rFonts w:ascii="Arial" w:cs="Arial" w:eastAsia="Arial" w:hAnsi="Arial"/>
                <w:b w:val="false"/>
                <w:bCs w:val="false"/>
                <w:color w:val="333333"/>
                <w:sz w:val="22"/>
                <w:szCs w:val="22"/>
              </w:rPr>
              <w:t xml:space="preserve">pour transformer l'agriculture traditionnelle en une agriculture de précision,</w:t>
            </w:r>
          </w:p>
          <w:p>
            <w:pPr>
              <w:spacing w:after="60" w:before="60"/>
            </w:pPr>
            <w:r>
              <w:rPr>
                <w:rFonts w:ascii="Arial" w:cs="Arial" w:eastAsia="Arial" w:hAnsi="Arial"/>
                <w:b w:val="false"/>
                <w:bCs w:val="false"/>
                <w:color w:val="333333"/>
                <w:sz w:val="22"/>
                <w:szCs w:val="22"/>
              </w:rPr>
              <w:t xml:space="preserve">plus efficace, plus durable et mieux adaptée aux défis du 21ème siècle.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9B8E" w:sz="4" w:space="4"/>
      </w:pBdr>
      <w:jc w:val="center"/>
    </w:pPr>
    <w:r>
      <w:rPr>
        <w:rFonts w:ascii="Arial" w:cs="Arial" w:eastAsia="Arial" w:hAnsi="Arial"/>
        <w:color w:val="555555"/>
        <w:sz w:val="18"/>
        <w:szCs w:val="18"/>
      </w:rPr>
      <w:t xml:space="preserve">Projet de fin de module — FSBM — 2025-2026</w:t>
    </w:r>
    <w:r>
      <w:rPr>
        <w:rFonts w:ascii="Arial" w:cs="Arial" w:eastAsia="Arial" w:hAnsi="Arial"/>
        <w:color w:val="555555"/>
        <w:sz w:val="18"/>
        <w:szCs w:val="18"/>
      </w:rPr>
      <w:t xml:space="preserve">    |    FSBM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9B8E" w:sz="4" w:space="4"/>
      </w:pBdr>
      <w:spacing w:after="0"/>
    </w:pPr>
    <w:r>
      <w:rPr>
        <w:rFonts w:ascii="Arial" w:cs="Arial" w:eastAsia="Arial" w:hAnsi="Arial"/>
        <w:color w:val="555555"/>
        <w:sz w:val="18"/>
        <w:szCs w:val="18"/>
      </w:rPr>
      <w:t xml:space="preserve">Prédiction de la Croissance des Plants de Laitue par ML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2026-06-22T19:25:38.959Z</dcterms:created>
  <dcterms:modified xsi:type="dcterms:W3CDTF">2026-06-22T19:25:38.959Z</dcterms:modified>
</cp:coreProperties>
</file>

<file path=docProps/custom.xml><?xml version="1.0" encoding="utf-8"?>
<Properties xmlns="http://schemas.openxmlformats.org/officeDocument/2006/custom-properties" xmlns:vt="http://schemas.openxmlformats.org/officeDocument/2006/docPropsVTypes"/>
</file>