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bCs w:val="1"/>
          <w:color w:val="1f1f1f"/>
          <w:sz w:val="34"/>
          <w:szCs w:val="34"/>
        </w:rPr>
      </w:pPr>
      <w:bookmarkStart w:colFirst="0" w:colLast="0" w:name="_1sz4ztz9px66" w:id="0"/>
      <w:bookmarkEnd w:id="0"/>
      <w:r w:rsidDel="00000000" w:rsidR="00000000" w:rsidRPr="00000000">
        <w:rPr>
          <w:b w:val="1"/>
          <w:bCs w:val="1"/>
          <w:color w:val="1f1f1f"/>
          <w:sz w:val="34"/>
          <w:szCs w:val="34"/>
          <w:rtl w:val="0"/>
        </w:rPr>
        <w:t xml:space="preserve">Clinical Briefing Outline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pPr>
      <w:bookmarkStart w:colFirst="0" w:colLast="0" w:name="_464sxxgo5n2v" w:id="1"/>
      <w:bookmarkEnd w:id="1"/>
      <w:r w:rsidDel="00000000" w:rsidR="00000000" w:rsidRPr="00000000">
        <w:rPr>
          <w:b w:val="1"/>
          <w:bCs w:val="1"/>
          <w:color w:val="1f1f1f"/>
          <w:sz w:val="26"/>
          <w:szCs w:val="26"/>
          <w:rtl w:val="0"/>
        </w:rPr>
        <w:t xml:space="preserve">Executive Summary</w:t>
      </w:r>
      <w:r w:rsidDel="00000000" w:rsidR="00000000" w:rsidRPr="00000000">
        <w:rPr>
          <w:rtl w:val="0"/>
        </w:rPr>
      </w:r>
    </w:p>
    <w:p w:rsidR="00000000" w:rsidDel="00000000" w:rsidP="00000000" w:rsidRDefault="00000000" w:rsidRPr="00000000" w14:paraId="00000004">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Problem in plain language</w:t>
      </w:r>
    </w:p>
    <w:p w:rsidR="00000000" w:rsidDel="00000000" w:rsidP="00000000" w:rsidRDefault="00000000" w:rsidRPr="00000000" w14:paraId="00000005">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Recommended solution</w:t>
      </w:r>
    </w:p>
    <w:p w:rsidR="00000000" w:rsidDel="00000000" w:rsidP="00000000" w:rsidRDefault="00000000" w:rsidRPr="00000000" w14:paraId="00000006">
      <w:pPr>
        <w:numPr>
          <w:ilvl w:val="0"/>
          <w:numId w:val="2"/>
        </w:numPr>
        <w:pBdr>
          <w:top w:color="auto" w:space="0" w:sz="0" w:val="none"/>
          <w:bottom w:color="auto" w:space="0" w:sz="0" w:val="none"/>
          <w:right w:color="auto" w:space="0" w:sz="0" w:val="none"/>
          <w:between w:color="auto" w:space="0" w:sz="0" w:val="none"/>
        </w:pBdr>
        <w:spacing w:after="480" w:lineRule="auto"/>
        <w:ind w:left="720" w:hanging="360"/>
      </w:pPr>
      <w:r w:rsidDel="00000000" w:rsidR="00000000" w:rsidRPr="00000000">
        <w:rPr>
          <w:b w:val="1"/>
          <w:bCs w:val="1"/>
          <w:color w:val="1f1f1f"/>
          <w:rtl w:val="0"/>
        </w:rPr>
        <w:t xml:space="preserve">Expected impact (clinical, operational)</w:t>
      </w:r>
      <w:r w:rsidDel="00000000" w:rsidR="00000000" w:rsidRPr="00000000">
        <w:rPr>
          <w:rtl w:val="0"/>
        </w:rPr>
      </w:r>
    </w:p>
    <w:p w:rsidR="00000000" w:rsidDel="00000000" w:rsidP="00000000" w:rsidRDefault="00000000" w:rsidRPr="00000000" w14:paraId="0000000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w1nm2yp1wxl8" w:id="2"/>
      <w:bookmarkEnd w:id="2"/>
      <w:r w:rsidDel="00000000" w:rsidR="00000000" w:rsidRPr="00000000">
        <w:rPr>
          <w:b w:val="1"/>
          <w:bCs w:val="1"/>
          <w:color w:val="1f1f1f"/>
          <w:sz w:val="26"/>
          <w:szCs w:val="26"/>
          <w:rtl w:val="0"/>
        </w:rPr>
        <w:t xml:space="preserve">1. Background</w:t>
      </w:r>
    </w:p>
    <w:p w:rsidR="00000000" w:rsidDel="00000000" w:rsidP="00000000" w:rsidRDefault="00000000" w:rsidRPr="00000000" w14:paraId="00000008">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rtl w:val="0"/>
        </w:rPr>
        <w:t xml:space="preserve">Why this problem matters </w:t>
      </w:r>
      <w:r w:rsidDel="00000000" w:rsidR="00000000" w:rsidRPr="00000000">
        <w:rPr>
          <w:b w:val="1"/>
          <w:bCs w:val="1"/>
          <w:i w:val="1"/>
          <w:iCs w:val="1"/>
          <w:rtl w:val="0"/>
        </w:rPr>
        <w:t xml:space="preserve">now</w:t>
      </w:r>
    </w:p>
    <w:p w:rsidR="00000000" w:rsidDel="00000000" w:rsidP="00000000" w:rsidRDefault="00000000" w:rsidRPr="00000000" w14:paraId="00000009">
      <w:pPr>
        <w:numPr>
          <w:ilvl w:val="0"/>
          <w:numId w:val="2"/>
        </w:numPr>
        <w:pBdr>
          <w:top w:color="auto" w:space="0" w:sz="0" w:val="none"/>
          <w:bottom w:color="auto" w:space="0" w:sz="0" w:val="none"/>
          <w:right w:color="auto" w:space="0" w:sz="0" w:val="none"/>
          <w:between w:color="auto" w:space="0" w:sz="0" w:val="none"/>
        </w:pBdr>
        <w:spacing w:after="480" w:lineRule="auto"/>
        <w:ind w:left="720" w:hanging="360"/>
        <w:rPr>
          <w:b w:val="1"/>
          <w:bCs w:val="1"/>
        </w:rPr>
      </w:pPr>
      <w:r w:rsidDel="00000000" w:rsidR="00000000" w:rsidRPr="00000000">
        <w:rPr>
          <w:b w:val="1"/>
          <w:bCs w:val="1"/>
          <w:rtl w:val="0"/>
        </w:rPr>
        <w:t xml:space="preserve">Who is affected (patients, clinicians, organization)</w:t>
      </w:r>
    </w:p>
    <w:p w:rsidR="00000000" w:rsidDel="00000000" w:rsidP="00000000" w:rsidRDefault="00000000" w:rsidRPr="00000000" w14:paraId="0000000A">
      <w:pPr>
        <w:pBdr>
          <w:top w:color="auto" w:space="0" w:sz="0" w:val="none"/>
          <w:bottom w:color="auto" w:space="0" w:sz="0" w:val="none"/>
          <w:right w:color="auto" w:space="0" w:sz="0" w:val="none"/>
          <w:between w:color="auto" w:space="0" w:sz="0" w:val="none"/>
        </w:pBdr>
        <w:spacing w:after="480" w:lineRule="auto"/>
        <w:rPr/>
      </w:pPr>
      <w:r w:rsidDel="00000000" w:rsidR="00000000" w:rsidRPr="00000000">
        <w:rPr>
          <w:rtl w:val="0"/>
        </w:rPr>
        <w:t xml:space="preserve">Osteoarthritis is a leading cause of disability worldwide, currently affecting approximately 250 million people, with its prevalence rising due to an aging and increasingly obese population. In England and Wales alone, around 160,000 hip and knee replacement procedures are conducted annually to address this burden. This problem matters now because traditional medical management is often reactive; however, there is a critical shift toward shared decision-making (SDM), which seeks to improve care and reduce costs by integrating clinical evidence with patient preferences. To support this approach, accurate prediction models are necessary to navigate the wide variation in surgical outcomes and foster the advancement of precision medicine.</w:t>
      </w:r>
    </w:p>
    <w:p w:rsidR="00000000" w:rsidDel="00000000" w:rsidP="00000000" w:rsidRDefault="00000000" w:rsidRPr="00000000" w14:paraId="0000000B">
      <w:pPr>
        <w:pBdr>
          <w:top w:color="auto" w:space="0" w:sz="0" w:val="none"/>
          <w:bottom w:color="auto" w:space="0" w:sz="0" w:val="none"/>
          <w:right w:color="auto" w:space="0" w:sz="0" w:val="none"/>
          <w:between w:color="auto" w:space="0" w:sz="0" w:val="none"/>
        </w:pBdr>
        <w:spacing w:after="480" w:lineRule="auto"/>
        <w:rPr/>
      </w:pPr>
      <w:r w:rsidDel="00000000" w:rsidR="00000000" w:rsidRPr="00000000">
        <w:rPr>
          <w:rtl w:val="0"/>
        </w:rPr>
        <w:t xml:space="preserve">Multiple stakeholders are deeply affected by the outcomes of these orthopedic procedures. Patients undergo surgery primarily to improve their health-related quality of life, yet they require highly accurate, individualised predictions to set realistic expectations and avoid dissatisfaction. Clinicians need these data-driven tools to complement their professional expertise, enabling them to inform patients more precisely about the likely success of a procedure. Furthermore, organizations such as the National Health Service (NHS) are affected because they utilize patient-reported outcome measures (PROMs) to monitor the quality of care and manage the significant direct and indirect socioeconomic costs associated with treating end-stage osteoarthritis.</w:t>
      </w:r>
    </w:p>
    <w:p w:rsidR="00000000" w:rsidDel="00000000" w:rsidP="00000000" w:rsidRDefault="00000000" w:rsidRPr="00000000" w14:paraId="0000000C">
      <w:pPr>
        <w:pBdr>
          <w:top w:color="auto" w:space="0" w:sz="0" w:val="none"/>
          <w:bottom w:color="auto" w:space="0" w:sz="0" w:val="none"/>
          <w:right w:color="auto" w:space="0" w:sz="0" w:val="none"/>
          <w:between w:color="auto" w:space="0" w:sz="0" w:val="none"/>
        </w:pBdr>
        <w:spacing w:after="480" w:lineRule="auto"/>
        <w:rPr/>
      </w:pPr>
      <w:r w:rsidDel="00000000" w:rsidR="00000000" w:rsidRPr="00000000">
        <w:rPr>
          <w:rtl w:val="0"/>
        </w:rPr>
        <w:t xml:space="preserve">This data science project evaluated the performance of X supervised machine-learning classifiers to predict binary postoperative improvement following surgery. Utilizing a massive NHS dataset of over X observations, the researchers demonstrated that advanced algorithms—most notably extreme gradient boosting—can outperform traditional linear models in predictive accuracy. The study revealed that preoperative scores, including the generic visual analogue scale (VAS) and disease-specific Q scores (Oxford Hip and Knee scores), are the most critical predictors of a patient's postoperative health state. By establishing these robust, real-world benchmarks, the project provides a framework for integrating individualized outcome estimations into routine clinical practice</w:t>
      </w:r>
    </w:p>
    <w:p w:rsidR="00000000" w:rsidDel="00000000" w:rsidP="00000000" w:rsidRDefault="00000000" w:rsidRPr="00000000" w14:paraId="0000000D">
      <w:pPr>
        <w:pBdr>
          <w:top w:color="auto" w:space="0" w:sz="0" w:val="none"/>
          <w:bottom w:color="auto" w:space="0" w:sz="0" w:val="none"/>
          <w:right w:color="auto" w:space="0" w:sz="0" w:val="none"/>
          <w:between w:color="auto" w:space="0" w:sz="0" w:val="none"/>
        </w:pBdr>
        <w:spacing w:after="480" w:lineRule="auto"/>
        <w:rPr>
          <w:b w:val="1"/>
          <w:bCs w:val="1"/>
        </w:rPr>
      </w:pPr>
      <w:r w:rsidDel="00000000" w:rsidR="00000000" w:rsidRPr="00000000">
        <w:rPr>
          <w:rtl w:val="0"/>
        </w:rPr>
      </w:r>
    </w:p>
    <w:p w:rsidR="00000000" w:rsidDel="00000000" w:rsidP="00000000" w:rsidRDefault="00000000" w:rsidRPr="00000000" w14:paraId="0000000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pPr>
      <w:bookmarkStart w:colFirst="0" w:colLast="0" w:name="_lr4hxnzc2jih" w:id="3"/>
      <w:bookmarkEnd w:id="3"/>
      <w:r w:rsidDel="00000000" w:rsidR="00000000" w:rsidRPr="00000000">
        <w:rPr>
          <w:b w:val="1"/>
          <w:bCs w:val="1"/>
          <w:color w:val="1f1f1f"/>
          <w:sz w:val="26"/>
          <w:szCs w:val="26"/>
          <w:rtl w:val="0"/>
        </w:rPr>
        <w:t xml:space="preserve">2. Problem Statement</w:t>
      </w:r>
      <w:r w:rsidDel="00000000" w:rsidR="00000000" w:rsidRPr="00000000">
        <w:rPr>
          <w:rtl w:val="0"/>
        </w:rPr>
      </w:r>
    </w:p>
    <w:p w:rsidR="00000000" w:rsidDel="00000000" w:rsidP="00000000" w:rsidRDefault="00000000" w:rsidRPr="00000000" w14:paraId="0000000F">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The Problem</w:t>
      </w:r>
      <w:r w:rsidDel="00000000" w:rsidR="00000000" w:rsidRPr="00000000">
        <w:rPr>
          <w:color w:val="1f1f1f"/>
          <w:rtl w:val="0"/>
        </w:rPr>
        <w:t xml:space="preserve"> </w:t>
      </w:r>
    </w:p>
    <w:p w:rsidR="00000000" w:rsidDel="00000000" w:rsidP="00000000" w:rsidRDefault="00000000" w:rsidRPr="00000000" w14:paraId="00000010">
      <w:pPr>
        <w:numPr>
          <w:ilvl w:val="0"/>
          <w:numId w:val="2"/>
        </w:numPr>
        <w:pBdr>
          <w:top w:color="auto" w:space="0" w:sz="0" w:val="none"/>
          <w:bottom w:color="auto" w:space="0" w:sz="0" w:val="none"/>
          <w:right w:color="auto" w:space="0" w:sz="0" w:val="none"/>
          <w:between w:color="auto" w:space="0" w:sz="0" w:val="none"/>
        </w:pBdr>
        <w:spacing w:after="480" w:lineRule="auto"/>
        <w:ind w:left="720" w:hanging="360"/>
      </w:pPr>
      <w:r w:rsidDel="00000000" w:rsidR="00000000" w:rsidRPr="00000000">
        <w:rPr>
          <w:b w:val="1"/>
          <w:bCs w:val="1"/>
          <w:color w:val="1f1f1f"/>
          <w:rtl w:val="0"/>
        </w:rPr>
        <w:t xml:space="preserve">Clinical Consequences</w:t>
      </w:r>
    </w:p>
    <w:p w:rsidR="00000000" w:rsidDel="00000000" w:rsidP="00000000" w:rsidRDefault="00000000" w:rsidRPr="00000000" w14:paraId="00000011">
      <w:pPr>
        <w:pBdr>
          <w:top w:color="auto" w:space="0" w:sz="0" w:val="none"/>
          <w:bottom w:color="auto" w:space="0" w:sz="0" w:val="none"/>
          <w:right w:color="auto" w:space="0" w:sz="0" w:val="none"/>
          <w:between w:color="auto" w:space="0" w:sz="0" w:val="none"/>
        </w:pBdr>
        <w:spacing w:after="480" w:lineRule="auto"/>
        <w:ind w:left="0" w:firstLine="0"/>
        <w:rPr>
          <w:color w:val="1f1f1f"/>
        </w:rPr>
      </w:pPr>
      <w:r w:rsidDel="00000000" w:rsidR="00000000" w:rsidRPr="00000000">
        <w:rPr>
          <w:color w:val="1f1f1f"/>
          <w:rtl w:val="0"/>
        </w:rPr>
        <w:t xml:space="preserve">Despite the high volume of orthopedic surgeries conducted to treat the condition, traditional clinical management remains largely palliative and reactive, often failing to utilize shared decision-making (SDM) to tailor treatments to specific patient needs. These management gaps result in devastating clinical consequences, including persistent pain and disability for up to 25% of patients one year post-surgery, which leads to widespread patient dissatisfaction and diminished health-related quality of life. Ultimately, the absence of individualized, data-driven prediction models prevents the realization of precision medicine, incurring substantial socioeconomic costs through high medical expenditures and indirect burdens such as work loss and premature retirement.</w:t>
      </w:r>
    </w:p>
    <w:p w:rsidR="00000000" w:rsidDel="00000000" w:rsidP="00000000" w:rsidRDefault="00000000" w:rsidRPr="00000000" w14:paraId="0000001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rPr>
      </w:pPr>
      <w:bookmarkStart w:colFirst="0" w:colLast="0" w:name="_x6yg57v1zx9g" w:id="4"/>
      <w:bookmarkEnd w:id="4"/>
      <w:r w:rsidDel="00000000" w:rsidR="00000000" w:rsidRPr="00000000">
        <w:rPr>
          <w:b w:val="1"/>
          <w:bCs w:val="1"/>
          <w:color w:val="1f1f1f"/>
          <w:sz w:val="26"/>
          <w:szCs w:val="26"/>
          <w:rtl w:val="0"/>
        </w:rPr>
        <w:t xml:space="preserve">3. Project Value &amp; Objectives</w:t>
      </w:r>
      <w:r w:rsidDel="00000000" w:rsidR="00000000" w:rsidRPr="00000000">
        <w:rPr>
          <w:rtl w:val="0"/>
        </w:rPr>
      </w:r>
    </w:p>
    <w:p w:rsidR="00000000" w:rsidDel="00000000" w:rsidP="00000000" w:rsidRDefault="00000000" w:rsidRPr="00000000" w14:paraId="00000013">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Project Scope</w:t>
      </w:r>
    </w:p>
    <w:p w:rsidR="00000000" w:rsidDel="00000000" w:rsidP="00000000" w:rsidRDefault="00000000" w:rsidRPr="00000000" w14:paraId="00000014">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Business Value</w:t>
      </w:r>
    </w:p>
    <w:p w:rsidR="00000000" w:rsidDel="00000000" w:rsidP="00000000" w:rsidRDefault="00000000" w:rsidRPr="00000000" w14:paraId="00000015">
      <w:pPr>
        <w:numPr>
          <w:ilvl w:val="0"/>
          <w:numId w:val="2"/>
        </w:numPr>
        <w:pBdr>
          <w:top w:color="auto" w:space="0" w:sz="0" w:val="none"/>
          <w:bottom w:color="auto" w:space="0" w:sz="0" w:val="none"/>
          <w:right w:color="auto" w:space="0" w:sz="0" w:val="none"/>
          <w:between w:color="auto" w:space="0" w:sz="0" w:val="none"/>
        </w:pBdr>
        <w:spacing w:after="480" w:lineRule="auto"/>
        <w:ind w:left="720" w:hanging="360"/>
        <w:rPr>
          <w:b w:val="1"/>
          <w:bCs w:val="1"/>
          <w:color w:val="1f1f1f"/>
          <w:u w:val="none"/>
        </w:rPr>
      </w:pPr>
      <w:r w:rsidDel="00000000" w:rsidR="00000000" w:rsidRPr="00000000">
        <w:rPr>
          <w:b w:val="1"/>
          <w:bCs w:val="1"/>
          <w:color w:val="1f1f1f"/>
          <w:rtl w:val="0"/>
        </w:rPr>
        <w:t xml:space="preserve">DAPS diagram</w:t>
      </w:r>
      <w:r w:rsidDel="00000000" w:rsidR="00000000" w:rsidRPr="00000000">
        <w:rPr>
          <w:rtl w:val="0"/>
        </w:rPr>
      </w:r>
    </w:p>
    <w:p w:rsidR="00000000" w:rsidDel="00000000" w:rsidP="00000000" w:rsidRDefault="00000000" w:rsidRPr="00000000" w14:paraId="00000016">
      <w:pPr>
        <w:spacing w:after="160" w:line="259" w:lineRule="auto"/>
        <w:rPr>
          <w:rFonts w:ascii="Aptos" w:cs="Aptos" w:eastAsia="Aptos" w:hAnsi="Aptos"/>
          <w:b w:val="1"/>
          <w:bCs w:val="1"/>
        </w:rPr>
      </w:pPr>
      <w:r w:rsidDel="00000000" w:rsidR="00000000" w:rsidRPr="00000000">
        <w:rPr>
          <w:rFonts w:ascii="Aptos" w:cs="Aptos" w:eastAsia="Aptos" w:hAnsi="Aptos"/>
          <w:b w:val="1"/>
          <w:bCs w:val="1"/>
          <w:rtl w:val="0"/>
        </w:rPr>
        <w:t xml:space="preserve">Project Scope</w:t>
      </w:r>
    </w:p>
    <w:p w:rsidR="00000000" w:rsidDel="00000000" w:rsidP="00000000" w:rsidRDefault="00000000" w:rsidRPr="00000000" w14:paraId="00000017">
      <w:pPr>
        <w:spacing w:after="160" w:line="259" w:lineRule="auto"/>
        <w:rPr>
          <w:rFonts w:ascii="Aptos" w:cs="Aptos" w:eastAsia="Aptos" w:hAnsi="Aptos"/>
          <w:b w:val="1"/>
          <w:bCs w:val="1"/>
        </w:rPr>
      </w:pPr>
      <w:r w:rsidDel="00000000" w:rsidR="00000000" w:rsidRPr="00000000">
        <w:rPr>
          <w:rtl w:val="0"/>
        </w:rPr>
      </w:r>
    </w:p>
    <w:p w:rsidR="00000000" w:rsidDel="00000000" w:rsidP="00000000" w:rsidRDefault="00000000" w:rsidRPr="00000000" w14:paraId="00000018">
      <w:pPr>
        <w:spacing w:after="160" w:line="259" w:lineRule="auto"/>
        <w:rPr>
          <w:rFonts w:ascii="Aptos" w:cs="Aptos" w:eastAsia="Aptos" w:hAnsi="Aptos"/>
          <w:b w:val="1"/>
          <w:bCs w:val="1"/>
        </w:rPr>
      </w:pPr>
      <w:r w:rsidDel="00000000" w:rsidR="00000000" w:rsidRPr="00000000">
        <w:rPr>
          <w:rtl w:val="0"/>
        </w:rPr>
      </w:r>
    </w:p>
    <w:p w:rsidR="00000000" w:rsidDel="00000000" w:rsidP="00000000" w:rsidRDefault="00000000" w:rsidRPr="00000000" w14:paraId="00000019">
      <w:pPr>
        <w:spacing w:after="160" w:line="259" w:lineRule="auto"/>
        <w:rPr>
          <w:rFonts w:ascii="Aptos" w:cs="Aptos" w:eastAsia="Aptos" w:hAnsi="Aptos"/>
          <w:b w:val="1"/>
          <w:bCs w:val="1"/>
        </w:rPr>
      </w:pPr>
      <w:r w:rsidDel="00000000" w:rsidR="00000000" w:rsidRPr="00000000">
        <w:rPr>
          <w:rFonts w:ascii="Aptos" w:cs="Aptos" w:eastAsia="Aptos" w:hAnsi="Aptos"/>
          <w:b w:val="1"/>
          <w:bCs w:val="1"/>
          <w:rtl w:val="0"/>
        </w:rPr>
        <w:t xml:space="preserve">Business Value</w:t>
      </w:r>
    </w:p>
    <w:p w:rsidR="00000000" w:rsidDel="00000000" w:rsidP="00000000" w:rsidRDefault="00000000" w:rsidRPr="00000000" w14:paraId="0000001A">
      <w:pPr>
        <w:spacing w:after="160" w:line="259" w:lineRule="auto"/>
        <w:rPr>
          <w:rFonts w:ascii="Aptos" w:cs="Aptos" w:eastAsia="Aptos" w:hAnsi="Aptos"/>
        </w:rPr>
      </w:pPr>
      <w:r w:rsidDel="00000000" w:rsidR="00000000" w:rsidRPr="00000000">
        <w:rPr>
          <w:rFonts w:ascii="Aptos" w:cs="Aptos" w:eastAsia="Aptos" w:hAnsi="Aptos"/>
          <w:rtl w:val="0"/>
        </w:rPr>
        <w:t xml:space="preserve">Our main goal is to reduce the amount of clinically ineffective surgeries for hip or knee joint replacements by predicting which patients will report pain and disability 1 year after the surgery. This enables a range of advantages:</w:t>
      </w:r>
    </w:p>
    <w:p w:rsidR="00000000" w:rsidDel="00000000" w:rsidP="00000000" w:rsidRDefault="00000000" w:rsidRPr="00000000" w14:paraId="0000001B">
      <w:pPr>
        <w:spacing w:after="160" w:line="259" w:lineRule="auto"/>
        <w:rPr>
          <w:rFonts w:ascii="Aptos" w:cs="Aptos" w:eastAsia="Aptos" w:hAnsi="Aptos"/>
        </w:rPr>
      </w:pPr>
      <w:r w:rsidDel="00000000" w:rsidR="00000000" w:rsidRPr="00000000">
        <w:rPr>
          <w:rtl w:val="0"/>
        </w:rPr>
      </w:r>
    </w:p>
    <w:p w:rsidR="00000000" w:rsidDel="00000000" w:rsidP="00000000" w:rsidRDefault="00000000" w:rsidRPr="00000000" w14:paraId="0000001C">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Proactive identification of patients who will likely not benefit from this surgery before surgery takes place.</w:t>
      </w:r>
    </w:p>
    <w:p w:rsidR="00000000" w:rsidDel="00000000" w:rsidP="00000000" w:rsidRDefault="00000000" w:rsidRPr="00000000" w14:paraId="0000001D">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Informed clinical decision-making to potentially avoid unnecessary procedures</w:t>
      </w:r>
    </w:p>
    <w:p w:rsidR="00000000" w:rsidDel="00000000" w:rsidP="00000000" w:rsidRDefault="00000000" w:rsidRPr="00000000" w14:paraId="0000001E">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Patients avoid an invasive procedure that is less likely to be clinically effective for them and can be directed toward alternative treatments that do have a higher chance of success. </w:t>
      </w:r>
    </w:p>
    <w:p w:rsidR="00000000" w:rsidDel="00000000" w:rsidP="00000000" w:rsidRDefault="00000000" w:rsidRPr="00000000" w14:paraId="0000001F">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Significant cost effective for the healthcare system by reducing clinically ineffective surgeries. </w:t>
      </w:r>
    </w:p>
    <w:p w:rsidR="00000000" w:rsidDel="00000000" w:rsidP="00000000" w:rsidRDefault="00000000" w:rsidRPr="00000000" w14:paraId="00000020">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More efficient use of healthcare resources. Decreasing the amount of clinically ineffective surgeries you free capacity for patients who will genuinely benefit. This consequently will improve wait times. </w:t>
      </w:r>
    </w:p>
    <w:p w:rsidR="00000000" w:rsidDel="00000000" w:rsidP="00000000" w:rsidRDefault="00000000" w:rsidRPr="00000000" w14:paraId="00000021">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Hospital and surgical department improve their outcome statistics and reputation.</w:t>
      </w:r>
    </w:p>
    <w:p w:rsidR="00000000" w:rsidDel="00000000" w:rsidP="00000000" w:rsidRDefault="00000000" w:rsidRPr="00000000" w14:paraId="00000022">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Reducing low value care aligns with medical ethics: do no harm.</w:t>
      </w:r>
    </w:p>
    <w:p w:rsidR="00000000" w:rsidDel="00000000" w:rsidP="00000000" w:rsidRDefault="00000000" w:rsidRPr="00000000" w14:paraId="00000023">
      <w:pPr>
        <w:spacing w:after="160" w:line="259" w:lineRule="auto"/>
        <w:rPr>
          <w:rFonts w:ascii="Aptos" w:cs="Aptos" w:eastAsia="Aptos" w:hAnsi="Aptos"/>
        </w:rPr>
      </w:pPr>
      <w:r w:rsidDel="00000000" w:rsidR="00000000" w:rsidRPr="00000000">
        <w:rPr>
          <w:rFonts w:ascii="Aptos" w:cs="Aptos" w:eastAsia="Aptos" w:hAnsi="Aptos"/>
          <w:rtl w:val="0"/>
        </w:rPr>
        <w:t xml:space="preserve">•</w:t>
        <w:tab/>
        <w:t xml:space="preserve">Standardization: The predictive tool creates more consistency in decisions, this standardization will reduce unwarranted variation between clinicians.</w:t>
      </w:r>
    </w:p>
    <w:p w:rsidR="00000000" w:rsidDel="00000000" w:rsidP="00000000" w:rsidRDefault="00000000" w:rsidRPr="00000000" w14:paraId="00000024">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rtl w:val="0"/>
        </w:rPr>
      </w:r>
    </w:p>
    <w:p w:rsidR="00000000" w:rsidDel="00000000" w:rsidP="00000000" w:rsidRDefault="00000000" w:rsidRPr="00000000" w14:paraId="00000025">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Pr>
        <w:drawing>
          <wp:inline distB="114300" distT="114300" distL="114300" distR="114300">
            <wp:extent cx="5731200" cy="3543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color w:val="1f1f1f"/>
        </w:rPr>
      </w:pPr>
      <w:bookmarkStart w:colFirst="0" w:colLast="0" w:name="_3ljlehuecojt" w:id="5"/>
      <w:bookmarkEnd w:id="5"/>
      <w:r w:rsidDel="00000000" w:rsidR="00000000" w:rsidRPr="00000000">
        <w:rPr>
          <w:b w:val="1"/>
          <w:bCs w:val="1"/>
          <w:color w:val="1f1f1f"/>
          <w:sz w:val="26"/>
          <w:szCs w:val="26"/>
          <w:rtl w:val="0"/>
        </w:rPr>
        <w:t xml:space="preserve">4. Methodology </w:t>
      </w:r>
      <w:r w:rsidDel="00000000" w:rsidR="00000000" w:rsidRPr="00000000">
        <w:rPr>
          <w:rtl w:val="0"/>
        </w:rPr>
      </w:r>
    </w:p>
    <w:p w:rsidR="00000000" w:rsidDel="00000000" w:rsidP="00000000" w:rsidRDefault="00000000" w:rsidRPr="00000000" w14:paraId="00000027">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Data sources used</w:t>
      </w:r>
    </w:p>
    <w:p w:rsidR="00000000" w:rsidDel="00000000" w:rsidP="00000000" w:rsidRDefault="00000000" w:rsidRPr="00000000" w14:paraId="00000028">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Data is appropriate and reliable</w:t>
      </w:r>
    </w:p>
    <w:p w:rsidR="00000000" w:rsidDel="00000000" w:rsidP="00000000" w:rsidRDefault="00000000" w:rsidRPr="00000000" w14:paraId="00000029">
      <w:pPr>
        <w:numPr>
          <w:ilvl w:val="0"/>
          <w:numId w:val="3"/>
        </w:numPr>
        <w:pBdr>
          <w:top w:color="auto" w:space="0" w:sz="0" w:val="none"/>
          <w:bottom w:color="auto" w:space="0" w:sz="0" w:val="none"/>
          <w:right w:color="auto" w:space="0" w:sz="0" w:val="none"/>
          <w:between w:color="auto" w:space="0" w:sz="0" w:val="none"/>
        </w:pBdr>
        <w:spacing w:after="480" w:lineRule="auto"/>
        <w:ind w:left="720" w:hanging="360"/>
      </w:pPr>
      <w:r w:rsidDel="00000000" w:rsidR="00000000" w:rsidRPr="00000000">
        <w:rPr>
          <w:b w:val="1"/>
          <w:bCs w:val="1"/>
          <w:color w:val="1f1f1f"/>
          <w:rtl w:val="0"/>
        </w:rPr>
        <w:t xml:space="preserve">How insights are generated</w:t>
      </w:r>
      <w:r w:rsidDel="00000000" w:rsidR="00000000" w:rsidRPr="00000000">
        <w:rPr>
          <w:rtl w:val="0"/>
        </w:rPr>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sz w:val="26"/>
          <w:szCs w:val="26"/>
        </w:rPr>
      </w:pPr>
      <w:r w:rsidDel="00000000" w:rsidR="00000000" w:rsidRPr="00000000">
        <w:rPr>
          <w:b w:val="1"/>
          <w:bCs w:val="1"/>
          <w:color w:val="1f1f1f"/>
          <w:sz w:val="26"/>
          <w:szCs w:val="26"/>
          <w:rtl w:val="0"/>
        </w:rPr>
        <w:t xml:space="preserve">5. Validation &amp; Performance Metrics</w:t>
      </w:r>
    </w:p>
    <w:p w:rsidR="00000000" w:rsidDel="00000000" w:rsidP="00000000" w:rsidRDefault="00000000" w:rsidRPr="00000000" w14:paraId="0000002B">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How success was measured</w:t>
      </w:r>
    </w:p>
    <w:p w:rsidR="00000000" w:rsidDel="00000000" w:rsidP="00000000" w:rsidRDefault="00000000" w:rsidRPr="00000000" w14:paraId="0000002C">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Key results</w:t>
      </w:r>
    </w:p>
    <w:p w:rsidR="00000000" w:rsidDel="00000000" w:rsidP="00000000" w:rsidRDefault="00000000" w:rsidRPr="00000000" w14:paraId="0000002D">
      <w:pPr>
        <w:numPr>
          <w:ilvl w:val="0"/>
          <w:numId w:val="2"/>
        </w:numPr>
        <w:pBdr>
          <w:top w:color="auto" w:space="0" w:sz="0" w:val="none"/>
          <w:bottom w:color="auto" w:space="0" w:sz="0" w:val="none"/>
          <w:right w:color="auto" w:space="0" w:sz="0" w:val="none"/>
          <w:between w:color="auto" w:space="0" w:sz="0" w:val="none"/>
        </w:pBdr>
        <w:spacing w:after="480" w:lineRule="auto"/>
        <w:ind w:left="720" w:hanging="360"/>
        <w:rPr>
          <w:b w:val="1"/>
          <w:bCs w:val="1"/>
        </w:rPr>
      </w:pPr>
      <w:r w:rsidDel="00000000" w:rsidR="00000000" w:rsidRPr="00000000">
        <w:rPr>
          <w:b w:val="1"/>
          <w:bCs w:val="1"/>
          <w:color w:val="1f1f1f"/>
          <w:rtl w:val="0"/>
        </w:rPr>
        <w:t xml:space="preserve">Limitations and known risks</w:t>
      </w:r>
      <w:r w:rsidDel="00000000" w:rsidR="00000000" w:rsidRPr="00000000">
        <w:rPr>
          <w:rtl w:val="0"/>
        </w:rPr>
      </w:r>
    </w:p>
    <w:p w:rsidR="00000000" w:rsidDel="00000000" w:rsidP="00000000" w:rsidRDefault="00000000" w:rsidRPr="00000000" w14:paraId="0000002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vpbkau6kewl0" w:id="6"/>
      <w:bookmarkEnd w:id="6"/>
      <w:r w:rsidDel="00000000" w:rsidR="00000000" w:rsidRPr="00000000">
        <w:rPr>
          <w:b w:val="1"/>
          <w:bCs w:val="1"/>
          <w:color w:val="1f1f1f"/>
          <w:sz w:val="26"/>
          <w:szCs w:val="26"/>
          <w:rtl w:val="0"/>
        </w:rPr>
        <w:t xml:space="preserve">6. Recommended Solution</w:t>
      </w:r>
    </w:p>
    <w:p w:rsidR="00000000" w:rsidDel="00000000" w:rsidP="00000000" w:rsidRDefault="00000000" w:rsidRPr="00000000" w14:paraId="0000002F">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Present solution</w:t>
      </w:r>
    </w:p>
    <w:p w:rsidR="00000000" w:rsidDel="00000000" w:rsidP="00000000" w:rsidRDefault="00000000" w:rsidRPr="00000000" w14:paraId="00000030">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How it supports decision-making</w:t>
      </w:r>
    </w:p>
    <w:p w:rsidR="00000000" w:rsidDel="00000000" w:rsidP="00000000" w:rsidRDefault="00000000" w:rsidRPr="00000000" w14:paraId="00000031">
      <w:pPr>
        <w:numPr>
          <w:ilvl w:val="0"/>
          <w:numId w:val="2"/>
        </w:numPr>
        <w:pBdr>
          <w:top w:color="auto" w:space="0" w:sz="0" w:val="none"/>
          <w:bottom w:color="auto" w:space="0" w:sz="0" w:val="none"/>
          <w:right w:color="auto" w:space="0" w:sz="0" w:val="none"/>
          <w:between w:color="auto" w:space="0" w:sz="0" w:val="none"/>
        </w:pBdr>
        <w:spacing w:after="480" w:lineRule="auto"/>
        <w:ind w:left="720" w:hanging="360"/>
        <w:rPr>
          <w:b w:val="1"/>
          <w:bCs w:val="1"/>
        </w:rPr>
      </w:pPr>
      <w:r w:rsidDel="00000000" w:rsidR="00000000" w:rsidRPr="00000000">
        <w:rPr>
          <w:b w:val="1"/>
          <w:bCs w:val="1"/>
          <w:color w:val="1f1f1f"/>
          <w:rtl w:val="0"/>
        </w:rPr>
        <w:t xml:space="preserve">Where it fits into existing workflows</w:t>
      </w:r>
    </w:p>
    <w:p w:rsidR="00000000" w:rsidDel="00000000" w:rsidP="00000000" w:rsidRDefault="00000000" w:rsidRPr="00000000" w14:paraId="0000003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xt68jjdg9yiw" w:id="7"/>
      <w:bookmarkEnd w:id="7"/>
      <w:r w:rsidDel="00000000" w:rsidR="00000000" w:rsidRPr="00000000">
        <w:rPr>
          <w:b w:val="1"/>
          <w:bCs w:val="1"/>
          <w:color w:val="1f1f1f"/>
          <w:sz w:val="26"/>
          <w:szCs w:val="26"/>
          <w:rtl w:val="0"/>
        </w:rPr>
        <w:t xml:space="preserve">7. Implementation Plan</w:t>
      </w:r>
    </w:p>
    <w:p w:rsidR="00000000" w:rsidDel="00000000" w:rsidP="00000000" w:rsidRDefault="00000000" w:rsidRPr="00000000" w14:paraId="00000033">
      <w:pPr>
        <w:pStyle w:val="Heading3"/>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lineRule="auto"/>
        <w:ind w:left="720" w:hanging="360"/>
        <w:rPr>
          <w:sz w:val="24"/>
          <w:szCs w:val="24"/>
        </w:rPr>
      </w:pPr>
      <w:bookmarkStart w:colFirst="0" w:colLast="0" w:name="_iu18iloatjtj" w:id="8"/>
      <w:bookmarkEnd w:id="8"/>
      <w:r w:rsidDel="00000000" w:rsidR="00000000" w:rsidRPr="00000000">
        <w:rPr>
          <w:b w:val="1"/>
          <w:bCs w:val="1"/>
          <w:color w:val="1f1f1f"/>
          <w:sz w:val="22"/>
          <w:szCs w:val="22"/>
          <w:rtl w:val="0"/>
        </w:rPr>
        <w:t xml:space="preserve">Clinical Integration</w:t>
      </w:r>
    </w:p>
    <w:p w:rsidR="00000000" w:rsidDel="00000000" w:rsidP="00000000" w:rsidRDefault="00000000" w:rsidRPr="00000000" w14:paraId="00000034">
      <w:pPr>
        <w:pStyle w:val="Heading3"/>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120" w:before="0" w:lineRule="auto"/>
        <w:ind w:left="720" w:hanging="360"/>
        <w:rPr>
          <w:sz w:val="24"/>
          <w:szCs w:val="24"/>
        </w:rPr>
      </w:pPr>
      <w:bookmarkStart w:colFirst="0" w:colLast="0" w:name="_5og02l3tbew7" w:id="9"/>
      <w:bookmarkEnd w:id="9"/>
      <w:r w:rsidDel="00000000" w:rsidR="00000000" w:rsidRPr="00000000">
        <w:rPr>
          <w:b w:val="1"/>
          <w:bCs w:val="1"/>
          <w:color w:val="1f1f1f"/>
          <w:sz w:val="22"/>
          <w:szCs w:val="22"/>
          <w:rtl w:val="0"/>
        </w:rPr>
        <w:t xml:space="preserve">Clinical Safety &amp; Ethics</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62ycqztuddxw" w:id="10"/>
      <w:bookmarkEnd w:id="10"/>
      <w:r w:rsidDel="00000000" w:rsidR="00000000" w:rsidRPr="00000000">
        <w:rPr>
          <w:b w:val="1"/>
          <w:bCs w:val="1"/>
          <w:color w:val="1f1f1f"/>
          <w:sz w:val="26"/>
          <w:szCs w:val="26"/>
          <w:rtl w:val="0"/>
        </w:rPr>
        <w:t xml:space="preserve">8. Appendix</w:t>
      </w:r>
    </w:p>
    <w:p w:rsidR="00000000" w:rsidDel="00000000" w:rsidP="00000000" w:rsidRDefault="00000000" w:rsidRPr="00000000" w14:paraId="00000037">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Data Selection Process</w:t>
      </w:r>
    </w:p>
    <w:p w:rsidR="00000000" w:rsidDel="00000000" w:rsidP="00000000" w:rsidRDefault="00000000" w:rsidRPr="00000000" w14:paraId="00000038">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Feature selection</w:t>
      </w:r>
    </w:p>
    <w:p w:rsidR="00000000" w:rsidDel="00000000" w:rsidP="00000000" w:rsidRDefault="00000000" w:rsidRPr="00000000" w14:paraId="00000039">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rPr>
      </w:pPr>
      <w:r w:rsidDel="00000000" w:rsidR="00000000" w:rsidRPr="00000000">
        <w:rPr>
          <w:b w:val="1"/>
          <w:bCs w:val="1"/>
          <w:color w:val="1f1f1f"/>
          <w:rtl w:val="0"/>
        </w:rPr>
        <w:t xml:space="preserve">Model architecture</w:t>
      </w:r>
    </w:p>
    <w:p w:rsidR="00000000" w:rsidDel="00000000" w:rsidP="00000000" w:rsidRDefault="00000000" w:rsidRPr="00000000" w14:paraId="0000003A">
      <w:pPr>
        <w:numPr>
          <w:ilvl w:val="0"/>
          <w:numId w:val="3"/>
        </w:numPr>
        <w:pBdr>
          <w:top w:color="auto" w:space="0" w:sz="0" w:val="none"/>
          <w:bottom w:color="auto" w:space="0" w:sz="0" w:val="none"/>
          <w:right w:color="auto" w:space="0" w:sz="0" w:val="none"/>
          <w:between w:color="auto" w:space="0" w:sz="0" w:val="none"/>
        </w:pBdr>
        <w:spacing w:after="480" w:lineRule="auto"/>
        <w:ind w:left="720" w:hanging="360"/>
        <w:rPr>
          <w:b w:val="1"/>
          <w:bCs w:val="1"/>
        </w:rPr>
      </w:pPr>
      <w:r w:rsidDel="00000000" w:rsidR="00000000" w:rsidRPr="00000000">
        <w:rPr>
          <w:b w:val="1"/>
          <w:bCs w:val="1"/>
          <w:color w:val="1f1f1f"/>
          <w:rtl w:val="0"/>
        </w:rPr>
        <w:t xml:space="preserve">Full performance metrics</w:t>
      </w:r>
    </w:p>
    <w:p w:rsidR="00000000" w:rsidDel="00000000" w:rsidP="00000000" w:rsidRDefault="00000000" w:rsidRPr="00000000" w14:paraId="0000003B">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3C">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3D">
      <w:pPr>
        <w:pStyle w:val="Heading3"/>
        <w:keepNext w:val="0"/>
        <w:keepLines w:val="0"/>
        <w:pBdr>
          <w:top w:color="auto" w:space="0" w:sz="0" w:val="none"/>
          <w:bottom w:color="auto" w:space="0" w:sz="0" w:val="none"/>
          <w:right w:color="auto" w:space="0" w:sz="0" w:val="none"/>
          <w:between w:color="auto" w:space="0" w:sz="0" w:val="none"/>
        </w:pBdr>
        <w:spacing w:before="280" w:lineRule="auto"/>
        <w:rPr>
          <w:b w:val="1"/>
          <w:bCs w:val="1"/>
          <w:color w:val="1f1f1f"/>
          <w:sz w:val="26"/>
          <w:szCs w:val="26"/>
          <w:u w:val="single"/>
        </w:rPr>
      </w:pPr>
      <w:bookmarkStart w:colFirst="0" w:colLast="0" w:name="_1mgd2pc5w2gk" w:id="11"/>
      <w:bookmarkEnd w:id="11"/>
      <w:r w:rsidDel="00000000" w:rsidR="00000000" w:rsidRPr="00000000">
        <w:rPr>
          <w:b w:val="1"/>
          <w:bCs w:val="1"/>
          <w:color w:val="1f1f1f"/>
          <w:sz w:val="26"/>
          <w:szCs w:val="26"/>
          <w:u w:val="single"/>
          <w:rtl w:val="0"/>
        </w:rPr>
        <w:t xml:space="preserve">Core Roles</w:t>
      </w:r>
    </w:p>
    <w:tbl>
      <w:tblPr>
        <w:tblStyle w:val="Table1"/>
        <w:tblW w:w="9025.511811023624" w:type="dxa"/>
        <w:jc w:val="left"/>
        <w:tblLayout w:type="fixed"/>
        <w:tblLook w:val="0600"/>
      </w:tblPr>
      <w:tblGrid>
        <w:gridCol w:w="3637.426756912797"/>
        <w:gridCol w:w="1483.1314260444437"/>
        <w:gridCol w:w="3904.9536280663833"/>
        <w:tblGridChange w:id="0">
          <w:tblGrid>
            <w:gridCol w:w="3637.426756912797"/>
            <w:gridCol w:w="1483.1314260444437"/>
            <w:gridCol w:w="3904.9536280663833"/>
          </w:tblGrid>
        </w:tblGridChange>
      </w:tblGrid>
      <w:tr>
        <w:trPr>
          <w:cantSplit w:val="0"/>
          <w:trHeight w:val="7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3E">
            <w:pPr>
              <w:pBdr>
                <w:top w:color="auto" w:space="0" w:sz="0" w:val="none"/>
                <w:bottom w:color="auto" w:space="0" w:sz="0" w:val="none"/>
                <w:right w:color="auto" w:space="0" w:sz="0" w:val="none"/>
                <w:between w:color="auto" w:space="0" w:sz="0" w:val="none"/>
              </w:pBdr>
              <w:spacing w:after="480" w:lineRule="auto"/>
              <w:jc w:val="left"/>
              <w:rPr>
                <w:b w:val="1"/>
                <w:bCs w:val="1"/>
                <w:color w:val="1f1f1f"/>
                <w:u w:val="single"/>
              </w:rPr>
            </w:pPr>
            <w:r w:rsidDel="00000000" w:rsidR="00000000" w:rsidRPr="00000000">
              <w:rPr>
                <w:b w:val="1"/>
                <w:bCs w:val="1"/>
                <w:color w:val="1f1f1f"/>
                <w:u w:val="single"/>
                <w:rtl w:val="0"/>
              </w:rPr>
              <w:t xml:space="preserve">Role</w:t>
            </w:r>
          </w:p>
        </w:tc>
        <w:tc>
          <w:tcPr>
            <w:tcMar>
              <w:top w:w="100.0" w:type="dxa"/>
              <w:left w:w="100.0" w:type="dxa"/>
              <w:bottom w:w="100.0" w:type="dxa"/>
              <w:right w:w="100.0" w:type="dxa"/>
            </w:tcMar>
            <w:vAlign w:val="top"/>
          </w:tcPr>
          <w:p w:rsidR="00000000" w:rsidDel="00000000" w:rsidP="00000000" w:rsidRDefault="00000000" w:rsidRPr="00000000" w14:paraId="0000003F">
            <w:pPr>
              <w:pBdr>
                <w:top w:color="auto" w:space="0" w:sz="0" w:val="none"/>
                <w:bottom w:color="auto" w:space="0" w:sz="0" w:val="none"/>
                <w:right w:color="auto" w:space="0" w:sz="0" w:val="none"/>
                <w:between w:color="auto" w:space="0" w:sz="0" w:val="none"/>
              </w:pBdr>
              <w:spacing w:after="480" w:lineRule="auto"/>
              <w:jc w:val="center"/>
              <w:rPr>
                <w:b w:val="1"/>
                <w:bCs w:val="1"/>
                <w:color w:val="1f1f1f"/>
                <w:u w:val="single"/>
              </w:rPr>
            </w:pPr>
            <w:r w:rsidDel="00000000" w:rsidR="00000000" w:rsidRPr="00000000">
              <w:rPr>
                <w:b w:val="1"/>
                <w:bCs w:val="1"/>
                <w:color w:val="1f1f1f"/>
                <w:u w:val="single"/>
                <w:rtl w:val="0"/>
              </w:rPr>
              <w:t xml:space="preserve">Team Member</w:t>
            </w:r>
          </w:p>
        </w:tc>
        <w:tc>
          <w:tcPr>
            <w:tcMar>
              <w:top w:w="100.0" w:type="dxa"/>
              <w:left w:w="100.0" w:type="dxa"/>
              <w:bottom w:w="100.0" w:type="dxa"/>
              <w:right w:w="100.0" w:type="dxa"/>
            </w:tcMar>
            <w:vAlign w:val="top"/>
          </w:tcPr>
          <w:p w:rsidR="00000000" w:rsidDel="00000000" w:rsidP="00000000" w:rsidRDefault="00000000" w:rsidRPr="00000000" w14:paraId="00000040">
            <w:pPr>
              <w:pBdr>
                <w:top w:color="auto" w:space="0" w:sz="0" w:val="none"/>
                <w:bottom w:color="auto" w:space="0" w:sz="0" w:val="none"/>
                <w:right w:color="auto" w:space="0" w:sz="0" w:val="none"/>
                <w:between w:color="auto" w:space="0" w:sz="0" w:val="none"/>
              </w:pBdr>
              <w:spacing w:after="480" w:lineRule="auto"/>
              <w:jc w:val="center"/>
              <w:rPr>
                <w:b w:val="1"/>
                <w:bCs w:val="1"/>
                <w:color w:val="1f1f1f"/>
                <w:u w:val="single"/>
              </w:rPr>
            </w:pPr>
            <w:r w:rsidDel="00000000" w:rsidR="00000000" w:rsidRPr="00000000">
              <w:rPr>
                <w:b w:val="1"/>
                <w:bCs w:val="1"/>
                <w:color w:val="1f1f1f"/>
                <w:u w:val="single"/>
                <w:rtl w:val="0"/>
              </w:rPr>
              <w:t xml:space="preserve">Responsibilities</w:t>
            </w:r>
          </w:p>
        </w:tc>
      </w:tr>
      <w:tr>
        <w:trPr>
          <w:cantSplit w:val="0"/>
          <w:trHeight w:val="7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1">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Business Lead</w:t>
            </w:r>
          </w:p>
        </w:tc>
        <w:tc>
          <w:tcPr>
            <w:tcMar>
              <w:top w:w="100.0" w:type="dxa"/>
              <w:left w:w="100.0" w:type="dxa"/>
              <w:bottom w:w="100.0" w:type="dxa"/>
              <w:right w:w="100.0" w:type="dxa"/>
            </w:tcMar>
            <w:vAlign w:val="top"/>
          </w:tcPr>
          <w:p w:rsidR="00000000" w:rsidDel="00000000" w:rsidP="00000000" w:rsidRDefault="00000000" w:rsidRPr="00000000" w14:paraId="00000042">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Mendel</w:t>
            </w:r>
          </w:p>
        </w:tc>
        <w:tc>
          <w:tcPr>
            <w:tcMar>
              <w:top w:w="100.0" w:type="dxa"/>
              <w:left w:w="100.0" w:type="dxa"/>
              <w:bottom w:w="100.0" w:type="dxa"/>
              <w:right w:w="100.0" w:type="dxa"/>
            </w:tcMar>
            <w:vAlign w:val="top"/>
          </w:tcPr>
          <w:p w:rsidR="00000000" w:rsidDel="00000000" w:rsidP="00000000" w:rsidRDefault="00000000" w:rsidRPr="00000000" w14:paraId="00000043">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Business requirements, stakeholder communication, value delivery</w:t>
            </w:r>
          </w:p>
        </w:tc>
      </w:tr>
      <w:tr>
        <w:trPr>
          <w:cantSplit w:val="0"/>
          <w:trHeight w:val="7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4">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Data Lead </w:t>
            </w:r>
          </w:p>
        </w:tc>
        <w:tc>
          <w:tcPr>
            <w:tcMar>
              <w:top w:w="100.0" w:type="dxa"/>
              <w:left w:w="100.0" w:type="dxa"/>
              <w:bottom w:w="100.0" w:type="dxa"/>
              <w:right w:w="100.0" w:type="dxa"/>
            </w:tcMar>
            <w:vAlign w:val="top"/>
          </w:tcPr>
          <w:p w:rsidR="00000000" w:rsidDel="00000000" w:rsidP="00000000" w:rsidRDefault="00000000" w:rsidRPr="00000000" w14:paraId="00000045">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All Team Members</w:t>
            </w:r>
          </w:p>
        </w:tc>
        <w:tc>
          <w:tcPr>
            <w:tcMar>
              <w:top w:w="100.0" w:type="dxa"/>
              <w:left w:w="100.0" w:type="dxa"/>
              <w:bottom w:w="100.0" w:type="dxa"/>
              <w:right w:w="100.0" w:type="dxa"/>
            </w:tcMar>
            <w:vAlign w:val="top"/>
          </w:tcPr>
          <w:p w:rsidR="00000000" w:rsidDel="00000000" w:rsidP="00000000" w:rsidRDefault="00000000" w:rsidRPr="00000000" w14:paraId="00000046">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Data collection, quality assurance, feature engineering</w:t>
            </w:r>
          </w:p>
        </w:tc>
      </w:tr>
      <w:tr>
        <w:trPr>
          <w:cantSplit w:val="0"/>
          <w:trHeight w:val="7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7">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Model &amp; Evaluation Lead </w:t>
            </w:r>
          </w:p>
        </w:tc>
        <w:tc>
          <w:tcPr>
            <w:tcMar>
              <w:top w:w="100.0" w:type="dxa"/>
              <w:left w:w="100.0" w:type="dxa"/>
              <w:bottom w:w="100.0" w:type="dxa"/>
              <w:right w:w="100.0" w:type="dxa"/>
            </w:tcMar>
            <w:vAlign w:val="top"/>
          </w:tcPr>
          <w:p w:rsidR="00000000" w:rsidDel="00000000" w:rsidP="00000000" w:rsidRDefault="00000000" w:rsidRPr="00000000" w14:paraId="00000048">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All Team Members</w:t>
            </w:r>
          </w:p>
        </w:tc>
        <w:tc>
          <w:tcPr>
            <w:tcMar>
              <w:top w:w="100.0" w:type="dxa"/>
              <w:left w:w="100.0" w:type="dxa"/>
              <w:bottom w:w="100.0" w:type="dxa"/>
              <w:right w:w="100.0" w:type="dxa"/>
            </w:tcMar>
            <w:vAlign w:val="top"/>
          </w:tcPr>
          <w:p w:rsidR="00000000" w:rsidDel="00000000" w:rsidP="00000000" w:rsidRDefault="00000000" w:rsidRPr="00000000" w14:paraId="00000049">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Model development, hyperparameter tuning, performance evaluation</w:t>
            </w:r>
          </w:p>
        </w:tc>
      </w:tr>
      <w:tr>
        <w:trPr>
          <w:cantSplit w:val="0"/>
          <w:trHeight w:val="7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A">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Explainability Lead</w:t>
            </w:r>
          </w:p>
        </w:tc>
        <w:tc>
          <w:tcPr>
            <w:tcMar>
              <w:top w:w="100.0" w:type="dxa"/>
              <w:left w:w="100.0" w:type="dxa"/>
              <w:bottom w:w="100.0" w:type="dxa"/>
              <w:right w:w="100.0" w:type="dxa"/>
            </w:tcMar>
            <w:vAlign w:val="top"/>
          </w:tcPr>
          <w:p w:rsidR="00000000" w:rsidDel="00000000" w:rsidP="00000000" w:rsidRDefault="00000000" w:rsidRPr="00000000" w14:paraId="0000004B">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All Team Members</w:t>
            </w:r>
          </w:p>
        </w:tc>
        <w:tc>
          <w:tcPr>
            <w:tcMar>
              <w:top w:w="100.0" w:type="dxa"/>
              <w:left w:w="100.0" w:type="dxa"/>
              <w:bottom w:w="100.0" w:type="dxa"/>
              <w:right w:w="100.0" w:type="dxa"/>
            </w:tcMar>
            <w:vAlign w:val="top"/>
          </w:tcPr>
          <w:p w:rsidR="00000000" w:rsidDel="00000000" w:rsidP="00000000" w:rsidRDefault="00000000" w:rsidRPr="00000000" w14:paraId="0000004C">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Model interpretation, analysis, documentation</w:t>
            </w:r>
          </w:p>
        </w:tc>
      </w:tr>
    </w:tbl>
    <w:p w:rsidR="00000000" w:rsidDel="00000000" w:rsidP="00000000" w:rsidRDefault="00000000" w:rsidRPr="00000000" w14:paraId="0000004D">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4E">
      <w:pPr>
        <w:widowControl w:val="0"/>
        <w:spacing w:line="240" w:lineRule="auto"/>
        <w:rPr>
          <w:color w:val="595959"/>
        </w:rPr>
      </w:pPr>
      <w:r w:rsidDel="00000000" w:rsidR="00000000" w:rsidRPr="00000000">
        <w:rPr>
          <w:b w:val="1"/>
          <w:bCs w:val="1"/>
          <w:color w:val="595959"/>
          <w:rtl w:val="0"/>
        </w:rPr>
        <w:t xml:space="preserve">HS Oversight Framework 2025/26: </w:t>
      </w:r>
      <w:hyperlink r:id="rId7">
        <w:r w:rsidDel="00000000" w:rsidR="00000000" w:rsidRPr="00000000">
          <w:rPr>
            <w:color w:val="0097a7"/>
            <w:u w:val="single"/>
            <w:rtl w:val="0"/>
          </w:rPr>
          <w:t xml:space="preserve">https://www.england.nhs.uk/long-read/nhs-oversight-framework-2025-26/</w:t>
        </w:r>
      </w:hyperlink>
      <w:r w:rsidDel="00000000" w:rsidR="00000000" w:rsidRPr="00000000">
        <w:rPr>
          <w:rtl w:val="0"/>
        </w:rPr>
      </w:r>
    </w:p>
    <w:p w:rsidR="00000000" w:rsidDel="00000000" w:rsidP="00000000" w:rsidRDefault="00000000" w:rsidRPr="00000000" w14:paraId="0000004F">
      <w:pPr>
        <w:widowControl w:val="0"/>
        <w:spacing w:line="240" w:lineRule="auto"/>
        <w:rPr>
          <w:color w:val="595959"/>
        </w:rPr>
      </w:pPr>
      <w:r w:rsidDel="00000000" w:rsidR="00000000" w:rsidRPr="00000000">
        <w:rPr>
          <w:rtl w:val="0"/>
        </w:rPr>
      </w:r>
    </w:p>
    <w:p w:rsidR="00000000" w:rsidDel="00000000" w:rsidP="00000000" w:rsidRDefault="00000000" w:rsidRPr="00000000" w14:paraId="00000050">
      <w:pPr>
        <w:widowControl w:val="0"/>
        <w:spacing w:line="240" w:lineRule="auto"/>
        <w:rPr>
          <w:b w:val="1"/>
          <w:bCs w:val="1"/>
          <w:color w:val="595959"/>
        </w:rPr>
      </w:pPr>
      <w:r w:rsidDel="00000000" w:rsidR="00000000" w:rsidRPr="00000000">
        <w:rPr>
          <w:b w:val="1"/>
          <w:bCs w:val="1"/>
          <w:color w:val="595959"/>
          <w:rtl w:val="0"/>
        </w:rPr>
        <w:t xml:space="preserve">Operational Planning Guidance: </w:t>
      </w:r>
    </w:p>
    <w:p w:rsidR="00000000" w:rsidDel="00000000" w:rsidP="00000000" w:rsidRDefault="00000000" w:rsidRPr="00000000" w14:paraId="00000051">
      <w:pPr>
        <w:widowControl w:val="0"/>
        <w:spacing w:line="240" w:lineRule="auto"/>
        <w:rPr>
          <w:color w:val="595959"/>
        </w:rPr>
      </w:pPr>
      <w:hyperlink r:id="rId8">
        <w:r w:rsidDel="00000000" w:rsidR="00000000" w:rsidRPr="00000000">
          <w:rPr>
            <w:color w:val="0097a7"/>
            <w:u w:val="single"/>
            <w:rtl w:val="0"/>
          </w:rPr>
          <w:t xml:space="preserve">https://www.england.nhs.uk/long-read/2025-26-priorities-and-operational-planning-guidance/</w:t>
        </w:r>
      </w:hyperlink>
      <w:r w:rsidDel="00000000" w:rsidR="00000000" w:rsidRPr="00000000">
        <w:rPr>
          <w:rtl w:val="0"/>
        </w:rPr>
      </w:r>
    </w:p>
    <w:p w:rsidR="00000000" w:rsidDel="00000000" w:rsidP="00000000" w:rsidRDefault="00000000" w:rsidRPr="00000000" w14:paraId="00000052">
      <w:pPr>
        <w:widowControl w:val="0"/>
        <w:spacing w:line="240" w:lineRule="auto"/>
        <w:rPr>
          <w:color w:val="595959"/>
        </w:rPr>
      </w:pPr>
      <w:r w:rsidDel="00000000" w:rsidR="00000000" w:rsidRPr="00000000">
        <w:rPr>
          <w:rtl w:val="0"/>
        </w:rPr>
      </w:r>
    </w:p>
    <w:p w:rsidR="00000000" w:rsidDel="00000000" w:rsidP="00000000" w:rsidRDefault="00000000" w:rsidRPr="00000000" w14:paraId="00000053">
      <w:pPr>
        <w:widowControl w:val="0"/>
        <w:spacing w:line="240" w:lineRule="auto"/>
        <w:rPr>
          <w:color w:val="595959"/>
        </w:rPr>
      </w:pPr>
      <w:r w:rsidDel="00000000" w:rsidR="00000000" w:rsidRPr="00000000">
        <w:rPr>
          <w:b w:val="1"/>
          <w:bCs w:val="1"/>
          <w:color w:val="595959"/>
          <w:rtl w:val="0"/>
        </w:rPr>
        <w:t xml:space="preserve">Reforming Elective Care: </w:t>
      </w:r>
      <w:r w:rsidDel="00000000" w:rsidR="00000000" w:rsidRPr="00000000">
        <w:rPr>
          <w:rtl w:val="0"/>
        </w:rPr>
      </w:r>
    </w:p>
    <w:p w:rsidR="00000000" w:rsidDel="00000000" w:rsidP="00000000" w:rsidRDefault="00000000" w:rsidRPr="00000000" w14:paraId="00000054">
      <w:pPr>
        <w:widowControl w:val="0"/>
        <w:spacing w:line="240" w:lineRule="auto"/>
        <w:rPr>
          <w:color w:val="595959"/>
        </w:rPr>
      </w:pPr>
      <w:hyperlink r:id="rId9">
        <w:r w:rsidDel="00000000" w:rsidR="00000000" w:rsidRPr="00000000">
          <w:rPr>
            <w:color w:val="0097a7"/>
            <w:u w:val="single"/>
            <w:rtl w:val="0"/>
          </w:rPr>
          <w:t xml:space="preserve">https://www.england.nhs.uk/long-read/reforming-elective-care-for-patients/</w:t>
        </w:r>
      </w:hyperlink>
      <w:r w:rsidDel="00000000" w:rsidR="00000000" w:rsidRPr="00000000">
        <w:rPr>
          <w:rtl w:val="0"/>
        </w:rPr>
      </w:r>
    </w:p>
    <w:p w:rsidR="00000000" w:rsidDel="00000000" w:rsidP="00000000" w:rsidRDefault="00000000" w:rsidRPr="00000000" w14:paraId="00000055">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ngland.nhs.uk/long-read/reforming-elective-care-for-patients/"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england.nhs.uk/long-read/nhs-oversight-framework-2025-26/" TargetMode="External"/><Relationship Id="rId8" Type="http://schemas.openxmlformats.org/officeDocument/2006/relationships/hyperlink" Target="https://www.england.nhs.uk/long-read/2025-26-priorities-and-operational-planning-guid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