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Technical Requirements Document</w:t>
      </w:r>
    </w:p>
    <w:p>
      <w:pPr>
        <w:jc w:val="center"/>
      </w:pPr>
      <w:r>
        <w:rPr>
          <w:i/>
          <w:sz w:val="22"/>
        </w:rPr>
        <w:t>Architecture, algorithms, interfaces and operational requirements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Final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</w:t>
            </w:r>
          </w:p>
        </w:tc>
        <w:tc>
          <w:tcPr>
            <w:tcW w:type="dxa" w:w="3360"/>
            <w:vAlign w:val="top"/>
          </w:tcPr>
          <w:p>
            <w:r>
              <w:t>Next.js + React</w:t>
            </w:r>
          </w:p>
        </w:tc>
        <w:tc>
          <w:tcPr>
            <w:tcW w:type="dxa" w:w="3360"/>
            <w:vAlign w:val="top"/>
          </w:tcPr>
          <w:p>
            <w:r>
              <w:t>Public report UI, status UI, authority dashboard</w:t>
            </w:r>
          </w:p>
        </w:tc>
      </w:tr>
      <w:tr>
        <w:tc>
          <w:tcPr>
            <w:tcW w:type="dxa" w:w="3360"/>
            <w:vAlign w:val="top"/>
          </w:tcPr>
          <w:p>
            <w:r>
              <w:t>API</w:t>
            </w:r>
          </w:p>
        </w:tc>
        <w:tc>
          <w:tcPr>
            <w:tcW w:type="dxa" w:w="3360"/>
            <w:vAlign w:val="top"/>
          </w:tcPr>
          <w:p>
            <w:r>
              <w:t>Next.js API Routes</w:t>
            </w:r>
          </w:p>
        </w:tc>
        <w:tc>
          <w:tcPr>
            <w:tcW w:type="dxa" w:w="3360"/>
            <w:vAlign w:val="top"/>
          </w:tcPr>
          <w:p>
            <w:r>
              <w:t>Validation, orchestration, analysis endpoints</w:t>
            </w:r>
          </w:p>
        </w:tc>
      </w:tr>
      <w:tr>
        <w:tc>
          <w:tcPr>
            <w:tcW w:type="dxa" w:w="3360"/>
            <w:vAlign w:val="top"/>
          </w:tcPr>
          <w:p>
            <w:r>
              <w:t>Database</w:t>
            </w:r>
          </w:p>
        </w:tc>
        <w:tc>
          <w:tcPr>
            <w:tcW w:type="dxa" w:w="3360"/>
            <w:vAlign w:val="top"/>
          </w:tcPr>
          <w:p>
            <w:r>
              <w:t>Supabase PostgreSQL + RLS</w:t>
            </w:r>
          </w:p>
        </w:tc>
        <w:tc>
          <w:tcPr>
            <w:tcW w:type="dxa" w:w="3360"/>
            <w:vAlign w:val="top"/>
          </w:tcPr>
          <w:p>
            <w:r>
              <w:t>Reports, patterns, scores, alerts, review state</w:t>
            </w:r>
          </w:p>
        </w:tc>
      </w:tr>
      <w:tr>
        <w:tc>
          <w:tcPr>
            <w:tcW w:type="dxa" w:w="3360"/>
            <w:vAlign w:val="top"/>
          </w:tcPr>
          <w:p>
            <w:r>
              <w:t>Auth</w:t>
            </w:r>
          </w:p>
        </w:tc>
        <w:tc>
          <w:tcPr>
            <w:tcW w:type="dxa" w:w="3360"/>
            <w:vAlign w:val="top"/>
          </w:tcPr>
          <w:p>
            <w:r>
              <w:t>Supabase Auth</w:t>
            </w:r>
          </w:p>
        </w:tc>
        <w:tc>
          <w:tcPr>
            <w:tcW w:type="dxa" w:w="3360"/>
            <w:vAlign w:val="top"/>
          </w:tcPr>
          <w:p>
            <w:r>
              <w:t>Authority dashboard authentication only</w:t>
            </w:r>
          </w:p>
        </w:tc>
      </w:tr>
      <w:tr>
        <w:tc>
          <w:tcPr>
            <w:tcW w:type="dxa" w:w="3360"/>
            <w:vAlign w:val="top"/>
          </w:tcPr>
          <w:p>
            <w:r>
              <w:t>NLP</w:t>
            </w:r>
          </w:p>
        </w:tc>
        <w:tc>
          <w:tcPr>
            <w:tcW w:type="dxa" w:w="3360"/>
            <w:vAlign w:val="top"/>
          </w:tcPr>
          <w:p>
            <w:r>
              <w:t>Hugging Face model</w:t>
            </w:r>
          </w:p>
        </w:tc>
        <w:tc>
          <w:tcPr>
            <w:tcW w:type="dxa" w:w="3360"/>
            <w:vAlign w:val="top"/>
          </w:tcPr>
          <w:p>
            <w:r>
              <w:t>Text embeddings / semantic similarity</w:t>
            </w:r>
          </w:p>
        </w:tc>
      </w:tr>
      <w:tr>
        <w:tc>
          <w:tcPr>
            <w:tcW w:type="dxa" w:w="3360"/>
            <w:vAlign w:val="top"/>
          </w:tcPr>
          <w:p>
            <w:r>
              <w:t>Matching</w:t>
            </w:r>
          </w:p>
        </w:tc>
        <w:tc>
          <w:tcPr>
            <w:tcW w:type="dxa" w:w="3360"/>
            <w:vAlign w:val="top"/>
          </w:tcPr>
          <w:p>
            <w:r>
              <w:t>Rule-based statistical matching</w:t>
            </w:r>
          </w:p>
        </w:tc>
        <w:tc>
          <w:tcPr>
            <w:tcW w:type="dxa" w:w="3360"/>
            <w:vAlign w:val="top"/>
          </w:tcPr>
          <w:p>
            <w:r>
              <w:t>Location/time/category/behaviour connection</w:t>
            </w:r>
          </w:p>
        </w:tc>
      </w:tr>
      <w:tr>
        <w:tc>
          <w:tcPr>
            <w:tcW w:type="dxa" w:w="3360"/>
            <w:vAlign w:val="top"/>
          </w:tcPr>
          <w:p>
            <w:r>
              <w:t>Maps</w:t>
            </w:r>
          </w:p>
        </w:tc>
        <w:tc>
          <w:tcPr>
            <w:tcW w:type="dxa" w:w="3360"/>
            <w:vAlign w:val="top"/>
          </w:tcPr>
          <w:p>
            <w:r>
              <w:t>Leaflet.js + OpenStreetMap</w:t>
            </w:r>
          </w:p>
        </w:tc>
        <w:tc>
          <w:tcPr>
            <w:tcW w:type="dxa" w:w="3360"/>
            <w:vAlign w:val="top"/>
          </w:tcPr>
          <w:p>
            <w:r>
              <w:t>Anonymized map visualization</w:t>
            </w:r>
          </w:p>
        </w:tc>
      </w:tr>
      <w:tr>
        <w:tc>
          <w:tcPr>
            <w:tcW w:type="dxa" w:w="3360"/>
            <w:vAlign w:val="top"/>
          </w:tcPr>
          <w:p>
            <w:r>
              <w:t>Hosting</w:t>
            </w:r>
          </w:p>
        </w:tc>
        <w:tc>
          <w:tcPr>
            <w:tcW w:type="dxa" w:w="3360"/>
            <w:vAlign w:val="top"/>
          </w:tcPr>
          <w:p>
            <w:r>
              <w:t>Vercel + Supabase</w:t>
            </w:r>
          </w:p>
        </w:tc>
        <w:tc>
          <w:tcPr>
            <w:tcW w:type="dxa" w:w="3360"/>
            <w:vAlign w:val="top"/>
          </w:tcPr>
          <w:p>
            <w:r>
              <w:t>Application/database hosting</w:t>
            </w:r>
          </w:p>
        </w:tc>
      </w:tr>
      <w:tr>
        <w:tc>
          <w:tcPr>
            <w:tcW w:type="dxa" w:w="3360"/>
            <w:vAlign w:val="top"/>
          </w:tcPr>
          <w:p>
            <w:r>
              <w:t>Alerts</w:t>
            </w:r>
          </w:p>
        </w:tc>
        <w:tc>
          <w:tcPr>
            <w:tcW w:type="dxa" w:w="3360"/>
            <w:vAlign w:val="top"/>
          </w:tcPr>
          <w:p>
            <w:r>
              <w:t>In-app authority dashboard</w:t>
            </w:r>
          </w:p>
        </w:tc>
        <w:tc>
          <w:tcPr>
            <w:tcW w:type="dxa" w:w="3360"/>
            <w:vAlign w:val="top"/>
          </w:tcPr>
          <w:p>
            <w:r>
              <w:t>Pattern alerts and review queue</w:t>
            </w:r>
          </w:p>
        </w:tc>
      </w:tr>
    </w:tbl>
    <w:p>
      <w:pPr>
        <w:pStyle w:val="Heading1"/>
      </w:pPr>
      <w:r>
        <w:t>2. Request/Processing Pipeline</w:t>
      </w:r>
    </w:p>
    <w:p>
      <w:pPr>
        <w:pStyle w:val="ListNumber"/>
      </w:pPr>
      <w:r>
        <w:t>POST anonymous report to API.</w:t>
      </w:r>
    </w:p>
    <w:p>
      <w:pPr>
        <w:pStyle w:val="ListNumber"/>
      </w:pPr>
      <w:r>
        <w:t>Validate allowed fields and size limits.</w:t>
      </w:r>
    </w:p>
    <w:p>
      <w:pPr>
        <w:pStyle w:val="ListNumber"/>
      </w:pPr>
      <w:r>
        <w:t>Store report with non-identifying Report ID.</w:t>
      </w:r>
    </w:p>
    <w:p>
      <w:pPr>
        <w:pStyle w:val="ListNumber"/>
      </w:pPr>
      <w:r>
        <w:t>Generate text embedding if description is present.</w:t>
      </w:r>
    </w:p>
    <w:p>
      <w:pPr>
        <w:pStyle w:val="ListNumber"/>
      </w:pPr>
      <w:r>
        <w:t>Retrieve candidate reports using time and spatial filters.</w:t>
      </w:r>
    </w:p>
    <w:p>
      <w:pPr>
        <w:pStyle w:val="ListNumber"/>
      </w:pPr>
      <w:r>
        <w:t>Calculate text/category similarity and combine signals using rule-based matching.</w:t>
      </w:r>
    </w:p>
    <w:p>
      <w:pPr>
        <w:pStyle w:val="ListNumber"/>
      </w:pPr>
      <w:r>
        <w:t>Assign/update a possible pattern cluster.</w:t>
      </w:r>
    </w:p>
    <w:p>
      <w:pPr>
        <w:pStyle w:val="ListNumber"/>
      </w:pPr>
      <w:r>
        <w:t>Recalculate corroboration and manipulation-risk indicators.</w:t>
      </w:r>
    </w:p>
    <w:p>
      <w:pPr>
        <w:pStyle w:val="ListNumber"/>
      </w:pPr>
      <w:r>
        <w:t>Compare pattern activity against location baseline.</w:t>
      </w:r>
    </w:p>
    <w:p>
      <w:pPr>
        <w:pStyle w:val="ListNumber"/>
      </w:pPr>
      <w:r>
        <w:t>Create/update alert if rising-pattern conditions are met.</w:t>
      </w:r>
    </w:p>
    <w:p>
      <w:pPr>
        <w:pStyle w:val="ListNumber"/>
      </w:pPr>
      <w:r>
        <w:t>Expose only the minimum necessary data to each UI role.</w:t>
      </w:r>
    </w:p>
    <w:p>
      <w:pPr>
        <w:pStyle w:val="Heading1"/>
      </w:pPr>
      <w:r>
        <w:t>3. Matching Algorithm</w:t>
      </w:r>
    </w:p>
    <w:p>
      <w:r>
        <w:t>Candidate filtering should happen before semantic comparison to keep the MVP efficient.</w:t>
      </w:r>
    </w:p>
    <w:p>
      <w:r>
        <w:t>Pseudocode:</w:t>
      </w:r>
    </w:p>
    <w:p>
      <w:r>
        <w:t>function processReport(report):</w:t>
        <w:br/>
        <w:t xml:space="preserve">    candidates = findReports(</w:t>
        <w:br/>
        <w:t xml:space="preserve">        sameOrNearbyArea(report.location),</w:t>
        <w:br/>
        <w:t xml:space="preserve">        withinTimeWindow(report.timestamp),</w:t>
        <w:br/>
        <w:t xml:space="preserve">        compatibleCategories(report.category)</w:t>
        <w:br/>
        <w:t xml:space="preserve">    )</w:t>
        <w:br/>
        <w:br/>
        <w:t xml:space="preserve">    for candidate in candidates:</w:t>
        <w:br/>
        <w:t xml:space="preserve">        locationScore = locationSimilarity(report, candidate)</w:t>
        <w:br/>
        <w:t xml:space="preserve">        timeScore = timeSimilarity(report, candidate)</w:t>
        <w:br/>
        <w:t xml:space="preserve">        meaningScore = semanticSimilarity(report.embedding, candidate.embedding)</w:t>
        <w:br/>
        <w:t xml:space="preserve">        categoryScore = categoryCompatibility(report.category, candidate.category)</w:t>
        <w:br/>
        <w:br/>
        <w:t xml:space="preserve">        connectionScore =</w:t>
        <w:br/>
        <w:t xml:space="preserve">            0.35 * locationScore +</w:t>
        <w:br/>
        <w:t xml:space="preserve">            0.20 * timeScore +</w:t>
        <w:br/>
        <w:t xml:space="preserve">            0.20 * meaningScore +</w:t>
        <w:br/>
        <w:t xml:space="preserve">            0.15 * categoryScore +</w:t>
        <w:br/>
        <w:t xml:space="preserve">            0.10 * recencyScore(report, candidate)</w:t>
        <w:br/>
        <w:br/>
        <w:t xml:space="preserve">        if connectionScore &gt;= CONNECTION_THRESHOLD:</w:t>
        <w:br/>
        <w:t xml:space="preserve">            attachToPossiblePattern(report, candidate)</w:t>
        <w:br/>
        <w:br/>
        <w:t xml:space="preserve">    pattern = updatePattern(report)</w:t>
        <w:br/>
        <w:t xml:space="preserve">    corroboration = calculateCorroboration(pattern)</w:t>
        <w:br/>
        <w:t xml:space="preserve">    manipulation = calculateManipulationRisk(pattern)</w:t>
        <w:br/>
        <w:t xml:space="preserve">    trend = calculateTrend(pattern.location, pattern.category)</w:t>
        <w:br/>
        <w:br/>
        <w:t xml:space="preserve">    if trend.isRising and corroboration &gt;= CORROBORATION_THRESHOLD:</w:t>
        <w:br/>
        <w:t xml:space="preserve">        createOrUpdateAlert(pattern, corroboration, manipulation, trend)</w:t>
        <w:br/>
        <w:br/>
        <w:t xml:space="preserve">    return pattern</w:t>
      </w:r>
    </w:p>
    <w:p>
      <w:r>
        <w:t>Note: the exact weights/thresholds are prototype starting points and must be tested with synthetic data. They are not scientifically validated risk probabilities.</w:t>
      </w:r>
    </w:p>
    <w:p>
      <w:pPr>
        <w:pStyle w:val="Heading1"/>
      </w:pPr>
      <w:r>
        <w:t>4. Corroboration Score</w:t>
      </w:r>
    </w:p>
    <w:p>
      <w:r>
        <w:t>Prototype starting formula:</w:t>
      </w:r>
    </w:p>
    <w:p>
      <w:r>
        <w:t>30% location consistency + 25% time consistency + 20% meaning similarity + 15% reporter independence + 10% optional evidence</w:t>
      </w:r>
    </w:p>
    <w:p>
      <w:r>
        <w:t>This is a pattern-support indicator, not a truth score or guilt score.</w:t>
      </w:r>
    </w:p>
    <w:p>
      <w:pPr>
        <w:pStyle w:val="Heading1"/>
      </w:pPr>
      <w:r>
        <w:t>5. Manipulation / Coordinated-Reporting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Prototype treatment</w:t>
            </w:r>
          </w:p>
        </w:tc>
      </w:tr>
      <w:tr>
        <w:tc>
          <w:tcPr>
            <w:tcW w:type="dxa" w:w="5040"/>
            <w:vAlign w:val="top"/>
          </w:tcPr>
          <w:p>
            <w:r>
              <w:t>Duplicate/similar text</w:t>
            </w:r>
          </w:p>
        </w:tc>
        <w:tc>
          <w:tcPr>
            <w:tcW w:type="dxa" w:w="5040"/>
            <w:vAlign w:val="top"/>
          </w:tcPr>
          <w:p>
            <w:r>
              <w:t>Reduce independence signal; flag if extreme.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Reporting burst</w:t>
            </w:r>
          </w:p>
        </w:tc>
        <w:tc>
          <w:tcPr>
            <w:tcW w:type="dxa" w:w="5040"/>
            <w:vAlign w:val="top"/>
          </w:tcPr>
          <w:p>
            <w:r>
              <w:t>Flag unusual volume over a short period.</w:t>
            </w:r>
          </w:p>
        </w:tc>
      </w:tr>
      <w:tr>
        <w:tc>
          <w:tcPr>
            <w:tcW w:type="dxa" w:w="5040"/>
            <w:vAlign w:val="top"/>
          </w:tcPr>
          <w:p>
            <w:r>
              <w:t>Repeated targeting</w:t>
            </w:r>
          </w:p>
        </w:tc>
        <w:tc>
          <w:tcPr>
            <w:tcW w:type="dxa" w:w="5040"/>
            <w:vAlign w:val="top"/>
          </w:tcPr>
          <w:p>
            <w:r>
              <w:t>Increase review signal when unusual repeated focus occurs.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Reporter independence</w:t>
            </w:r>
          </w:p>
        </w:tc>
        <w:tc>
          <w:tcPr>
            <w:tcW w:type="dxa" w:w="5040"/>
            <w:vAlign w:val="top"/>
          </w:tcPr>
          <w:p>
            <w:r>
              <w:t>Different independent reporters strengthen corroboration; repeated submissions do not.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Contradictory details</w:t>
            </w:r>
          </w:p>
        </w:tc>
        <w:tc>
          <w:tcPr>
            <w:tcW w:type="dxa" w:w="5040"/>
            <w:vAlign w:val="top"/>
          </w:tcPr>
          <w:p>
            <w:r>
              <w:t>Reduce confidence and/or add review flag.</w:t>
            </w:r>
          </w:p>
        </w:tc>
      </w:tr>
    </w:tbl>
    <w:p>
      <w:r>
        <w:t>Genuine witnesses can report close together. Same-time reports are not automatically suspicious.</w:t>
      </w:r>
    </w:p>
    <w:p>
      <w:pPr>
        <w:pStyle w:val="Heading1"/>
      </w:pPr>
      <w:r>
        <w:t>6. Trend Detection</w:t>
      </w:r>
    </w:p>
    <w:p>
      <w:r>
        <w:t>For the MVP, maintain a simple location/category baseline from prior synthetic reports and compare the current rolling period with that baseline. Trend output is Increasing / Stable / Decreasing, with a WATCH / RISING / HIGH display state. Do not call this crime prediction.</w:t>
      </w:r>
    </w:p>
    <w:p>
      <w:pPr>
        <w:pStyle w:val="Heading1"/>
      </w:pPr>
      <w:r>
        <w:t>7. Technical Constraints</w:t>
      </w:r>
    </w:p>
    <w:p>
      <w:pPr>
        <w:pStyle w:val="ListBullet"/>
      </w:pPr>
      <w:r>
        <w:t>All authority routes require Supabase Auth.</w:t>
      </w:r>
    </w:p>
    <w:p>
      <w:pPr>
        <w:pStyle w:val="ListBullet"/>
      </w:pPr>
      <w:r>
        <w:t>Anonymous reporting endpoints must not require authority authentication.</w:t>
      </w:r>
    </w:p>
    <w:p>
      <w:pPr>
        <w:pStyle w:val="ListBullet"/>
      </w:pPr>
      <w:r>
        <w:t>RLS must prevent anonymous users from reading all reports.</w:t>
      </w:r>
    </w:p>
    <w:p>
      <w:pPr>
        <w:pStyle w:val="ListBullet"/>
      </w:pPr>
      <w:r>
        <w:t>Report IDs must not encode identity.</w:t>
      </w:r>
    </w:p>
    <w:p>
      <w:pPr>
        <w:pStyle w:val="ListBullet"/>
      </w:pPr>
      <w:r>
        <w:t>Evidence storage should be private; public URLs must not expose uploads.</w:t>
      </w:r>
    </w:p>
    <w:p>
      <w:pPr>
        <w:pStyle w:val="ListBullet"/>
      </w:pPr>
      <w:r>
        <w:t>API validation must enforce payload limits and allowed categories.</w:t>
      </w:r>
    </w:p>
    <w:p>
      <w:pPr>
        <w:pStyle w:val="ListBullet"/>
      </w:pPr>
      <w:r>
        <w:t>Synthetic demo data must be clearly marked as synthetic.</w:t>
      </w:r>
    </w:p>
    <w:p>
      <w:pPr>
        <w:pStyle w:val="Heading1"/>
      </w:pPr>
      <w:r>
        <w:t>8. Reliability / Performance Targets for MVP</w:t>
      </w:r>
    </w:p>
    <w:p>
      <w:pPr>
        <w:pStyle w:val="ListBullet"/>
      </w:pPr>
      <w:r>
        <w:t>Report submission response target: under 2 seconds excluding external model cold starts.</w:t>
      </w:r>
    </w:p>
    <w:p>
      <w:pPr>
        <w:pStyle w:val="ListBullet"/>
      </w:pPr>
      <w:r>
        <w:t>Dashboard initial data target: under 3 seconds for demo dataset.</w:t>
      </w:r>
    </w:p>
    <w:p>
      <w:pPr>
        <w:pStyle w:val="ListBullet"/>
      </w:pPr>
      <w:r>
        <w:t>Analysis should degrade gracefully if NLP service is unavailable: location/time/category rules still work.</w:t>
      </w:r>
    </w:p>
    <w:p>
      <w:pPr>
        <w:pStyle w:val="ListBullet"/>
      </w:pPr>
      <w:r>
        <w:t>No single analysis failure should prevent report storage.</w:t>
      </w:r>
    </w:p>
    <w:p>
      <w:pPr>
        <w:pStyle w:val="ListBullet"/>
      </w:pPr>
      <w:r>
        <w:t>Errors should be logged without storing unnecessary personal data.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