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DAA"/>
          <w:sz w:val="48"/>
        </w:rPr>
        <w:t>SafeSignal — Implementation Plan</w:t>
      </w:r>
    </w:p>
    <w:p>
      <w:pPr>
        <w:jc w:val="center"/>
      </w:pPr>
      <w:r>
        <w:rPr>
          <w:i/>
          <w:sz w:val="22"/>
        </w:rPr>
        <w:t>Hackathon execution plan, milestones, testing and deployment</w:t>
      </w:r>
    </w:p>
    <w:p>
      <w:pPr>
        <w:jc w:val="center"/>
      </w:pPr>
      <w:r>
        <w:rPr>
          <w:color w:val="646464"/>
          <w:sz w:val="16"/>
        </w:rPr>
        <w:t>Source of truth: SafeSignal final hackathon PPT and the uploaded SafeSignal PRD / Hybrid Prototype Structure. Where earlier working documents differed, this documentation follows the final architecture explicitly requested: Next.js/React, Next.js API Routes, Supabase PostgreSQL + RLS, Supabase Auth for authority dashboard, Hugging Face NLP, rule-based statistical matching, Leaflet.js + OpenStreetMap, Vercel + Supabase.</w:t>
      </w:r>
    </w:p>
    <w:p/>
    <w:p>
      <w:pPr>
        <w:pStyle w:val="Heading1"/>
      </w:pPr>
      <w:r>
        <w:t>1. Delivery Strategy</w:t>
      </w:r>
    </w:p>
    <w:p>
      <w:r>
        <w:t>Hackathon MVP → Validate → Improve → Scale</w:t>
      </w:r>
    </w:p>
    <w:p>
      <w:r>
        <w:t>Build the smallest complete loop first. Do not spend the majority of time on advanced AI.</w:t>
      </w:r>
    </w:p>
    <w:p>
      <w:pPr>
        <w:pStyle w:val="Heading1"/>
      </w:pPr>
      <w:r>
        <w:t>2.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Deliverables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Definition of done</w:t>
            </w:r>
          </w:p>
        </w:tc>
      </w:tr>
      <w:tr>
        <w:tc>
          <w:tcPr>
            <w:tcW w:type="dxa" w:w="3360"/>
            <w:vAlign w:val="top"/>
          </w:tcPr>
          <w:p>
            <w:r>
              <w:t>M1 — Foundation</w:t>
            </w:r>
          </w:p>
        </w:tc>
        <w:tc>
          <w:tcPr>
            <w:tcW w:type="dxa" w:w="3360"/>
            <w:vAlign w:val="top"/>
          </w:tcPr>
          <w:p>
            <w:r>
              <w:t>Next.js app, Supabase project, RLS, report table, anonymous report form</w:t>
            </w:r>
          </w:p>
        </w:tc>
        <w:tc>
          <w:tcPr>
            <w:tcW w:type="dxa" w:w="3360"/>
            <w:vAlign w:val="top"/>
          </w:tcPr>
          <w:p>
            <w:r>
              <w:t>Report can be submitted and stored with Report ID.</w:t>
            </w:r>
          </w:p>
        </w:tc>
      </w:tr>
      <w:tr>
        <w:tc>
          <w:tcPr>
            <w:tcW w:type="dxa" w:w="3360"/>
            <w:vAlign w:val="top"/>
          </w:tcPr>
          <w:p>
            <w:r>
              <w:t>M2 — Pattern Engine</w:t>
            </w:r>
          </w:p>
        </w:tc>
        <w:tc>
          <w:tcPr>
            <w:tcW w:type="dxa" w:w="3360"/>
            <w:vAlign w:val="top"/>
          </w:tcPr>
          <w:p>
            <w:r>
              <w:t>Candidate retrieval, location/time/category matching, Hugging Face similarity</w:t>
            </w:r>
          </w:p>
        </w:tc>
        <w:tc>
          <w:tcPr>
            <w:tcW w:type="dxa" w:w="3360"/>
            <w:vAlign w:val="top"/>
          </w:tcPr>
          <w:p>
            <w:r>
              <w:t>Synthetic related reports form explainable clusters.</w:t>
            </w:r>
          </w:p>
        </w:tc>
      </w:tr>
      <w:tr>
        <w:tc>
          <w:tcPr>
            <w:tcW w:type="dxa" w:w="3360"/>
            <w:vAlign w:val="top"/>
          </w:tcPr>
          <w:p>
            <w:r>
              <w:t>M3 — Validation</w:t>
            </w:r>
          </w:p>
        </w:tc>
        <w:tc>
          <w:tcPr>
            <w:tcW w:type="dxa" w:w="3360"/>
            <w:vAlign w:val="top"/>
          </w:tcPr>
          <w:p>
            <w:r>
              <w:t>Corroboration + reporter independence + manipulation rules</w:t>
            </w:r>
          </w:p>
        </w:tc>
        <w:tc>
          <w:tcPr>
            <w:tcW w:type="dxa" w:w="3360"/>
            <w:vAlign w:val="top"/>
          </w:tcPr>
          <w:p>
            <w:r>
              <w:t>Dashboard shows support and review indicators.</w:t>
            </w:r>
          </w:p>
        </w:tc>
      </w:tr>
      <w:tr>
        <w:tc>
          <w:tcPr>
            <w:tcW w:type="dxa" w:w="3360"/>
            <w:vAlign w:val="top"/>
          </w:tcPr>
          <w:p>
            <w:r>
              <w:t>M4 — Early Warning</w:t>
            </w:r>
          </w:p>
        </w:tc>
        <w:tc>
          <w:tcPr>
            <w:tcW w:type="dxa" w:w="3360"/>
            <w:vAlign w:val="top"/>
          </w:tcPr>
          <w:p>
            <w:r>
              <w:t>Baseline/trend logic, alert generation, map</w:t>
            </w:r>
          </w:p>
        </w:tc>
        <w:tc>
          <w:tcPr>
            <w:tcW w:type="dxa" w:w="3360"/>
            <w:vAlign w:val="top"/>
          </w:tcPr>
          <w:p>
            <w:r>
              <w:t>Rising synthetic pattern produces alert.</w:t>
            </w:r>
          </w:p>
        </w:tc>
      </w:tr>
      <w:tr>
        <w:tc>
          <w:tcPr>
            <w:tcW w:type="dxa" w:w="3360"/>
            <w:vAlign w:val="top"/>
          </w:tcPr>
          <w:p>
            <w:r>
              <w:t>M5 — Authority</w:t>
            </w:r>
          </w:p>
        </w:tc>
        <w:tc>
          <w:tcPr>
            <w:tcW w:type="dxa" w:w="3360"/>
            <w:vAlign w:val="top"/>
          </w:tcPr>
          <w:p>
            <w:r>
              <w:t>Auth, dashboard, pattern detail, review queue</w:t>
            </w:r>
          </w:p>
        </w:tc>
        <w:tc>
          <w:tcPr>
            <w:tcW w:type="dxa" w:w="3360"/>
            <w:vAlign w:val="top"/>
          </w:tcPr>
          <w:p>
            <w:r>
              <w:t>Authority can review alert end-to-end.</w:t>
            </w:r>
          </w:p>
        </w:tc>
      </w:tr>
      <w:tr>
        <w:tc>
          <w:tcPr>
            <w:tcW w:type="dxa" w:w="3360"/>
            <w:vAlign w:val="top"/>
          </w:tcPr>
          <w:p>
            <w:r>
              <w:t>M6 — Demo hardening</w:t>
            </w:r>
          </w:p>
        </w:tc>
        <w:tc>
          <w:tcPr>
            <w:tcW w:type="dxa" w:w="3360"/>
            <w:vAlign w:val="top"/>
          </w:tcPr>
          <w:p>
            <w:r>
              <w:t>Synthetic scenarios, error states, UI polish, deployment</w:t>
            </w:r>
          </w:p>
        </w:tc>
        <w:tc>
          <w:tcPr>
            <w:tcW w:type="dxa" w:w="3360"/>
            <w:vAlign w:val="top"/>
          </w:tcPr>
          <w:p>
            <w:r>
              <w:t>3-minute demo runs reliably.</w:t>
            </w:r>
          </w:p>
        </w:tc>
      </w:tr>
    </w:tbl>
    <w:p>
      <w:pPr>
        <w:pStyle w:val="Heading1"/>
      </w:pPr>
      <w:r>
        <w:t>3. Suggested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4124F"/>
          </w:tcPr>
          <w:p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5040"/>
            <w:shd w:fill="24124F"/>
          </w:tcPr>
          <w:p>
            <w:r>
              <w:rPr>
                <w:b/>
                <w:color w:val="FFFFFF"/>
              </w:rPr>
              <w:t>Tasks</w:t>
            </w:r>
          </w:p>
        </w:tc>
      </w:tr>
      <w:tr>
        <w:tc>
          <w:tcPr>
            <w:tcW w:type="dxa" w:w="5040"/>
            <w:vAlign w:val="top"/>
          </w:tcPr>
          <w:p>
            <w:r>
              <w:t>Frontend</w:t>
            </w:r>
          </w:p>
        </w:tc>
        <w:tc>
          <w:tcPr>
            <w:tcW w:type="dxa" w:w="5040"/>
            <w:vAlign w:val="top"/>
          </w:tcPr>
          <w:p>
            <w:r>
              <w:t>Public report flow, status page, dashboard, pattern detail, map UI</w:t>
            </w:r>
          </w:p>
        </w:tc>
      </w:tr>
      <w:tr>
        <w:tc>
          <w:tcPr>
            <w:tcW w:type="dxa" w:w="5040"/>
            <w:vAlign w:val="top"/>
          </w:tcPr>
          <w:p>
            <w:r>
              <w:t>Backend</w:t>
            </w:r>
          </w:p>
        </w:tc>
        <w:tc>
          <w:tcPr>
            <w:tcW w:type="dxa" w:w="5040"/>
            <w:vAlign w:val="top"/>
          </w:tcPr>
          <w:p>
            <w:r>
              <w:t>API routes, validation, orchestration, analysis pipeline</w:t>
            </w:r>
          </w:p>
        </w:tc>
      </w:tr>
      <w:tr>
        <w:tc>
          <w:tcPr>
            <w:tcW w:type="dxa" w:w="5040"/>
            <w:vAlign w:val="top"/>
          </w:tcPr>
          <w:p>
            <w:r>
              <w:t>Database</w:t>
            </w:r>
          </w:p>
        </w:tc>
        <w:tc>
          <w:tcPr>
            <w:tcW w:type="dxa" w:w="5040"/>
            <w:vAlign w:val="top"/>
          </w:tcPr>
          <w:p>
            <w:r>
              <w:t>Schema, RLS, indexes, seed/demo data</w:t>
            </w:r>
          </w:p>
        </w:tc>
      </w:tr>
      <w:tr>
        <w:tc>
          <w:tcPr>
            <w:tcW w:type="dxa" w:w="5040"/>
            <w:vAlign w:val="top"/>
          </w:tcPr>
          <w:p>
            <w:r>
              <w:t>AI/NLP</w:t>
            </w:r>
          </w:p>
        </w:tc>
        <w:tc>
          <w:tcPr>
            <w:tcW w:type="dxa" w:w="5040"/>
            <w:vAlign w:val="top"/>
          </w:tcPr>
          <w:p>
            <w:r>
              <w:t>Embedding generation and similarity utility</w:t>
            </w:r>
          </w:p>
        </w:tc>
      </w:tr>
      <w:tr>
        <w:tc>
          <w:tcPr>
            <w:tcW w:type="dxa" w:w="5040"/>
            <w:vAlign w:val="top"/>
          </w:tcPr>
          <w:p>
            <w:r>
              <w:t>Analytics</w:t>
            </w:r>
          </w:p>
        </w:tc>
        <w:tc>
          <w:tcPr>
            <w:tcW w:type="dxa" w:w="5040"/>
            <w:vAlign w:val="top"/>
          </w:tcPr>
          <w:p>
            <w:r>
              <w:t>Corroboration, manipulation checks, trend detection</w:t>
            </w:r>
          </w:p>
        </w:tc>
      </w:tr>
      <w:tr>
        <w:tc>
          <w:tcPr>
            <w:tcW w:type="dxa" w:w="5040"/>
            <w:vAlign w:val="top"/>
          </w:tcPr>
          <w:p>
            <w:r>
              <w:t>Demo/QA</w:t>
            </w:r>
          </w:p>
        </w:tc>
        <w:tc>
          <w:tcPr>
            <w:tcW w:type="dxa" w:w="5040"/>
            <w:vAlign w:val="top"/>
          </w:tcPr>
          <w:p>
            <w:r>
              <w:t>Synthetic scenarios, edge cases, presentation flow</w:t>
            </w:r>
          </w:p>
        </w:tc>
      </w:tr>
    </w:tbl>
    <w:p>
      <w:pPr>
        <w:pStyle w:val="Heading1"/>
      </w:pPr>
      <w:r>
        <w:t>4. Build Order If Time Is Short</w:t>
      </w:r>
    </w:p>
    <w:p>
      <w:pPr>
        <w:pStyle w:val="ListNumber"/>
      </w:pPr>
      <w:r>
        <w:t>Anonymous report submission + database.</w:t>
      </w:r>
    </w:p>
    <w:p>
      <w:pPr>
        <w:pStyle w:val="ListNumber"/>
      </w:pPr>
      <w:r>
        <w:t>Report ID + status.</w:t>
      </w:r>
    </w:p>
    <w:p>
      <w:pPr>
        <w:pStyle w:val="ListNumber"/>
      </w:pPr>
      <w:r>
        <w:t>Location/time/category connection.</w:t>
      </w:r>
    </w:p>
    <w:p>
      <w:pPr>
        <w:pStyle w:val="ListNumber"/>
      </w:pPr>
      <w:r>
        <w:t>Text similarity.</w:t>
      </w:r>
    </w:p>
    <w:p>
      <w:pPr>
        <w:pStyle w:val="ListNumber"/>
      </w:pPr>
      <w:r>
        <w:t>Corroboration score.</w:t>
      </w:r>
    </w:p>
    <w:p>
      <w:pPr>
        <w:pStyle w:val="ListNumber"/>
      </w:pPr>
      <w:r>
        <w:t>Basic manipulation rules.</w:t>
      </w:r>
    </w:p>
    <w:p>
      <w:pPr>
        <w:pStyle w:val="ListNumber"/>
      </w:pPr>
      <w:r>
        <w:t>Trend detection + map.</w:t>
      </w:r>
    </w:p>
    <w:p>
      <w:pPr>
        <w:pStyle w:val="ListNumber"/>
      </w:pPr>
      <w:r>
        <w:t>Authority alert/dashboard.</w:t>
      </w:r>
    </w:p>
    <w:p>
      <w:pPr>
        <w:pStyle w:val="ListNumber"/>
      </w:pPr>
      <w:r>
        <w:t>Demo data and polish.</w:t>
      </w:r>
    </w:p>
    <w:p>
      <w:pPr>
        <w:pStyle w:val="Heading1"/>
      </w:pPr>
      <w:r>
        <w:t>5. Testing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4124F"/>
          </w:tcPr>
          <w:p>
            <w:r>
              <w:rPr>
                <w:b/>
                <w:color w:val="FFFFFF"/>
              </w:rPr>
              <w:t>Test type</w:t>
            </w:r>
          </w:p>
        </w:tc>
        <w:tc>
          <w:tcPr>
            <w:tcW w:type="dxa" w:w="5040"/>
            <w:shd w:fill="24124F"/>
          </w:tcPr>
          <w:p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5040"/>
            <w:vAlign w:val="top"/>
          </w:tcPr>
          <w:p>
            <w:r>
              <w:t>Unit</w:t>
            </w:r>
          </w:p>
        </w:tc>
        <w:tc>
          <w:tcPr>
            <w:tcW w:type="dxa" w:w="5040"/>
            <w:vAlign w:val="top"/>
          </w:tcPr>
          <w:p>
            <w:r>
              <w:t>Score calculations, category validation, time/location windows.</w:t>
            </w:r>
          </w:p>
        </w:tc>
      </w:tr>
      <w:tr>
        <w:tc>
          <w:tcPr>
            <w:tcW w:type="dxa" w:w="5040"/>
            <w:vAlign w:val="top"/>
          </w:tcPr>
          <w:p>
            <w:r>
              <w:t>Integration</w:t>
            </w:r>
          </w:p>
        </w:tc>
        <w:tc>
          <w:tcPr>
            <w:tcW w:type="dxa" w:w="5040"/>
            <w:vAlign w:val="top"/>
          </w:tcPr>
          <w:p>
            <w:r>
              <w:t>Report submission → analysis → pattern → alert.</w:t>
            </w:r>
          </w:p>
        </w:tc>
      </w:tr>
      <w:tr>
        <w:tc>
          <w:tcPr>
            <w:tcW w:type="dxa" w:w="5040"/>
            <w:vAlign w:val="top"/>
          </w:tcPr>
          <w:p>
            <w:r>
              <w:t>RLS/security</w:t>
            </w:r>
          </w:p>
        </w:tc>
        <w:tc>
          <w:tcPr>
            <w:tcW w:type="dxa" w:w="5040"/>
            <w:vAlign w:val="top"/>
          </w:tcPr>
          <w:p>
            <w:r>
              <w:t>Anonymous cannot read dashboard data; authority can only access permitted data.</w:t>
            </w:r>
          </w:p>
        </w:tc>
      </w:tr>
      <w:tr>
        <w:tc>
          <w:tcPr>
            <w:tcW w:type="dxa" w:w="5040"/>
            <w:vAlign w:val="top"/>
          </w:tcPr>
          <w:p>
            <w:r>
              <w:t>UI</w:t>
            </w:r>
          </w:p>
        </w:tc>
        <w:tc>
          <w:tcPr>
            <w:tcW w:type="dxa" w:w="5040"/>
            <w:vAlign w:val="top"/>
          </w:tcPr>
          <w:p>
            <w:r>
              <w:t>Mobile form, validation, loading, error and empty states.</w:t>
            </w:r>
          </w:p>
        </w:tc>
      </w:tr>
      <w:tr>
        <w:tc>
          <w:tcPr>
            <w:tcW w:type="dxa" w:w="5040"/>
            <w:vAlign w:val="top"/>
          </w:tcPr>
          <w:p>
            <w:r>
              <w:t>Algorithm sanity</w:t>
            </w:r>
          </w:p>
        </w:tc>
        <w:tc>
          <w:tcPr>
            <w:tcW w:type="dxa" w:w="5040"/>
            <w:vAlign w:val="top"/>
          </w:tcPr>
          <w:p>
            <w:r>
              <w:t>Related wording connects; unrelated reports do not; duplicate bursts flag review.</w:t>
            </w:r>
          </w:p>
        </w:tc>
      </w:tr>
      <w:tr>
        <w:tc>
          <w:tcPr>
            <w:tcW w:type="dxa" w:w="5040"/>
            <w:vAlign w:val="top"/>
          </w:tcPr>
          <w:p>
            <w:r>
              <w:t>Trend</w:t>
            </w:r>
          </w:p>
        </w:tc>
        <w:tc>
          <w:tcPr>
            <w:tcW w:type="dxa" w:w="5040"/>
            <w:vAlign w:val="top"/>
          </w:tcPr>
          <w:p>
            <w:r>
              <w:t>Baseline 0–2/week vs current 8/4 days moves to rising.</w:t>
            </w:r>
          </w:p>
        </w:tc>
      </w:tr>
      <w:tr>
        <w:tc>
          <w:tcPr>
            <w:tcW w:type="dxa" w:w="5040"/>
            <w:vAlign w:val="top"/>
          </w:tcPr>
          <w:p>
            <w:r>
              <w:t>Privacy</w:t>
            </w:r>
          </w:p>
        </w:tc>
        <w:tc>
          <w:tcPr>
            <w:tcW w:type="dxa" w:w="5040"/>
            <w:vAlign w:val="top"/>
          </w:tcPr>
          <w:p>
            <w:r>
              <w:t>No reporter identity in dashboard response; evidence remains private.</w:t>
            </w:r>
          </w:p>
        </w:tc>
      </w:tr>
      <w:tr>
        <w:tc>
          <w:tcPr>
            <w:tcW w:type="dxa" w:w="5040"/>
            <w:vAlign w:val="top"/>
          </w:tcPr>
          <w:p>
            <w:r>
              <w:t>Demo regression</w:t>
            </w:r>
          </w:p>
        </w:tc>
        <w:tc>
          <w:tcPr>
            <w:tcW w:type="dxa" w:w="5040"/>
            <w:vAlign w:val="top"/>
          </w:tcPr>
          <w:p>
            <w:r>
              <w:t>Reset and rerun each synthetic scenario.</w:t>
            </w:r>
          </w:p>
        </w:tc>
      </w:tr>
    </w:tbl>
    <w:p>
      <w:pPr>
        <w:pStyle w:val="Heading1"/>
      </w:pPr>
      <w:r>
        <w:t>6. Synthetic Demo Dataset</w:t>
      </w:r>
    </w:p>
    <w:p>
      <w:r>
        <w:t>Create at least 30 synthetic reports across multiple locations/categories. Use one main emerging pattern such as University Gate 2 and unrelated reports elsewhere.</w:t>
      </w:r>
    </w:p>
    <w:p>
      <w:pPr>
        <w:pStyle w:val="ListBullet"/>
      </w:pPr>
      <w:r>
        <w:t>Emerging pattern: 14 related reports, 10 independent reporters, 9-day span.</w:t>
      </w:r>
    </w:p>
    <w:p>
      <w:pPr>
        <w:pStyle w:val="ListBullet"/>
      </w:pPr>
      <w:r>
        <w:t>Common behaviour: following / unwanted approaches.</w:t>
      </w:r>
    </w:p>
    <w:p>
      <w:pPr>
        <w:pStyle w:val="ListBullet"/>
      </w:pPr>
      <w:r>
        <w:t>Baseline: 0–2 related reports/week.</w:t>
      </w:r>
    </w:p>
    <w:p>
      <w:pPr>
        <w:pStyle w:val="ListBullet"/>
      </w:pPr>
      <w:r>
        <w:t>Current activity: 8 related reports across several days.</w:t>
      </w:r>
    </w:p>
    <w:p>
      <w:pPr>
        <w:pStyle w:val="ListBullet"/>
      </w:pPr>
      <w:r>
        <w:t>Manipulation scenario: 10 highly similar reports within minutes with low independence.</w:t>
      </w:r>
    </w:p>
    <w:p>
      <w:pPr>
        <w:pStyle w:val="ListBullet"/>
      </w:pPr>
      <w:r>
        <w:t>Unrelated control reports: different locations/categories so the judge can see selective matching.</w:t>
      </w:r>
    </w:p>
    <w:p>
      <w:pPr>
        <w:pStyle w:val="Heading1"/>
      </w:pPr>
      <w:r>
        <w:t>7. Deployment</w:t>
      </w:r>
    </w:p>
    <w:p>
      <w:pPr>
        <w:pStyle w:val="ListNumber"/>
      </w:pPr>
      <w:r>
        <w:t>Create Supabase project and apply schema/RLS.</w:t>
      </w:r>
    </w:p>
    <w:p>
      <w:pPr>
        <w:pStyle w:val="ListNumber"/>
      </w:pPr>
      <w:r>
        <w:t>Configure environment variables locally and in Vercel.</w:t>
      </w:r>
    </w:p>
    <w:p>
      <w:pPr>
        <w:pStyle w:val="ListNumber"/>
      </w:pPr>
      <w:r>
        <w:t>Configure Supabase Auth for authority accounts.</w:t>
      </w:r>
    </w:p>
    <w:p>
      <w:pPr>
        <w:pStyle w:val="ListNumber"/>
      </w:pPr>
      <w:r>
        <w:t>Deploy Next.js application to Vercel.</w:t>
      </w:r>
    </w:p>
    <w:p>
      <w:pPr>
        <w:pStyle w:val="ListNumber"/>
      </w:pPr>
      <w:r>
        <w:t>Verify API routes and database connectivity.</w:t>
      </w:r>
    </w:p>
    <w:p>
      <w:pPr>
        <w:pStyle w:val="ListNumber"/>
      </w:pPr>
      <w:r>
        <w:t>Verify Leaflet/OpenStreetMap rendering.</w:t>
      </w:r>
    </w:p>
    <w:p>
      <w:pPr>
        <w:pStyle w:val="ListNumber"/>
      </w:pPr>
      <w:r>
        <w:t>Seed synthetic data.</w:t>
      </w:r>
    </w:p>
    <w:p>
      <w:pPr>
        <w:pStyle w:val="ListNumber"/>
      </w:pPr>
      <w:r>
        <w:t>Run smoke test using the 3-minute demo flow.</w:t>
      </w:r>
    </w:p>
    <w:p>
      <w:pPr>
        <w:pStyle w:val="Heading1"/>
      </w:pPr>
      <w:r>
        <w:t>8. Environment Variables</w:t>
      </w:r>
    </w:p>
    <w:p>
      <w:pPr>
        <w:pStyle w:val="ListBullet"/>
      </w:pPr>
      <w:r>
        <w:t>NEXT_PUBLIC_SUPABASE_URL</w:t>
      </w:r>
    </w:p>
    <w:p>
      <w:pPr>
        <w:pStyle w:val="ListBullet"/>
      </w:pPr>
      <w:r>
        <w:t>NEXT_PUBLIC_SUPABASE_ANON_KEY</w:t>
      </w:r>
    </w:p>
    <w:p>
      <w:pPr>
        <w:pStyle w:val="ListBullet"/>
      </w:pPr>
      <w:r>
        <w:t>SUPABASE_SERVICE_ROLE_KEY (server-only; never expose to browser)</w:t>
      </w:r>
    </w:p>
    <w:p>
      <w:pPr>
        <w:pStyle w:val="ListBullet"/>
      </w:pPr>
      <w:r>
        <w:t>HUGGINGFACE_API_KEY (server-only if required by selected inference setup)</w:t>
      </w:r>
    </w:p>
    <w:p>
      <w:pPr>
        <w:pStyle w:val="ListBullet"/>
      </w:pPr>
      <w:r>
        <w:t>HUGGINGFACE_MODEL_NAME</w:t>
      </w:r>
    </w:p>
    <w:p>
      <w:pPr>
        <w:pStyle w:val="Heading1"/>
      </w:pPr>
      <w:r>
        <w:t>9. Future Scope</w:t>
      </w:r>
    </w:p>
    <w:p>
      <w:pPr>
        <w:pStyle w:val="ListBullet"/>
      </w:pPr>
      <w:r>
        <w:t>USSD / IVR reporting.</w:t>
      </w:r>
    </w:p>
    <w:p>
      <w:pPr>
        <w:pStyle w:val="ListBullet"/>
      </w:pPr>
      <w:r>
        <w:t>Multilingual NLP.</w:t>
      </w:r>
    </w:p>
    <w:p>
      <w:pPr>
        <w:pStyle w:val="ListBullet"/>
      </w:pPr>
      <w:r>
        <w:t>Emergency SOS.</w:t>
      </w:r>
    </w:p>
    <w:p>
      <w:pPr>
        <w:pStyle w:val="ListBullet"/>
      </w:pPr>
      <w:r>
        <w:t>Broader authority integrations.</w:t>
      </w:r>
    </w:p>
    <w:p>
      <w:pPr>
        <w:pStyle w:val="ListBullet"/>
      </w:pPr>
      <w:r>
        <w:t>Production-grade secure evidence workflows.</w:t>
      </w:r>
    </w:p>
    <w:p>
      <w:pPr>
        <w:pStyle w:val="ListBullet"/>
      </w:pPr>
      <w:r>
        <w:t>Real-world pilot, governance review, calibration and monitoring.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