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《软件工程》课程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D3-2_源代码与配置仓库  README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Folder Package README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6"/>
        </w:rPr>
        <w:t>—— 案例：NekoCafé 猫咪主题餐饮预约平台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包名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D3-2_源代码与配置仓库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案例项目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NekoCafé 猫咪主题餐饮预约平台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模板版本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提交方式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将整个文件夹打包为 ZIP 后上传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本目录用途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提供学生开发的项目仓库结构骨架。学生须基于此骨架实现 2 个核心服务，并保证 30 分钟内完整可运行。</w:t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推荐目录结构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2B2B2B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</w:tcPr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nekocafe/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README.md            一键启动 30 分钟内可成功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.editorconfig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.pre-commit-config.yaml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docker-compose.yml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Makefile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services/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│   ├── reservation/  src + tests + Dockerfile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│   └── member/       src + tests + Dockerfile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infra/   helm + k8s-manifests + observability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.github/workflows/  ci.yml + cd.yml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└── docs/   runbook.md + rollback.md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README.md 必须包含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一句话项目介绍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前置依赖（Docker / Node / Python 等版本）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一键启动命令（make up / docker compose up）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验证步骤（curl 哪个端点应返回什么）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回滚 / 停止 / 清理命令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