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E207E9">
        <w:rPr>
          <w:noProof/>
        </w:rPr>
        <w:t>December 26, 2014</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D321EB" w:rsidRDefault="008000E2" w:rsidP="00D321EB">
      <w:pPr>
        <w:pStyle w:val="TOC1"/>
        <w:tabs>
          <w:tab w:val="left" w:pos="480"/>
          <w:tab w:val="right" w:leader="dot" w:pos="8976"/>
        </w:tabs>
        <w:spacing w:before="0" w:after="0" w:line="240" w:lineRule="auto"/>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407351564" w:history="1">
        <w:r w:rsidR="00D321EB" w:rsidRPr="00FA2072">
          <w:rPr>
            <w:rStyle w:val="Hyperlink"/>
            <w:noProof/>
          </w:rPr>
          <w:t>1</w:t>
        </w:r>
        <w:r w:rsidR="00D321EB">
          <w:rPr>
            <w:rFonts w:eastAsiaTheme="minorEastAsia"/>
            <w:b w:val="0"/>
            <w:bCs w:val="0"/>
            <w:caps w:val="0"/>
            <w:noProof/>
            <w:sz w:val="22"/>
            <w:szCs w:val="22"/>
          </w:rPr>
          <w:tab/>
        </w:r>
        <w:r w:rsidR="00D321EB" w:rsidRPr="00FA2072">
          <w:rPr>
            <w:rStyle w:val="Hyperlink"/>
            <w:noProof/>
          </w:rPr>
          <w:t>Introduction</w:t>
        </w:r>
        <w:r w:rsidR="00D321EB">
          <w:rPr>
            <w:noProof/>
            <w:webHidden/>
          </w:rPr>
          <w:tab/>
        </w:r>
        <w:r w:rsidR="00D321EB">
          <w:rPr>
            <w:noProof/>
            <w:webHidden/>
          </w:rPr>
          <w:fldChar w:fldCharType="begin"/>
        </w:r>
        <w:r w:rsidR="00D321EB">
          <w:rPr>
            <w:noProof/>
            <w:webHidden/>
          </w:rPr>
          <w:instrText xml:space="preserve"> PAGEREF _Toc407351564 \h </w:instrText>
        </w:r>
        <w:r w:rsidR="00D321EB">
          <w:rPr>
            <w:noProof/>
            <w:webHidden/>
          </w:rPr>
        </w:r>
        <w:r w:rsidR="00D321EB">
          <w:rPr>
            <w:noProof/>
            <w:webHidden/>
          </w:rPr>
          <w:fldChar w:fldCharType="separate"/>
        </w:r>
        <w:r w:rsidR="00D321EB">
          <w:rPr>
            <w:noProof/>
            <w:webHidden/>
          </w:rPr>
          <w:t>4</w:t>
        </w:r>
        <w:r w:rsidR="00D321EB">
          <w:rPr>
            <w:noProof/>
            <w:webHidden/>
          </w:rPr>
          <w:fldChar w:fldCharType="end"/>
        </w:r>
      </w:hyperlink>
    </w:p>
    <w:p w:rsidR="00D321EB" w:rsidRPr="00D321EB" w:rsidRDefault="00D321EB" w:rsidP="00D321EB">
      <w:pPr>
        <w:pStyle w:val="TOC2"/>
        <w:tabs>
          <w:tab w:val="left" w:pos="720"/>
          <w:tab w:val="right" w:leader="dot" w:pos="8976"/>
        </w:tabs>
        <w:spacing w:after="0" w:line="240" w:lineRule="auto"/>
        <w:rPr>
          <w:rFonts w:eastAsiaTheme="minorEastAsia"/>
          <w:b/>
          <w:noProof/>
          <w:sz w:val="22"/>
          <w:szCs w:val="22"/>
        </w:rPr>
      </w:pPr>
      <w:hyperlink w:anchor="_Toc407351565" w:history="1">
        <w:r w:rsidRPr="00D321EB">
          <w:rPr>
            <w:rStyle w:val="Hyperlink"/>
            <w:b/>
            <w:noProof/>
          </w:rPr>
          <w:t>1.1</w:t>
        </w:r>
        <w:r w:rsidRPr="00D321EB">
          <w:rPr>
            <w:rFonts w:eastAsiaTheme="minorEastAsia"/>
            <w:b/>
            <w:noProof/>
            <w:sz w:val="22"/>
            <w:szCs w:val="22"/>
          </w:rPr>
          <w:tab/>
        </w:r>
        <w:r w:rsidRPr="00D321EB">
          <w:rPr>
            <w:rStyle w:val="Hyperlink"/>
            <w:b/>
            <w:noProof/>
          </w:rPr>
          <w:t>Outbreak Temporal Patterns</w:t>
        </w:r>
        <w:r w:rsidRPr="00D321EB">
          <w:rPr>
            <w:b/>
            <w:noProof/>
            <w:webHidden/>
          </w:rPr>
          <w:tab/>
        </w:r>
        <w:r w:rsidRPr="00D321EB">
          <w:rPr>
            <w:b/>
            <w:noProof/>
            <w:webHidden/>
          </w:rPr>
          <w:fldChar w:fldCharType="begin"/>
        </w:r>
        <w:r w:rsidRPr="00D321EB">
          <w:rPr>
            <w:b/>
            <w:noProof/>
            <w:webHidden/>
          </w:rPr>
          <w:instrText xml:space="preserve"> PAGEREF _Toc407351565 \h </w:instrText>
        </w:r>
        <w:r w:rsidRPr="00D321EB">
          <w:rPr>
            <w:b/>
            <w:noProof/>
            <w:webHidden/>
          </w:rPr>
        </w:r>
        <w:r w:rsidRPr="00D321EB">
          <w:rPr>
            <w:b/>
            <w:noProof/>
            <w:webHidden/>
          </w:rPr>
          <w:fldChar w:fldCharType="separate"/>
        </w:r>
        <w:r w:rsidRPr="00D321EB">
          <w:rPr>
            <w:b/>
            <w:noProof/>
            <w:webHidden/>
          </w:rPr>
          <w:t>5</w:t>
        </w:r>
        <w:r w:rsidRPr="00D321EB">
          <w:rPr>
            <w:b/>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66" w:history="1">
        <w:r w:rsidRPr="00FA2072">
          <w:rPr>
            <w:rStyle w:val="Hyperlink"/>
            <w:noProof/>
          </w:rPr>
          <w:t>1.2</w:t>
        </w:r>
        <w:r>
          <w:rPr>
            <w:rFonts w:eastAsiaTheme="minorEastAsia"/>
            <w:noProof/>
            <w:sz w:val="22"/>
            <w:szCs w:val="22"/>
          </w:rPr>
          <w:tab/>
        </w:r>
        <w:r w:rsidRPr="00FA2072">
          <w:rPr>
            <w:rStyle w:val="Hyperlink"/>
            <w:noProof/>
          </w:rPr>
          <w:t>Defoliation</w:t>
        </w:r>
        <w:r>
          <w:rPr>
            <w:noProof/>
            <w:webHidden/>
          </w:rPr>
          <w:tab/>
        </w:r>
        <w:r>
          <w:rPr>
            <w:noProof/>
            <w:webHidden/>
          </w:rPr>
          <w:fldChar w:fldCharType="begin"/>
        </w:r>
        <w:r>
          <w:rPr>
            <w:noProof/>
            <w:webHidden/>
          </w:rPr>
          <w:instrText xml:space="preserve"> PAGEREF _Toc407351566 \h </w:instrText>
        </w:r>
        <w:r>
          <w:rPr>
            <w:noProof/>
            <w:webHidden/>
          </w:rPr>
        </w:r>
        <w:r>
          <w:rPr>
            <w:noProof/>
            <w:webHidden/>
          </w:rPr>
          <w:fldChar w:fldCharType="separate"/>
        </w:r>
        <w:r>
          <w:rPr>
            <w:noProof/>
            <w:webHidden/>
          </w:rPr>
          <w:t>6</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67" w:history="1">
        <w:r w:rsidRPr="00FA2072">
          <w:rPr>
            <w:rStyle w:val="Hyperlink"/>
            <w:noProof/>
          </w:rPr>
          <w:t>1.3</w:t>
        </w:r>
        <w:r>
          <w:rPr>
            <w:rFonts w:eastAsiaTheme="minorEastAsia"/>
            <w:noProof/>
            <w:sz w:val="22"/>
            <w:szCs w:val="22"/>
          </w:rPr>
          <w:tab/>
        </w:r>
        <w:r w:rsidRPr="00FA2072">
          <w:rPr>
            <w:rStyle w:val="Hyperlink"/>
            <w:noProof/>
          </w:rPr>
          <w:t>Defoliation: Outbreak Initiation and Spread</w:t>
        </w:r>
        <w:r>
          <w:rPr>
            <w:noProof/>
            <w:webHidden/>
          </w:rPr>
          <w:tab/>
        </w:r>
        <w:r>
          <w:rPr>
            <w:noProof/>
            <w:webHidden/>
          </w:rPr>
          <w:fldChar w:fldCharType="begin"/>
        </w:r>
        <w:r>
          <w:rPr>
            <w:noProof/>
            <w:webHidden/>
          </w:rPr>
          <w:instrText xml:space="preserve"> PAGEREF _Toc407351567 \h </w:instrText>
        </w:r>
        <w:r>
          <w:rPr>
            <w:noProof/>
            <w:webHidden/>
          </w:rPr>
        </w:r>
        <w:r>
          <w:rPr>
            <w:noProof/>
            <w:webHidden/>
          </w:rPr>
          <w:fldChar w:fldCharType="separate"/>
        </w:r>
        <w:r>
          <w:rPr>
            <w:noProof/>
            <w:webHidden/>
          </w:rPr>
          <w:t>6</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68" w:history="1">
        <w:r w:rsidRPr="00FA2072">
          <w:rPr>
            <w:rStyle w:val="Hyperlink"/>
            <w:noProof/>
          </w:rPr>
          <w:t>1.4</w:t>
        </w:r>
        <w:r>
          <w:rPr>
            <w:rFonts w:eastAsiaTheme="minorEastAsia"/>
            <w:noProof/>
            <w:sz w:val="22"/>
            <w:szCs w:val="22"/>
          </w:rPr>
          <w:tab/>
        </w:r>
        <w:r w:rsidRPr="00FA2072">
          <w:rPr>
            <w:rStyle w:val="Hyperlink"/>
            <w:noProof/>
          </w:rPr>
          <w:t>Growth Reduction</w:t>
        </w:r>
        <w:r>
          <w:rPr>
            <w:noProof/>
            <w:webHidden/>
          </w:rPr>
          <w:tab/>
        </w:r>
        <w:r>
          <w:rPr>
            <w:noProof/>
            <w:webHidden/>
          </w:rPr>
          <w:fldChar w:fldCharType="begin"/>
        </w:r>
        <w:r>
          <w:rPr>
            <w:noProof/>
            <w:webHidden/>
          </w:rPr>
          <w:instrText xml:space="preserve"> PAGEREF _Toc407351568 \h </w:instrText>
        </w:r>
        <w:r>
          <w:rPr>
            <w:noProof/>
            <w:webHidden/>
          </w:rPr>
        </w:r>
        <w:r>
          <w:rPr>
            <w:noProof/>
            <w:webHidden/>
          </w:rPr>
          <w:fldChar w:fldCharType="separate"/>
        </w:r>
        <w:r>
          <w:rPr>
            <w:noProof/>
            <w:webHidden/>
          </w:rPr>
          <w:t>8</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69" w:history="1">
        <w:r w:rsidRPr="00FA2072">
          <w:rPr>
            <w:rStyle w:val="Hyperlink"/>
            <w:noProof/>
          </w:rPr>
          <w:t>1.5</w:t>
        </w:r>
        <w:r>
          <w:rPr>
            <w:rFonts w:eastAsiaTheme="minorEastAsia"/>
            <w:noProof/>
            <w:sz w:val="22"/>
            <w:szCs w:val="22"/>
          </w:rPr>
          <w:tab/>
        </w:r>
        <w:r w:rsidRPr="00FA2072">
          <w:rPr>
            <w:rStyle w:val="Hyperlink"/>
            <w:noProof/>
          </w:rPr>
          <w:t>Mortality</w:t>
        </w:r>
        <w:r>
          <w:rPr>
            <w:noProof/>
            <w:webHidden/>
          </w:rPr>
          <w:tab/>
        </w:r>
        <w:r>
          <w:rPr>
            <w:noProof/>
            <w:webHidden/>
          </w:rPr>
          <w:fldChar w:fldCharType="begin"/>
        </w:r>
        <w:r>
          <w:rPr>
            <w:noProof/>
            <w:webHidden/>
          </w:rPr>
          <w:instrText xml:space="preserve"> PAGEREF _Toc407351569 \h </w:instrText>
        </w:r>
        <w:r>
          <w:rPr>
            <w:noProof/>
            <w:webHidden/>
          </w:rPr>
        </w:r>
        <w:r>
          <w:rPr>
            <w:noProof/>
            <w:webHidden/>
          </w:rPr>
          <w:fldChar w:fldCharType="separate"/>
        </w:r>
        <w:r>
          <w:rPr>
            <w:noProof/>
            <w:webHidden/>
          </w:rPr>
          <w:t>9</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0" w:history="1">
        <w:r w:rsidRPr="00FA2072">
          <w:rPr>
            <w:rStyle w:val="Hyperlink"/>
            <w:noProof/>
          </w:rPr>
          <w:t>1.6</w:t>
        </w:r>
        <w:r>
          <w:rPr>
            <w:rFonts w:eastAsiaTheme="minorEastAsia"/>
            <w:noProof/>
            <w:sz w:val="22"/>
            <w:szCs w:val="22"/>
          </w:rPr>
          <w:tab/>
        </w:r>
        <w:r w:rsidRPr="00FA2072">
          <w:rPr>
            <w:rStyle w:val="Hyperlink"/>
            <w:noProof/>
          </w:rPr>
          <w:t>References</w:t>
        </w:r>
        <w:r>
          <w:rPr>
            <w:noProof/>
            <w:webHidden/>
          </w:rPr>
          <w:tab/>
        </w:r>
        <w:r>
          <w:rPr>
            <w:noProof/>
            <w:webHidden/>
          </w:rPr>
          <w:fldChar w:fldCharType="begin"/>
        </w:r>
        <w:r>
          <w:rPr>
            <w:noProof/>
            <w:webHidden/>
          </w:rPr>
          <w:instrText xml:space="preserve"> PAGEREF _Toc407351570 \h </w:instrText>
        </w:r>
        <w:r>
          <w:rPr>
            <w:noProof/>
            <w:webHidden/>
          </w:rPr>
        </w:r>
        <w:r>
          <w:rPr>
            <w:noProof/>
            <w:webHidden/>
          </w:rPr>
          <w:fldChar w:fldCharType="separate"/>
        </w:r>
        <w:r>
          <w:rPr>
            <w:noProof/>
            <w:webHidden/>
          </w:rPr>
          <w:t>10</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1" w:history="1">
        <w:r w:rsidRPr="00FA2072">
          <w:rPr>
            <w:rStyle w:val="Hyperlink"/>
            <w:noProof/>
          </w:rPr>
          <w:t>1.7</w:t>
        </w:r>
        <w:r>
          <w:rPr>
            <w:rFonts w:eastAsiaTheme="minorEastAsia"/>
            <w:noProof/>
            <w:sz w:val="22"/>
            <w:szCs w:val="22"/>
          </w:rPr>
          <w:tab/>
        </w:r>
        <w:r w:rsidRPr="00FA2072">
          <w:rPr>
            <w:rStyle w:val="Hyperlink"/>
            <w:noProof/>
          </w:rPr>
          <w:t>Major Releases</w:t>
        </w:r>
        <w:r>
          <w:rPr>
            <w:noProof/>
            <w:webHidden/>
          </w:rPr>
          <w:tab/>
        </w:r>
        <w:r>
          <w:rPr>
            <w:noProof/>
            <w:webHidden/>
          </w:rPr>
          <w:fldChar w:fldCharType="begin"/>
        </w:r>
        <w:r>
          <w:rPr>
            <w:noProof/>
            <w:webHidden/>
          </w:rPr>
          <w:instrText xml:space="preserve"> PAGEREF _Toc407351571 \h </w:instrText>
        </w:r>
        <w:r>
          <w:rPr>
            <w:noProof/>
            <w:webHidden/>
          </w:rPr>
        </w:r>
        <w:r>
          <w:rPr>
            <w:noProof/>
            <w:webHidden/>
          </w:rPr>
          <w:fldChar w:fldCharType="separate"/>
        </w:r>
        <w:r>
          <w:rPr>
            <w:noProof/>
            <w:webHidden/>
          </w:rPr>
          <w:t>10</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72" w:history="1">
        <w:r w:rsidRPr="00FA2072">
          <w:rPr>
            <w:rStyle w:val="Hyperlink"/>
            <w:noProof/>
          </w:rPr>
          <w:t>1.7.1</w:t>
        </w:r>
        <w:r>
          <w:rPr>
            <w:rFonts w:eastAsiaTheme="minorEastAsia"/>
            <w:i w:val="0"/>
            <w:iCs w:val="0"/>
            <w:noProof/>
            <w:sz w:val="22"/>
            <w:szCs w:val="22"/>
          </w:rPr>
          <w:tab/>
        </w:r>
        <w:r w:rsidRPr="00FA2072">
          <w:rPr>
            <w:rStyle w:val="Hyperlink"/>
            <w:noProof/>
          </w:rPr>
          <w:t>Version 2.0</w:t>
        </w:r>
        <w:r>
          <w:rPr>
            <w:noProof/>
            <w:webHidden/>
          </w:rPr>
          <w:tab/>
        </w:r>
        <w:r>
          <w:rPr>
            <w:noProof/>
            <w:webHidden/>
          </w:rPr>
          <w:fldChar w:fldCharType="begin"/>
        </w:r>
        <w:r>
          <w:rPr>
            <w:noProof/>
            <w:webHidden/>
          </w:rPr>
          <w:instrText xml:space="preserve"> PAGEREF _Toc407351572 \h </w:instrText>
        </w:r>
        <w:r>
          <w:rPr>
            <w:noProof/>
            <w:webHidden/>
          </w:rPr>
        </w:r>
        <w:r>
          <w:rPr>
            <w:noProof/>
            <w:webHidden/>
          </w:rPr>
          <w:fldChar w:fldCharType="separate"/>
        </w:r>
        <w:r>
          <w:rPr>
            <w:noProof/>
            <w:webHidden/>
          </w:rPr>
          <w:t>10</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73" w:history="1">
        <w:r w:rsidRPr="00FA2072">
          <w:rPr>
            <w:rStyle w:val="Hyperlink"/>
            <w:noProof/>
          </w:rPr>
          <w:t>1.7.2</w:t>
        </w:r>
        <w:r>
          <w:rPr>
            <w:rFonts w:eastAsiaTheme="minorEastAsia"/>
            <w:i w:val="0"/>
            <w:iCs w:val="0"/>
            <w:noProof/>
            <w:sz w:val="22"/>
            <w:szCs w:val="22"/>
          </w:rPr>
          <w:tab/>
        </w:r>
        <w:r w:rsidRPr="00FA2072">
          <w:rPr>
            <w:rStyle w:val="Hyperlink"/>
            <w:noProof/>
          </w:rPr>
          <w:t>Version 1.0</w:t>
        </w:r>
        <w:r>
          <w:rPr>
            <w:noProof/>
            <w:webHidden/>
          </w:rPr>
          <w:tab/>
        </w:r>
        <w:r>
          <w:rPr>
            <w:noProof/>
            <w:webHidden/>
          </w:rPr>
          <w:fldChar w:fldCharType="begin"/>
        </w:r>
        <w:r>
          <w:rPr>
            <w:noProof/>
            <w:webHidden/>
          </w:rPr>
          <w:instrText xml:space="preserve"> PAGEREF _Toc407351573 \h </w:instrText>
        </w:r>
        <w:r>
          <w:rPr>
            <w:noProof/>
            <w:webHidden/>
          </w:rPr>
        </w:r>
        <w:r>
          <w:rPr>
            <w:noProof/>
            <w:webHidden/>
          </w:rPr>
          <w:fldChar w:fldCharType="separate"/>
        </w:r>
        <w:r>
          <w:rPr>
            <w:noProof/>
            <w:webHidden/>
          </w:rPr>
          <w:t>10</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4" w:history="1">
        <w:r w:rsidRPr="00FA2072">
          <w:rPr>
            <w:rStyle w:val="Hyperlink"/>
            <w:noProof/>
          </w:rPr>
          <w:t>1.8</w:t>
        </w:r>
        <w:r>
          <w:rPr>
            <w:rFonts w:eastAsiaTheme="minorEastAsia"/>
            <w:noProof/>
            <w:sz w:val="22"/>
            <w:szCs w:val="22"/>
          </w:rPr>
          <w:tab/>
        </w:r>
        <w:r w:rsidRPr="00FA2072">
          <w:rPr>
            <w:rStyle w:val="Hyperlink"/>
            <w:noProof/>
          </w:rPr>
          <w:t>Minor Releases</w:t>
        </w:r>
        <w:r>
          <w:rPr>
            <w:noProof/>
            <w:webHidden/>
          </w:rPr>
          <w:tab/>
        </w:r>
        <w:r>
          <w:rPr>
            <w:noProof/>
            <w:webHidden/>
          </w:rPr>
          <w:fldChar w:fldCharType="begin"/>
        </w:r>
        <w:r>
          <w:rPr>
            <w:noProof/>
            <w:webHidden/>
          </w:rPr>
          <w:instrText xml:space="preserve"> PAGEREF _Toc407351574 \h </w:instrText>
        </w:r>
        <w:r>
          <w:rPr>
            <w:noProof/>
            <w:webHidden/>
          </w:rPr>
        </w:r>
        <w:r>
          <w:rPr>
            <w:noProof/>
            <w:webHidden/>
          </w:rPr>
          <w:fldChar w:fldCharType="separate"/>
        </w:r>
        <w:r>
          <w:rPr>
            <w:noProof/>
            <w:webHidden/>
          </w:rPr>
          <w:t>11</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5" w:history="1">
        <w:r w:rsidRPr="00FA2072">
          <w:rPr>
            <w:rStyle w:val="Hyperlink"/>
            <w:noProof/>
          </w:rPr>
          <w:t>1.9</w:t>
        </w:r>
        <w:r>
          <w:rPr>
            <w:rFonts w:eastAsiaTheme="minorEastAsia"/>
            <w:noProof/>
            <w:sz w:val="22"/>
            <w:szCs w:val="22"/>
          </w:rPr>
          <w:tab/>
        </w:r>
        <w:r w:rsidRPr="00FA2072">
          <w:rPr>
            <w:rStyle w:val="Hyperlink"/>
            <w:noProof/>
          </w:rPr>
          <w:t>Acknowledgements</w:t>
        </w:r>
        <w:r>
          <w:rPr>
            <w:noProof/>
            <w:webHidden/>
          </w:rPr>
          <w:tab/>
        </w:r>
        <w:r>
          <w:rPr>
            <w:noProof/>
            <w:webHidden/>
          </w:rPr>
          <w:fldChar w:fldCharType="begin"/>
        </w:r>
        <w:r>
          <w:rPr>
            <w:noProof/>
            <w:webHidden/>
          </w:rPr>
          <w:instrText xml:space="preserve"> PAGEREF _Toc407351575 \h </w:instrText>
        </w:r>
        <w:r>
          <w:rPr>
            <w:noProof/>
            <w:webHidden/>
          </w:rPr>
        </w:r>
        <w:r>
          <w:rPr>
            <w:noProof/>
            <w:webHidden/>
          </w:rPr>
          <w:fldChar w:fldCharType="separate"/>
        </w:r>
        <w:r>
          <w:rPr>
            <w:noProof/>
            <w:webHidden/>
          </w:rPr>
          <w:t>11</w:t>
        </w:r>
        <w:r>
          <w:rPr>
            <w:noProof/>
            <w:webHidden/>
          </w:rPr>
          <w:fldChar w:fldCharType="end"/>
        </w:r>
      </w:hyperlink>
    </w:p>
    <w:p w:rsidR="00D321EB" w:rsidRDefault="00D321EB" w:rsidP="00D321EB">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07351576" w:history="1">
        <w:r w:rsidRPr="00FA2072">
          <w:rPr>
            <w:rStyle w:val="Hyperlink"/>
            <w:noProof/>
          </w:rPr>
          <w:t>2</w:t>
        </w:r>
        <w:r>
          <w:rPr>
            <w:rFonts w:eastAsiaTheme="minorEastAsia"/>
            <w:b w:val="0"/>
            <w:bCs w:val="0"/>
            <w:caps w:val="0"/>
            <w:noProof/>
            <w:sz w:val="22"/>
            <w:szCs w:val="22"/>
          </w:rPr>
          <w:tab/>
        </w:r>
        <w:r w:rsidRPr="00FA2072">
          <w:rPr>
            <w:rStyle w:val="Hyperlink"/>
            <w:noProof/>
          </w:rPr>
          <w:t>Primary Input File</w:t>
        </w:r>
        <w:r>
          <w:rPr>
            <w:noProof/>
            <w:webHidden/>
          </w:rPr>
          <w:tab/>
        </w:r>
        <w:r>
          <w:rPr>
            <w:noProof/>
            <w:webHidden/>
          </w:rPr>
          <w:fldChar w:fldCharType="begin"/>
        </w:r>
        <w:r>
          <w:rPr>
            <w:noProof/>
            <w:webHidden/>
          </w:rPr>
          <w:instrText xml:space="preserve"> PAGEREF _Toc407351576 \h </w:instrText>
        </w:r>
        <w:r>
          <w:rPr>
            <w:noProof/>
            <w:webHidden/>
          </w:rPr>
        </w:r>
        <w:r>
          <w:rPr>
            <w:noProof/>
            <w:webHidden/>
          </w:rPr>
          <w:fldChar w:fldCharType="separate"/>
        </w:r>
        <w:r>
          <w:rPr>
            <w:noProof/>
            <w:webHidden/>
          </w:rPr>
          <w:t>12</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7" w:history="1">
        <w:r w:rsidRPr="00FA2072">
          <w:rPr>
            <w:rStyle w:val="Hyperlink"/>
            <w:noProof/>
          </w:rPr>
          <w:t>2.1</w:t>
        </w:r>
        <w:r>
          <w:rPr>
            <w:rFonts w:eastAsiaTheme="minorEastAsia"/>
            <w:noProof/>
            <w:sz w:val="22"/>
            <w:szCs w:val="22"/>
          </w:rPr>
          <w:tab/>
        </w:r>
        <w:r w:rsidRPr="00FA2072">
          <w:rPr>
            <w:rStyle w:val="Hyperlink"/>
            <w:noProof/>
          </w:rPr>
          <w:t>LandisData</w:t>
        </w:r>
        <w:r>
          <w:rPr>
            <w:noProof/>
            <w:webHidden/>
          </w:rPr>
          <w:tab/>
        </w:r>
        <w:r>
          <w:rPr>
            <w:noProof/>
            <w:webHidden/>
          </w:rPr>
          <w:fldChar w:fldCharType="begin"/>
        </w:r>
        <w:r>
          <w:rPr>
            <w:noProof/>
            <w:webHidden/>
          </w:rPr>
          <w:instrText xml:space="preserve"> PAGEREF _Toc407351577 \h </w:instrText>
        </w:r>
        <w:r>
          <w:rPr>
            <w:noProof/>
            <w:webHidden/>
          </w:rPr>
        </w:r>
        <w:r>
          <w:rPr>
            <w:noProof/>
            <w:webHidden/>
          </w:rPr>
          <w:fldChar w:fldCharType="separate"/>
        </w:r>
        <w:r>
          <w:rPr>
            <w:noProof/>
            <w:webHidden/>
          </w:rPr>
          <w:t>12</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8" w:history="1">
        <w:r w:rsidRPr="00FA2072">
          <w:rPr>
            <w:rStyle w:val="Hyperlink"/>
            <w:noProof/>
          </w:rPr>
          <w:t>2.2</w:t>
        </w:r>
        <w:r>
          <w:rPr>
            <w:rFonts w:eastAsiaTheme="minorEastAsia"/>
            <w:noProof/>
            <w:sz w:val="22"/>
            <w:szCs w:val="22"/>
          </w:rPr>
          <w:tab/>
        </w:r>
        <w:r w:rsidRPr="00FA2072">
          <w:rPr>
            <w:rStyle w:val="Hyperlink"/>
            <w:noProof/>
          </w:rPr>
          <w:t>Timestep</w:t>
        </w:r>
        <w:r>
          <w:rPr>
            <w:noProof/>
            <w:webHidden/>
          </w:rPr>
          <w:tab/>
        </w:r>
        <w:r>
          <w:rPr>
            <w:noProof/>
            <w:webHidden/>
          </w:rPr>
          <w:fldChar w:fldCharType="begin"/>
        </w:r>
        <w:r>
          <w:rPr>
            <w:noProof/>
            <w:webHidden/>
          </w:rPr>
          <w:instrText xml:space="preserve"> PAGEREF _Toc407351578 \h </w:instrText>
        </w:r>
        <w:r>
          <w:rPr>
            <w:noProof/>
            <w:webHidden/>
          </w:rPr>
        </w:r>
        <w:r>
          <w:rPr>
            <w:noProof/>
            <w:webHidden/>
          </w:rPr>
          <w:fldChar w:fldCharType="separate"/>
        </w:r>
        <w:r>
          <w:rPr>
            <w:noProof/>
            <w:webHidden/>
          </w:rPr>
          <w:t>12</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79" w:history="1">
        <w:r w:rsidRPr="00FA2072">
          <w:rPr>
            <w:rStyle w:val="Hyperlink"/>
            <w:noProof/>
          </w:rPr>
          <w:t>2.3</w:t>
        </w:r>
        <w:r>
          <w:rPr>
            <w:rFonts w:eastAsiaTheme="minorEastAsia"/>
            <w:noProof/>
            <w:sz w:val="22"/>
            <w:szCs w:val="22"/>
          </w:rPr>
          <w:tab/>
        </w:r>
        <w:r w:rsidRPr="00FA2072">
          <w:rPr>
            <w:rStyle w:val="Hyperlink"/>
            <w:noProof/>
          </w:rPr>
          <w:t>Output Maps</w:t>
        </w:r>
        <w:r>
          <w:rPr>
            <w:noProof/>
            <w:webHidden/>
          </w:rPr>
          <w:tab/>
        </w:r>
        <w:r>
          <w:rPr>
            <w:noProof/>
            <w:webHidden/>
          </w:rPr>
          <w:fldChar w:fldCharType="begin"/>
        </w:r>
        <w:r>
          <w:rPr>
            <w:noProof/>
            <w:webHidden/>
          </w:rPr>
          <w:instrText xml:space="preserve"> PAGEREF _Toc407351579 \h </w:instrText>
        </w:r>
        <w:r>
          <w:rPr>
            <w:noProof/>
            <w:webHidden/>
          </w:rPr>
        </w:r>
        <w:r>
          <w:rPr>
            <w:noProof/>
            <w:webHidden/>
          </w:rPr>
          <w:fldChar w:fldCharType="separate"/>
        </w:r>
        <w:r>
          <w:rPr>
            <w:noProof/>
            <w:webHidden/>
          </w:rPr>
          <w:t>12</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0" w:history="1">
        <w:r w:rsidRPr="00FA2072">
          <w:rPr>
            <w:rStyle w:val="Hyperlink"/>
            <w:noProof/>
          </w:rPr>
          <w:t>2.4</w:t>
        </w:r>
        <w:r>
          <w:rPr>
            <w:rFonts w:eastAsiaTheme="minorEastAsia"/>
            <w:noProof/>
            <w:sz w:val="22"/>
            <w:szCs w:val="22"/>
          </w:rPr>
          <w:tab/>
        </w:r>
        <w:r w:rsidRPr="00FA2072">
          <w:rPr>
            <w:rStyle w:val="Hyperlink"/>
            <w:noProof/>
          </w:rPr>
          <w:t>Log File</w:t>
        </w:r>
        <w:r>
          <w:rPr>
            <w:noProof/>
            <w:webHidden/>
          </w:rPr>
          <w:tab/>
        </w:r>
        <w:r>
          <w:rPr>
            <w:noProof/>
            <w:webHidden/>
          </w:rPr>
          <w:fldChar w:fldCharType="begin"/>
        </w:r>
        <w:r>
          <w:rPr>
            <w:noProof/>
            <w:webHidden/>
          </w:rPr>
          <w:instrText xml:space="preserve"> PAGEREF _Toc407351580 \h </w:instrText>
        </w:r>
        <w:r>
          <w:rPr>
            <w:noProof/>
            <w:webHidden/>
          </w:rPr>
        </w:r>
        <w:r>
          <w:rPr>
            <w:noProof/>
            <w:webHidden/>
          </w:rPr>
          <w:fldChar w:fldCharType="separate"/>
        </w:r>
        <w:r>
          <w:rPr>
            <w:noProof/>
            <w:webHidden/>
          </w:rPr>
          <w:t>13</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1" w:history="1">
        <w:r w:rsidRPr="00FA2072">
          <w:rPr>
            <w:rStyle w:val="Hyperlink"/>
            <w:noProof/>
          </w:rPr>
          <w:t>2.5</w:t>
        </w:r>
        <w:r>
          <w:rPr>
            <w:rFonts w:eastAsiaTheme="minorEastAsia"/>
            <w:noProof/>
            <w:sz w:val="22"/>
            <w:szCs w:val="22"/>
          </w:rPr>
          <w:tab/>
        </w:r>
        <w:r w:rsidRPr="00FA2072">
          <w:rPr>
            <w:rStyle w:val="Hyperlink"/>
            <w:noProof/>
          </w:rPr>
          <w:t>Insect Input File List</w:t>
        </w:r>
        <w:r>
          <w:rPr>
            <w:noProof/>
            <w:webHidden/>
          </w:rPr>
          <w:tab/>
        </w:r>
        <w:r>
          <w:rPr>
            <w:noProof/>
            <w:webHidden/>
          </w:rPr>
          <w:fldChar w:fldCharType="begin"/>
        </w:r>
        <w:r>
          <w:rPr>
            <w:noProof/>
            <w:webHidden/>
          </w:rPr>
          <w:instrText xml:space="preserve"> PAGEREF _Toc407351581 \h </w:instrText>
        </w:r>
        <w:r>
          <w:rPr>
            <w:noProof/>
            <w:webHidden/>
          </w:rPr>
        </w:r>
        <w:r>
          <w:rPr>
            <w:noProof/>
            <w:webHidden/>
          </w:rPr>
          <w:fldChar w:fldCharType="separate"/>
        </w:r>
        <w:r>
          <w:rPr>
            <w:noProof/>
            <w:webHidden/>
          </w:rPr>
          <w:t>13</w:t>
        </w:r>
        <w:r>
          <w:rPr>
            <w:noProof/>
            <w:webHidden/>
          </w:rPr>
          <w:fldChar w:fldCharType="end"/>
        </w:r>
      </w:hyperlink>
    </w:p>
    <w:p w:rsidR="00D321EB" w:rsidRDefault="00D321EB" w:rsidP="00D321EB">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07351582" w:history="1">
        <w:r w:rsidRPr="00FA2072">
          <w:rPr>
            <w:rStyle w:val="Hyperlink"/>
            <w:noProof/>
          </w:rPr>
          <w:t>3</w:t>
        </w:r>
        <w:r>
          <w:rPr>
            <w:rFonts w:eastAsiaTheme="minorEastAsia"/>
            <w:b w:val="0"/>
            <w:bCs w:val="0"/>
            <w:caps w:val="0"/>
            <w:noProof/>
            <w:sz w:val="22"/>
            <w:szCs w:val="22"/>
          </w:rPr>
          <w:tab/>
        </w:r>
        <w:r w:rsidRPr="00FA2072">
          <w:rPr>
            <w:rStyle w:val="Hyperlink"/>
            <w:noProof/>
          </w:rPr>
          <w:t>Insect Input File</w:t>
        </w:r>
        <w:r>
          <w:rPr>
            <w:noProof/>
            <w:webHidden/>
          </w:rPr>
          <w:tab/>
        </w:r>
        <w:r>
          <w:rPr>
            <w:noProof/>
            <w:webHidden/>
          </w:rPr>
          <w:fldChar w:fldCharType="begin"/>
        </w:r>
        <w:r>
          <w:rPr>
            <w:noProof/>
            <w:webHidden/>
          </w:rPr>
          <w:instrText xml:space="preserve"> PAGEREF _Toc407351582 \h </w:instrText>
        </w:r>
        <w:r>
          <w:rPr>
            <w:noProof/>
            <w:webHidden/>
          </w:rPr>
        </w:r>
        <w:r>
          <w:rPr>
            <w:noProof/>
            <w:webHidden/>
          </w:rPr>
          <w:fldChar w:fldCharType="separate"/>
        </w:r>
        <w:r>
          <w:rPr>
            <w:noProof/>
            <w:webHidden/>
          </w:rPr>
          <w:t>14</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3" w:history="1">
        <w:r w:rsidRPr="00FA2072">
          <w:rPr>
            <w:rStyle w:val="Hyperlink"/>
            <w:noProof/>
          </w:rPr>
          <w:t>3.1</w:t>
        </w:r>
        <w:r>
          <w:rPr>
            <w:rFonts w:eastAsiaTheme="minorEastAsia"/>
            <w:noProof/>
            <w:sz w:val="22"/>
            <w:szCs w:val="22"/>
          </w:rPr>
          <w:tab/>
        </w:r>
        <w:r w:rsidRPr="00FA2072">
          <w:rPr>
            <w:rStyle w:val="Hyperlink"/>
            <w:noProof/>
          </w:rPr>
          <w:t>LandisData</w:t>
        </w:r>
        <w:r>
          <w:rPr>
            <w:noProof/>
            <w:webHidden/>
          </w:rPr>
          <w:tab/>
        </w:r>
        <w:r>
          <w:rPr>
            <w:noProof/>
            <w:webHidden/>
          </w:rPr>
          <w:fldChar w:fldCharType="begin"/>
        </w:r>
        <w:r>
          <w:rPr>
            <w:noProof/>
            <w:webHidden/>
          </w:rPr>
          <w:instrText xml:space="preserve"> PAGEREF _Toc407351583 \h </w:instrText>
        </w:r>
        <w:r>
          <w:rPr>
            <w:noProof/>
            <w:webHidden/>
          </w:rPr>
        </w:r>
        <w:r>
          <w:rPr>
            <w:noProof/>
            <w:webHidden/>
          </w:rPr>
          <w:fldChar w:fldCharType="separate"/>
        </w:r>
        <w:r>
          <w:rPr>
            <w:noProof/>
            <w:webHidden/>
          </w:rPr>
          <w:t>14</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4" w:history="1">
        <w:r w:rsidRPr="00FA2072">
          <w:rPr>
            <w:rStyle w:val="Hyperlink"/>
            <w:noProof/>
          </w:rPr>
          <w:t>3.2</w:t>
        </w:r>
        <w:r>
          <w:rPr>
            <w:rFonts w:eastAsiaTheme="minorEastAsia"/>
            <w:noProof/>
            <w:sz w:val="22"/>
            <w:szCs w:val="22"/>
          </w:rPr>
          <w:tab/>
        </w:r>
        <w:r w:rsidRPr="00FA2072">
          <w:rPr>
            <w:rStyle w:val="Hyperlink"/>
            <w:noProof/>
          </w:rPr>
          <w:t>Insect Name</w:t>
        </w:r>
        <w:r>
          <w:rPr>
            <w:noProof/>
            <w:webHidden/>
          </w:rPr>
          <w:tab/>
        </w:r>
        <w:r>
          <w:rPr>
            <w:noProof/>
            <w:webHidden/>
          </w:rPr>
          <w:fldChar w:fldCharType="begin"/>
        </w:r>
        <w:r>
          <w:rPr>
            <w:noProof/>
            <w:webHidden/>
          </w:rPr>
          <w:instrText xml:space="preserve"> PAGEREF _Toc407351584 \h </w:instrText>
        </w:r>
        <w:r>
          <w:rPr>
            <w:noProof/>
            <w:webHidden/>
          </w:rPr>
        </w:r>
        <w:r>
          <w:rPr>
            <w:noProof/>
            <w:webHidden/>
          </w:rPr>
          <w:fldChar w:fldCharType="separate"/>
        </w:r>
        <w:r>
          <w:rPr>
            <w:noProof/>
            <w:webHidden/>
          </w:rPr>
          <w:t>14</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5" w:history="1">
        <w:r w:rsidRPr="00FA2072">
          <w:rPr>
            <w:rStyle w:val="Hyperlink"/>
            <w:noProof/>
          </w:rPr>
          <w:t>3.3</w:t>
        </w:r>
        <w:r>
          <w:rPr>
            <w:rFonts w:eastAsiaTheme="minorEastAsia"/>
            <w:noProof/>
            <w:sz w:val="22"/>
            <w:szCs w:val="22"/>
          </w:rPr>
          <w:tab/>
        </w:r>
        <w:r w:rsidRPr="00FA2072">
          <w:rPr>
            <w:rStyle w:val="Hyperlink"/>
            <w:noProof/>
          </w:rPr>
          <w:t>Temporal Pattern Parameter Inputs</w:t>
        </w:r>
        <w:r>
          <w:rPr>
            <w:noProof/>
            <w:webHidden/>
          </w:rPr>
          <w:tab/>
        </w:r>
        <w:r>
          <w:rPr>
            <w:noProof/>
            <w:webHidden/>
          </w:rPr>
          <w:fldChar w:fldCharType="begin"/>
        </w:r>
        <w:r>
          <w:rPr>
            <w:noProof/>
            <w:webHidden/>
          </w:rPr>
          <w:instrText xml:space="preserve"> PAGEREF _Toc407351585 \h </w:instrText>
        </w:r>
        <w:r>
          <w:rPr>
            <w:noProof/>
            <w:webHidden/>
          </w:rPr>
        </w:r>
        <w:r>
          <w:rPr>
            <w:noProof/>
            <w:webHidden/>
          </w:rPr>
          <w:fldChar w:fldCharType="separate"/>
        </w:r>
        <w:r>
          <w:rPr>
            <w:noProof/>
            <w:webHidden/>
          </w:rPr>
          <w:t>14</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86" w:history="1">
        <w:r w:rsidRPr="00FA2072">
          <w:rPr>
            <w:rStyle w:val="Hyperlink"/>
            <w:noProof/>
          </w:rPr>
          <w:t>3.3.1</w:t>
        </w:r>
        <w:r>
          <w:rPr>
            <w:rFonts w:eastAsiaTheme="minorEastAsia"/>
            <w:i w:val="0"/>
            <w:iCs w:val="0"/>
            <w:noProof/>
            <w:sz w:val="22"/>
            <w:szCs w:val="22"/>
          </w:rPr>
          <w:tab/>
        </w:r>
        <w:r w:rsidRPr="00FA2072">
          <w:rPr>
            <w:rStyle w:val="Hyperlink"/>
            <w:noProof/>
          </w:rPr>
          <w:t>Mean Duration and Standard Deviation</w:t>
        </w:r>
        <w:r>
          <w:rPr>
            <w:noProof/>
            <w:webHidden/>
          </w:rPr>
          <w:tab/>
        </w:r>
        <w:r>
          <w:rPr>
            <w:noProof/>
            <w:webHidden/>
          </w:rPr>
          <w:fldChar w:fldCharType="begin"/>
        </w:r>
        <w:r>
          <w:rPr>
            <w:noProof/>
            <w:webHidden/>
          </w:rPr>
          <w:instrText xml:space="preserve"> PAGEREF _Toc407351586 \h </w:instrText>
        </w:r>
        <w:r>
          <w:rPr>
            <w:noProof/>
            <w:webHidden/>
          </w:rPr>
        </w:r>
        <w:r>
          <w:rPr>
            <w:noProof/>
            <w:webHidden/>
          </w:rPr>
          <w:fldChar w:fldCharType="separate"/>
        </w:r>
        <w:r>
          <w:rPr>
            <w:noProof/>
            <w:webHidden/>
          </w:rPr>
          <w:t>14</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87" w:history="1">
        <w:r w:rsidRPr="00FA2072">
          <w:rPr>
            <w:rStyle w:val="Hyperlink"/>
            <w:noProof/>
          </w:rPr>
          <w:t>3.3.2</w:t>
        </w:r>
        <w:r>
          <w:rPr>
            <w:rFonts w:eastAsiaTheme="minorEastAsia"/>
            <w:i w:val="0"/>
            <w:iCs w:val="0"/>
            <w:noProof/>
            <w:sz w:val="22"/>
            <w:szCs w:val="22"/>
          </w:rPr>
          <w:tab/>
        </w:r>
        <w:r w:rsidRPr="00FA2072">
          <w:rPr>
            <w:rStyle w:val="Hyperlink"/>
            <w:noProof/>
          </w:rPr>
          <w:t>Mean Time Between Outbreaks and Standard Deviation</w:t>
        </w:r>
        <w:r>
          <w:rPr>
            <w:noProof/>
            <w:webHidden/>
          </w:rPr>
          <w:tab/>
        </w:r>
        <w:r>
          <w:rPr>
            <w:noProof/>
            <w:webHidden/>
          </w:rPr>
          <w:fldChar w:fldCharType="begin"/>
        </w:r>
        <w:r>
          <w:rPr>
            <w:noProof/>
            <w:webHidden/>
          </w:rPr>
          <w:instrText xml:space="preserve"> PAGEREF _Toc407351587 \h </w:instrText>
        </w:r>
        <w:r>
          <w:rPr>
            <w:noProof/>
            <w:webHidden/>
          </w:rPr>
        </w:r>
        <w:r>
          <w:rPr>
            <w:noProof/>
            <w:webHidden/>
          </w:rPr>
          <w:fldChar w:fldCharType="separate"/>
        </w:r>
        <w:r>
          <w:rPr>
            <w:noProof/>
            <w:webHidden/>
          </w:rPr>
          <w:t>14</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8" w:history="1">
        <w:r w:rsidRPr="00FA2072">
          <w:rPr>
            <w:rStyle w:val="Hyperlink"/>
            <w:noProof/>
          </w:rPr>
          <w:t>3.4</w:t>
        </w:r>
        <w:r>
          <w:rPr>
            <w:rFonts w:eastAsiaTheme="minorEastAsia"/>
            <w:noProof/>
            <w:sz w:val="22"/>
            <w:szCs w:val="22"/>
          </w:rPr>
          <w:tab/>
        </w:r>
        <w:r w:rsidRPr="00FA2072">
          <w:rPr>
            <w:rStyle w:val="Hyperlink"/>
            <w:noProof/>
          </w:rPr>
          <w:t>Neighborhood Size</w:t>
        </w:r>
        <w:r>
          <w:rPr>
            <w:noProof/>
            <w:webHidden/>
          </w:rPr>
          <w:tab/>
        </w:r>
        <w:r>
          <w:rPr>
            <w:noProof/>
            <w:webHidden/>
          </w:rPr>
          <w:fldChar w:fldCharType="begin"/>
        </w:r>
        <w:r>
          <w:rPr>
            <w:noProof/>
            <w:webHidden/>
          </w:rPr>
          <w:instrText xml:space="preserve"> PAGEREF _Toc407351588 \h </w:instrText>
        </w:r>
        <w:r>
          <w:rPr>
            <w:noProof/>
            <w:webHidden/>
          </w:rPr>
        </w:r>
        <w:r>
          <w:rPr>
            <w:noProof/>
            <w:webHidden/>
          </w:rPr>
          <w:fldChar w:fldCharType="separate"/>
        </w:r>
        <w:r>
          <w:rPr>
            <w:noProof/>
            <w:webHidden/>
          </w:rPr>
          <w:t>15</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89" w:history="1">
        <w:r w:rsidRPr="00FA2072">
          <w:rPr>
            <w:rStyle w:val="Hyperlink"/>
            <w:noProof/>
          </w:rPr>
          <w:t>3.5</w:t>
        </w:r>
        <w:r>
          <w:rPr>
            <w:rFonts w:eastAsiaTheme="minorEastAsia"/>
            <w:noProof/>
            <w:sz w:val="22"/>
            <w:szCs w:val="22"/>
          </w:rPr>
          <w:tab/>
        </w:r>
        <w:r w:rsidRPr="00FA2072">
          <w:rPr>
            <w:rStyle w:val="Hyperlink"/>
            <w:noProof/>
          </w:rPr>
          <w:t>Spatial Pattern Parameter Inputs</w:t>
        </w:r>
        <w:r>
          <w:rPr>
            <w:noProof/>
            <w:webHidden/>
          </w:rPr>
          <w:tab/>
        </w:r>
        <w:r>
          <w:rPr>
            <w:noProof/>
            <w:webHidden/>
          </w:rPr>
          <w:fldChar w:fldCharType="begin"/>
        </w:r>
        <w:r>
          <w:rPr>
            <w:noProof/>
            <w:webHidden/>
          </w:rPr>
          <w:instrText xml:space="preserve"> PAGEREF _Toc407351589 \h </w:instrText>
        </w:r>
        <w:r>
          <w:rPr>
            <w:noProof/>
            <w:webHidden/>
          </w:rPr>
        </w:r>
        <w:r>
          <w:rPr>
            <w:noProof/>
            <w:webHidden/>
          </w:rPr>
          <w:fldChar w:fldCharType="separate"/>
        </w:r>
        <w:r>
          <w:rPr>
            <w:noProof/>
            <w:webHidden/>
          </w:rPr>
          <w:t>15</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0" w:history="1">
        <w:r w:rsidRPr="00FA2072">
          <w:rPr>
            <w:rStyle w:val="Hyperlink"/>
            <w:noProof/>
          </w:rPr>
          <w:t>3.5.1</w:t>
        </w:r>
        <w:r>
          <w:rPr>
            <w:rFonts w:eastAsiaTheme="minorEastAsia"/>
            <w:i w:val="0"/>
            <w:iCs w:val="0"/>
            <w:noProof/>
            <w:sz w:val="22"/>
            <w:szCs w:val="22"/>
          </w:rPr>
          <w:tab/>
        </w:r>
        <w:r w:rsidRPr="00FA2072">
          <w:rPr>
            <w:rStyle w:val="Hyperlink"/>
            <w:noProof/>
          </w:rPr>
          <w:t>Initial Patch Shape Calibrator</w:t>
        </w:r>
        <w:r>
          <w:rPr>
            <w:noProof/>
            <w:webHidden/>
          </w:rPr>
          <w:tab/>
        </w:r>
        <w:r>
          <w:rPr>
            <w:noProof/>
            <w:webHidden/>
          </w:rPr>
          <w:fldChar w:fldCharType="begin"/>
        </w:r>
        <w:r>
          <w:rPr>
            <w:noProof/>
            <w:webHidden/>
          </w:rPr>
          <w:instrText xml:space="preserve"> PAGEREF _Toc407351590 \h </w:instrText>
        </w:r>
        <w:r>
          <w:rPr>
            <w:noProof/>
            <w:webHidden/>
          </w:rPr>
        </w:r>
        <w:r>
          <w:rPr>
            <w:noProof/>
            <w:webHidden/>
          </w:rPr>
          <w:fldChar w:fldCharType="separate"/>
        </w:r>
        <w:r>
          <w:rPr>
            <w:noProof/>
            <w:webHidden/>
          </w:rPr>
          <w:t>15</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1" w:history="1">
        <w:r w:rsidRPr="00FA2072">
          <w:rPr>
            <w:rStyle w:val="Hyperlink"/>
            <w:noProof/>
          </w:rPr>
          <w:t>3.5.2</w:t>
        </w:r>
        <w:r>
          <w:rPr>
            <w:rFonts w:eastAsiaTheme="minorEastAsia"/>
            <w:i w:val="0"/>
            <w:iCs w:val="0"/>
            <w:noProof/>
            <w:sz w:val="22"/>
            <w:szCs w:val="22"/>
          </w:rPr>
          <w:tab/>
        </w:r>
        <w:r w:rsidRPr="00FA2072">
          <w:rPr>
            <w:rStyle w:val="Hyperlink"/>
            <w:noProof/>
          </w:rPr>
          <w:t>Initial Patch Outbreak Sensitivity</w:t>
        </w:r>
        <w:r>
          <w:rPr>
            <w:noProof/>
            <w:webHidden/>
          </w:rPr>
          <w:tab/>
        </w:r>
        <w:r>
          <w:rPr>
            <w:noProof/>
            <w:webHidden/>
          </w:rPr>
          <w:fldChar w:fldCharType="begin"/>
        </w:r>
        <w:r>
          <w:rPr>
            <w:noProof/>
            <w:webHidden/>
          </w:rPr>
          <w:instrText xml:space="preserve"> PAGEREF _Toc407351591 \h </w:instrText>
        </w:r>
        <w:r>
          <w:rPr>
            <w:noProof/>
            <w:webHidden/>
          </w:rPr>
        </w:r>
        <w:r>
          <w:rPr>
            <w:noProof/>
            <w:webHidden/>
          </w:rPr>
          <w:fldChar w:fldCharType="separate"/>
        </w:r>
        <w:r>
          <w:rPr>
            <w:noProof/>
            <w:webHidden/>
          </w:rPr>
          <w:t>16</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2" w:history="1">
        <w:r w:rsidRPr="00FA2072">
          <w:rPr>
            <w:rStyle w:val="Hyperlink"/>
            <w:noProof/>
          </w:rPr>
          <w:t>3.5.3</w:t>
        </w:r>
        <w:r>
          <w:rPr>
            <w:rFonts w:eastAsiaTheme="minorEastAsia"/>
            <w:i w:val="0"/>
            <w:iCs w:val="0"/>
            <w:noProof/>
            <w:sz w:val="22"/>
            <w:szCs w:val="22"/>
          </w:rPr>
          <w:tab/>
        </w:r>
        <w:r w:rsidRPr="00FA2072">
          <w:rPr>
            <w:rStyle w:val="Hyperlink"/>
            <w:noProof/>
          </w:rPr>
          <w:t>Initial Patch Distribution</w:t>
        </w:r>
        <w:r>
          <w:rPr>
            <w:noProof/>
            <w:webHidden/>
          </w:rPr>
          <w:tab/>
        </w:r>
        <w:r>
          <w:rPr>
            <w:noProof/>
            <w:webHidden/>
          </w:rPr>
          <w:fldChar w:fldCharType="begin"/>
        </w:r>
        <w:r>
          <w:rPr>
            <w:noProof/>
            <w:webHidden/>
          </w:rPr>
          <w:instrText xml:space="preserve"> PAGEREF _Toc407351592 \h </w:instrText>
        </w:r>
        <w:r>
          <w:rPr>
            <w:noProof/>
            <w:webHidden/>
          </w:rPr>
        </w:r>
        <w:r>
          <w:rPr>
            <w:noProof/>
            <w:webHidden/>
          </w:rPr>
          <w:fldChar w:fldCharType="separate"/>
        </w:r>
        <w:r>
          <w:rPr>
            <w:noProof/>
            <w:webHidden/>
          </w:rPr>
          <w:t>16</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3" w:history="1">
        <w:r w:rsidRPr="00FA2072">
          <w:rPr>
            <w:rStyle w:val="Hyperlink"/>
            <w:noProof/>
          </w:rPr>
          <w:t>3.5.4</w:t>
        </w:r>
        <w:r>
          <w:rPr>
            <w:rFonts w:eastAsiaTheme="minorEastAsia"/>
            <w:i w:val="0"/>
            <w:iCs w:val="0"/>
            <w:noProof/>
            <w:sz w:val="22"/>
            <w:szCs w:val="22"/>
          </w:rPr>
          <w:tab/>
        </w:r>
        <w:r w:rsidRPr="00FA2072">
          <w:rPr>
            <w:rStyle w:val="Hyperlink"/>
            <w:noProof/>
          </w:rPr>
          <w:t>InitialPatchValue1</w:t>
        </w:r>
        <w:r>
          <w:rPr>
            <w:noProof/>
            <w:webHidden/>
          </w:rPr>
          <w:tab/>
        </w:r>
        <w:r>
          <w:rPr>
            <w:noProof/>
            <w:webHidden/>
          </w:rPr>
          <w:fldChar w:fldCharType="begin"/>
        </w:r>
        <w:r>
          <w:rPr>
            <w:noProof/>
            <w:webHidden/>
          </w:rPr>
          <w:instrText xml:space="preserve"> PAGEREF _Toc407351593 \h </w:instrText>
        </w:r>
        <w:r>
          <w:rPr>
            <w:noProof/>
            <w:webHidden/>
          </w:rPr>
        </w:r>
        <w:r>
          <w:rPr>
            <w:noProof/>
            <w:webHidden/>
          </w:rPr>
          <w:fldChar w:fldCharType="separate"/>
        </w:r>
        <w:r>
          <w:rPr>
            <w:noProof/>
            <w:webHidden/>
          </w:rPr>
          <w:t>17</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4" w:history="1">
        <w:r w:rsidRPr="00FA2072">
          <w:rPr>
            <w:rStyle w:val="Hyperlink"/>
            <w:noProof/>
          </w:rPr>
          <w:t>3.5.5</w:t>
        </w:r>
        <w:r>
          <w:rPr>
            <w:rFonts w:eastAsiaTheme="minorEastAsia"/>
            <w:i w:val="0"/>
            <w:iCs w:val="0"/>
            <w:noProof/>
            <w:sz w:val="22"/>
            <w:szCs w:val="22"/>
          </w:rPr>
          <w:tab/>
        </w:r>
        <w:r w:rsidRPr="00FA2072">
          <w:rPr>
            <w:rStyle w:val="Hyperlink"/>
            <w:noProof/>
          </w:rPr>
          <w:t>InitialPatchValue2</w:t>
        </w:r>
        <w:r>
          <w:rPr>
            <w:noProof/>
            <w:webHidden/>
          </w:rPr>
          <w:tab/>
        </w:r>
        <w:r>
          <w:rPr>
            <w:noProof/>
            <w:webHidden/>
          </w:rPr>
          <w:fldChar w:fldCharType="begin"/>
        </w:r>
        <w:r>
          <w:rPr>
            <w:noProof/>
            <w:webHidden/>
          </w:rPr>
          <w:instrText xml:space="preserve"> PAGEREF _Toc407351594 \h </w:instrText>
        </w:r>
        <w:r>
          <w:rPr>
            <w:noProof/>
            <w:webHidden/>
          </w:rPr>
        </w:r>
        <w:r>
          <w:rPr>
            <w:noProof/>
            <w:webHidden/>
          </w:rPr>
          <w:fldChar w:fldCharType="separate"/>
        </w:r>
        <w:r>
          <w:rPr>
            <w:noProof/>
            <w:webHidden/>
          </w:rPr>
          <w:t>17</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595" w:history="1">
        <w:r w:rsidRPr="00FA2072">
          <w:rPr>
            <w:rStyle w:val="Hyperlink"/>
            <w:noProof/>
          </w:rPr>
          <w:t>3.6</w:t>
        </w:r>
        <w:r>
          <w:rPr>
            <w:rFonts w:eastAsiaTheme="minorEastAsia"/>
            <w:noProof/>
            <w:sz w:val="22"/>
            <w:szCs w:val="22"/>
          </w:rPr>
          <w:tab/>
        </w:r>
        <w:r w:rsidRPr="00FA2072">
          <w:rPr>
            <w:rStyle w:val="Hyperlink"/>
            <w:noProof/>
          </w:rPr>
          <w:t>Tree Species Parameters</w:t>
        </w:r>
        <w:r>
          <w:rPr>
            <w:noProof/>
            <w:webHidden/>
          </w:rPr>
          <w:tab/>
        </w:r>
        <w:r>
          <w:rPr>
            <w:noProof/>
            <w:webHidden/>
          </w:rPr>
          <w:fldChar w:fldCharType="begin"/>
        </w:r>
        <w:r>
          <w:rPr>
            <w:noProof/>
            <w:webHidden/>
          </w:rPr>
          <w:instrText xml:space="preserve"> PAGEREF _Toc407351595 \h </w:instrText>
        </w:r>
        <w:r>
          <w:rPr>
            <w:noProof/>
            <w:webHidden/>
          </w:rPr>
        </w:r>
        <w:r>
          <w:rPr>
            <w:noProof/>
            <w:webHidden/>
          </w:rPr>
          <w:fldChar w:fldCharType="separate"/>
        </w:r>
        <w:r>
          <w:rPr>
            <w:noProof/>
            <w:webHidden/>
          </w:rPr>
          <w:t>17</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6" w:history="1">
        <w:r w:rsidRPr="00FA2072">
          <w:rPr>
            <w:rStyle w:val="Hyperlink"/>
            <w:noProof/>
          </w:rPr>
          <w:t>3.6.1</w:t>
        </w:r>
        <w:r>
          <w:rPr>
            <w:rFonts w:eastAsiaTheme="minorEastAsia"/>
            <w:i w:val="0"/>
            <w:iCs w:val="0"/>
            <w:noProof/>
            <w:sz w:val="22"/>
            <w:szCs w:val="22"/>
          </w:rPr>
          <w:tab/>
        </w:r>
        <w:r w:rsidRPr="00FA2072">
          <w:rPr>
            <w:rStyle w:val="Hyperlink"/>
            <w:noProof/>
          </w:rPr>
          <w:t>MortalityEstimate</w:t>
        </w:r>
        <w:r>
          <w:rPr>
            <w:noProof/>
            <w:webHidden/>
          </w:rPr>
          <w:tab/>
        </w:r>
        <w:r>
          <w:rPr>
            <w:noProof/>
            <w:webHidden/>
          </w:rPr>
          <w:fldChar w:fldCharType="begin"/>
        </w:r>
        <w:r>
          <w:rPr>
            <w:noProof/>
            <w:webHidden/>
          </w:rPr>
          <w:instrText xml:space="preserve"> PAGEREF _Toc407351596 \h </w:instrText>
        </w:r>
        <w:r>
          <w:rPr>
            <w:noProof/>
            <w:webHidden/>
          </w:rPr>
        </w:r>
        <w:r>
          <w:rPr>
            <w:noProof/>
            <w:webHidden/>
          </w:rPr>
          <w:fldChar w:fldCharType="separate"/>
        </w:r>
        <w:r>
          <w:rPr>
            <w:noProof/>
            <w:webHidden/>
          </w:rPr>
          <w:t>17</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7" w:history="1">
        <w:r w:rsidRPr="00FA2072">
          <w:rPr>
            <w:rStyle w:val="Hyperlink"/>
            <w:noProof/>
          </w:rPr>
          <w:t>3.6.2</w:t>
        </w:r>
        <w:r>
          <w:rPr>
            <w:rFonts w:eastAsiaTheme="minorEastAsia"/>
            <w:i w:val="0"/>
            <w:iCs w:val="0"/>
            <w:noProof/>
            <w:sz w:val="22"/>
            <w:szCs w:val="22"/>
          </w:rPr>
          <w:tab/>
        </w:r>
        <w:r w:rsidRPr="00FA2072">
          <w:rPr>
            <w:rStyle w:val="Hyperlink"/>
            <w:noProof/>
          </w:rPr>
          <w:t>Species Name</w:t>
        </w:r>
        <w:r>
          <w:rPr>
            <w:noProof/>
            <w:webHidden/>
          </w:rPr>
          <w:tab/>
        </w:r>
        <w:r>
          <w:rPr>
            <w:noProof/>
            <w:webHidden/>
          </w:rPr>
          <w:fldChar w:fldCharType="begin"/>
        </w:r>
        <w:r>
          <w:rPr>
            <w:noProof/>
            <w:webHidden/>
          </w:rPr>
          <w:instrText xml:space="preserve"> PAGEREF _Toc407351597 \h </w:instrText>
        </w:r>
        <w:r>
          <w:rPr>
            <w:noProof/>
            <w:webHidden/>
          </w:rPr>
        </w:r>
        <w:r>
          <w:rPr>
            <w:noProof/>
            <w:webHidden/>
          </w:rPr>
          <w:fldChar w:fldCharType="separate"/>
        </w:r>
        <w:r>
          <w:rPr>
            <w:noProof/>
            <w:webHidden/>
          </w:rPr>
          <w:t>18</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8" w:history="1">
        <w:r w:rsidRPr="00FA2072">
          <w:rPr>
            <w:rStyle w:val="Hyperlink"/>
            <w:noProof/>
          </w:rPr>
          <w:t>3.6.3</w:t>
        </w:r>
        <w:r>
          <w:rPr>
            <w:rFonts w:eastAsiaTheme="minorEastAsia"/>
            <w:i w:val="0"/>
            <w:iCs w:val="0"/>
            <w:noProof/>
            <w:sz w:val="22"/>
            <w:szCs w:val="22"/>
          </w:rPr>
          <w:tab/>
        </w:r>
        <w:r w:rsidRPr="00FA2072">
          <w:rPr>
            <w:rStyle w:val="Hyperlink"/>
            <w:noProof/>
          </w:rPr>
          <w:t>Susceptibility Class</w:t>
        </w:r>
        <w:r>
          <w:rPr>
            <w:noProof/>
            <w:webHidden/>
          </w:rPr>
          <w:tab/>
        </w:r>
        <w:r>
          <w:rPr>
            <w:noProof/>
            <w:webHidden/>
          </w:rPr>
          <w:fldChar w:fldCharType="begin"/>
        </w:r>
        <w:r>
          <w:rPr>
            <w:noProof/>
            <w:webHidden/>
          </w:rPr>
          <w:instrText xml:space="preserve"> PAGEREF _Toc407351598 \h </w:instrText>
        </w:r>
        <w:r>
          <w:rPr>
            <w:noProof/>
            <w:webHidden/>
          </w:rPr>
        </w:r>
        <w:r>
          <w:rPr>
            <w:noProof/>
            <w:webHidden/>
          </w:rPr>
          <w:fldChar w:fldCharType="separate"/>
        </w:r>
        <w:r>
          <w:rPr>
            <w:noProof/>
            <w:webHidden/>
          </w:rPr>
          <w:t>18</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599" w:history="1">
        <w:r w:rsidRPr="00FA2072">
          <w:rPr>
            <w:rStyle w:val="Hyperlink"/>
            <w:noProof/>
          </w:rPr>
          <w:t>3.6.4</w:t>
        </w:r>
        <w:r>
          <w:rPr>
            <w:rFonts w:eastAsiaTheme="minorEastAsia"/>
            <w:i w:val="0"/>
            <w:iCs w:val="0"/>
            <w:noProof/>
            <w:sz w:val="22"/>
            <w:szCs w:val="22"/>
          </w:rPr>
          <w:tab/>
        </w:r>
        <w:r w:rsidRPr="00FA2072">
          <w:rPr>
            <w:rStyle w:val="Hyperlink"/>
            <w:noProof/>
          </w:rPr>
          <w:t>Growth Reduction – Slope</w:t>
        </w:r>
        <w:r>
          <w:rPr>
            <w:noProof/>
            <w:webHidden/>
          </w:rPr>
          <w:tab/>
        </w:r>
        <w:r>
          <w:rPr>
            <w:noProof/>
            <w:webHidden/>
          </w:rPr>
          <w:fldChar w:fldCharType="begin"/>
        </w:r>
        <w:r>
          <w:rPr>
            <w:noProof/>
            <w:webHidden/>
          </w:rPr>
          <w:instrText xml:space="preserve"> PAGEREF _Toc407351599 \h </w:instrText>
        </w:r>
        <w:r>
          <w:rPr>
            <w:noProof/>
            <w:webHidden/>
          </w:rPr>
        </w:r>
        <w:r>
          <w:rPr>
            <w:noProof/>
            <w:webHidden/>
          </w:rPr>
          <w:fldChar w:fldCharType="separate"/>
        </w:r>
        <w:r>
          <w:rPr>
            <w:noProof/>
            <w:webHidden/>
          </w:rPr>
          <w:t>18</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0" w:history="1">
        <w:r w:rsidRPr="00FA2072">
          <w:rPr>
            <w:rStyle w:val="Hyperlink"/>
            <w:noProof/>
          </w:rPr>
          <w:t>3.6.5</w:t>
        </w:r>
        <w:r>
          <w:rPr>
            <w:rFonts w:eastAsiaTheme="minorEastAsia"/>
            <w:i w:val="0"/>
            <w:iCs w:val="0"/>
            <w:noProof/>
            <w:sz w:val="22"/>
            <w:szCs w:val="22"/>
          </w:rPr>
          <w:tab/>
        </w:r>
        <w:r w:rsidRPr="00FA2072">
          <w:rPr>
            <w:rStyle w:val="Hyperlink"/>
            <w:noProof/>
          </w:rPr>
          <w:t>Growth Reduction – Intercept</w:t>
        </w:r>
        <w:r>
          <w:rPr>
            <w:noProof/>
            <w:webHidden/>
          </w:rPr>
          <w:tab/>
        </w:r>
        <w:r>
          <w:rPr>
            <w:noProof/>
            <w:webHidden/>
          </w:rPr>
          <w:fldChar w:fldCharType="begin"/>
        </w:r>
        <w:r>
          <w:rPr>
            <w:noProof/>
            <w:webHidden/>
          </w:rPr>
          <w:instrText xml:space="preserve"> PAGEREF _Toc407351600 \h </w:instrText>
        </w:r>
        <w:r>
          <w:rPr>
            <w:noProof/>
            <w:webHidden/>
          </w:rPr>
        </w:r>
        <w:r>
          <w:rPr>
            <w:noProof/>
            <w:webHidden/>
          </w:rPr>
          <w:fldChar w:fldCharType="separate"/>
        </w:r>
        <w:r>
          <w:rPr>
            <w:noProof/>
            <w:webHidden/>
          </w:rPr>
          <w:t>18</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1" w:history="1">
        <w:r w:rsidRPr="00FA2072">
          <w:rPr>
            <w:rStyle w:val="Hyperlink"/>
            <w:noProof/>
          </w:rPr>
          <w:t>3.6.6</w:t>
        </w:r>
        <w:r>
          <w:rPr>
            <w:rFonts w:eastAsiaTheme="minorEastAsia"/>
            <w:i w:val="0"/>
            <w:iCs w:val="0"/>
            <w:noProof/>
            <w:sz w:val="22"/>
            <w:szCs w:val="22"/>
          </w:rPr>
          <w:tab/>
        </w:r>
        <w:r w:rsidRPr="00FA2072">
          <w:rPr>
            <w:rStyle w:val="Hyperlink"/>
            <w:noProof/>
          </w:rPr>
          <w:t>Mortality – Slope</w:t>
        </w:r>
        <w:r>
          <w:rPr>
            <w:noProof/>
            <w:webHidden/>
          </w:rPr>
          <w:tab/>
        </w:r>
        <w:r>
          <w:rPr>
            <w:noProof/>
            <w:webHidden/>
          </w:rPr>
          <w:fldChar w:fldCharType="begin"/>
        </w:r>
        <w:r>
          <w:rPr>
            <w:noProof/>
            <w:webHidden/>
          </w:rPr>
          <w:instrText xml:space="preserve"> PAGEREF _Toc407351601 \h </w:instrText>
        </w:r>
        <w:r>
          <w:rPr>
            <w:noProof/>
            <w:webHidden/>
          </w:rPr>
        </w:r>
        <w:r>
          <w:rPr>
            <w:noProof/>
            <w:webHidden/>
          </w:rPr>
          <w:fldChar w:fldCharType="separate"/>
        </w:r>
        <w:r>
          <w:rPr>
            <w:noProof/>
            <w:webHidden/>
          </w:rPr>
          <w:t>18</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2" w:history="1">
        <w:r w:rsidRPr="00FA2072">
          <w:rPr>
            <w:rStyle w:val="Hyperlink"/>
            <w:noProof/>
          </w:rPr>
          <w:t>3.6.7</w:t>
        </w:r>
        <w:r>
          <w:rPr>
            <w:rFonts w:eastAsiaTheme="minorEastAsia"/>
            <w:i w:val="0"/>
            <w:iCs w:val="0"/>
            <w:noProof/>
            <w:sz w:val="22"/>
            <w:szCs w:val="22"/>
          </w:rPr>
          <w:tab/>
        </w:r>
        <w:r w:rsidRPr="00FA2072">
          <w:rPr>
            <w:rStyle w:val="Hyperlink"/>
            <w:noProof/>
          </w:rPr>
          <w:t>Mortality - Intercept</w:t>
        </w:r>
        <w:r>
          <w:rPr>
            <w:noProof/>
            <w:webHidden/>
          </w:rPr>
          <w:tab/>
        </w:r>
        <w:r>
          <w:rPr>
            <w:noProof/>
            <w:webHidden/>
          </w:rPr>
          <w:fldChar w:fldCharType="begin"/>
        </w:r>
        <w:r>
          <w:rPr>
            <w:noProof/>
            <w:webHidden/>
          </w:rPr>
          <w:instrText xml:space="preserve"> PAGEREF _Toc407351602 \h </w:instrText>
        </w:r>
        <w:r>
          <w:rPr>
            <w:noProof/>
            <w:webHidden/>
          </w:rPr>
        </w:r>
        <w:r>
          <w:rPr>
            <w:noProof/>
            <w:webHidden/>
          </w:rPr>
          <w:fldChar w:fldCharType="separate"/>
        </w:r>
        <w:r>
          <w:rPr>
            <w:noProof/>
            <w:webHidden/>
          </w:rPr>
          <w:t>19</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603" w:history="1">
        <w:r w:rsidRPr="00FA2072">
          <w:rPr>
            <w:rStyle w:val="Hyperlink"/>
            <w:noProof/>
          </w:rPr>
          <w:t>3.7</w:t>
        </w:r>
        <w:r>
          <w:rPr>
            <w:rFonts w:eastAsiaTheme="minorEastAsia"/>
            <w:noProof/>
            <w:sz w:val="22"/>
            <w:szCs w:val="22"/>
          </w:rPr>
          <w:tab/>
        </w:r>
        <w:r w:rsidRPr="00FA2072">
          <w:rPr>
            <w:rStyle w:val="Hyperlink"/>
            <w:noProof/>
          </w:rPr>
          <w:t>Susceptibility Class Defoliation Table</w:t>
        </w:r>
        <w:r>
          <w:rPr>
            <w:noProof/>
            <w:webHidden/>
          </w:rPr>
          <w:tab/>
        </w:r>
        <w:r>
          <w:rPr>
            <w:noProof/>
            <w:webHidden/>
          </w:rPr>
          <w:fldChar w:fldCharType="begin"/>
        </w:r>
        <w:r>
          <w:rPr>
            <w:noProof/>
            <w:webHidden/>
          </w:rPr>
          <w:instrText xml:space="preserve"> PAGEREF _Toc407351603 \h </w:instrText>
        </w:r>
        <w:r>
          <w:rPr>
            <w:noProof/>
            <w:webHidden/>
          </w:rPr>
        </w:r>
        <w:r>
          <w:rPr>
            <w:noProof/>
            <w:webHidden/>
          </w:rPr>
          <w:fldChar w:fldCharType="separate"/>
        </w:r>
        <w:r>
          <w:rPr>
            <w:noProof/>
            <w:webHidden/>
          </w:rPr>
          <w:t>19</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4" w:history="1">
        <w:r w:rsidRPr="00FA2072">
          <w:rPr>
            <w:rStyle w:val="Hyperlink"/>
            <w:noProof/>
          </w:rPr>
          <w:t>3.7.1</w:t>
        </w:r>
        <w:r>
          <w:rPr>
            <w:rFonts w:eastAsiaTheme="minorEastAsia"/>
            <w:i w:val="0"/>
            <w:iCs w:val="0"/>
            <w:noProof/>
            <w:sz w:val="22"/>
            <w:szCs w:val="22"/>
          </w:rPr>
          <w:tab/>
        </w:r>
        <w:r w:rsidRPr="00FA2072">
          <w:rPr>
            <w:rStyle w:val="Hyperlink"/>
            <w:noProof/>
          </w:rPr>
          <w:t>Susceptibility Class</w:t>
        </w:r>
        <w:r>
          <w:rPr>
            <w:noProof/>
            <w:webHidden/>
          </w:rPr>
          <w:tab/>
        </w:r>
        <w:r>
          <w:rPr>
            <w:noProof/>
            <w:webHidden/>
          </w:rPr>
          <w:fldChar w:fldCharType="begin"/>
        </w:r>
        <w:r>
          <w:rPr>
            <w:noProof/>
            <w:webHidden/>
          </w:rPr>
          <w:instrText xml:space="preserve"> PAGEREF _Toc407351604 \h </w:instrText>
        </w:r>
        <w:r>
          <w:rPr>
            <w:noProof/>
            <w:webHidden/>
          </w:rPr>
        </w:r>
        <w:r>
          <w:rPr>
            <w:noProof/>
            <w:webHidden/>
          </w:rPr>
          <w:fldChar w:fldCharType="separate"/>
        </w:r>
        <w:r>
          <w:rPr>
            <w:noProof/>
            <w:webHidden/>
          </w:rPr>
          <w:t>20</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5" w:history="1">
        <w:r w:rsidRPr="00FA2072">
          <w:rPr>
            <w:rStyle w:val="Hyperlink"/>
            <w:noProof/>
          </w:rPr>
          <w:t>3.7.2</w:t>
        </w:r>
        <w:r>
          <w:rPr>
            <w:rFonts w:eastAsiaTheme="minorEastAsia"/>
            <w:i w:val="0"/>
            <w:iCs w:val="0"/>
            <w:noProof/>
            <w:sz w:val="22"/>
            <w:szCs w:val="22"/>
          </w:rPr>
          <w:tab/>
        </w:r>
        <w:r w:rsidRPr="00FA2072">
          <w:rPr>
            <w:rStyle w:val="Hyperlink"/>
            <w:noProof/>
          </w:rPr>
          <w:t>Distribution:  Dist80, Dist60, Dist40, Dist20, Dist0</w:t>
        </w:r>
        <w:r>
          <w:rPr>
            <w:noProof/>
            <w:webHidden/>
          </w:rPr>
          <w:tab/>
        </w:r>
        <w:r>
          <w:rPr>
            <w:noProof/>
            <w:webHidden/>
          </w:rPr>
          <w:fldChar w:fldCharType="begin"/>
        </w:r>
        <w:r>
          <w:rPr>
            <w:noProof/>
            <w:webHidden/>
          </w:rPr>
          <w:instrText xml:space="preserve"> PAGEREF _Toc407351605 \h </w:instrText>
        </w:r>
        <w:r>
          <w:rPr>
            <w:noProof/>
            <w:webHidden/>
          </w:rPr>
        </w:r>
        <w:r>
          <w:rPr>
            <w:noProof/>
            <w:webHidden/>
          </w:rPr>
          <w:fldChar w:fldCharType="separate"/>
        </w:r>
        <w:r>
          <w:rPr>
            <w:noProof/>
            <w:webHidden/>
          </w:rPr>
          <w:t>20</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6" w:history="1">
        <w:r w:rsidRPr="00FA2072">
          <w:rPr>
            <w:rStyle w:val="Hyperlink"/>
            <w:noProof/>
          </w:rPr>
          <w:t>3.7.3</w:t>
        </w:r>
        <w:r>
          <w:rPr>
            <w:rFonts w:eastAsiaTheme="minorEastAsia"/>
            <w:i w:val="0"/>
            <w:iCs w:val="0"/>
            <w:noProof/>
            <w:sz w:val="22"/>
            <w:szCs w:val="22"/>
          </w:rPr>
          <w:tab/>
        </w:r>
        <w:r w:rsidRPr="00FA2072">
          <w:rPr>
            <w:rStyle w:val="Hyperlink"/>
            <w:noProof/>
          </w:rPr>
          <w:t>Value 1:  S1_80, S1_60, S1_40, S1_20, S1_0</w:t>
        </w:r>
        <w:r>
          <w:rPr>
            <w:noProof/>
            <w:webHidden/>
          </w:rPr>
          <w:tab/>
        </w:r>
        <w:r>
          <w:rPr>
            <w:noProof/>
            <w:webHidden/>
          </w:rPr>
          <w:fldChar w:fldCharType="begin"/>
        </w:r>
        <w:r>
          <w:rPr>
            <w:noProof/>
            <w:webHidden/>
          </w:rPr>
          <w:instrText xml:space="preserve"> PAGEREF _Toc407351606 \h </w:instrText>
        </w:r>
        <w:r>
          <w:rPr>
            <w:noProof/>
            <w:webHidden/>
          </w:rPr>
        </w:r>
        <w:r>
          <w:rPr>
            <w:noProof/>
            <w:webHidden/>
          </w:rPr>
          <w:fldChar w:fldCharType="separate"/>
        </w:r>
        <w:r>
          <w:rPr>
            <w:noProof/>
            <w:webHidden/>
          </w:rPr>
          <w:t>21</w:t>
        </w:r>
        <w:r>
          <w:rPr>
            <w:noProof/>
            <w:webHidden/>
          </w:rPr>
          <w:fldChar w:fldCharType="end"/>
        </w:r>
      </w:hyperlink>
    </w:p>
    <w:p w:rsidR="00D321EB" w:rsidRDefault="00D321EB" w:rsidP="00D321EB">
      <w:pPr>
        <w:pStyle w:val="TOC3"/>
        <w:tabs>
          <w:tab w:val="left" w:pos="1200"/>
          <w:tab w:val="right" w:leader="dot" w:pos="8976"/>
        </w:tabs>
        <w:spacing w:after="0" w:line="240" w:lineRule="auto"/>
        <w:rPr>
          <w:rFonts w:eastAsiaTheme="minorEastAsia"/>
          <w:i w:val="0"/>
          <w:iCs w:val="0"/>
          <w:noProof/>
          <w:sz w:val="22"/>
          <w:szCs w:val="22"/>
        </w:rPr>
      </w:pPr>
      <w:hyperlink w:anchor="_Toc407351607" w:history="1">
        <w:r w:rsidRPr="00FA2072">
          <w:rPr>
            <w:rStyle w:val="Hyperlink"/>
            <w:noProof/>
          </w:rPr>
          <w:t>3.7.4</w:t>
        </w:r>
        <w:r>
          <w:rPr>
            <w:rFonts w:eastAsiaTheme="minorEastAsia"/>
            <w:i w:val="0"/>
            <w:iCs w:val="0"/>
            <w:noProof/>
            <w:sz w:val="22"/>
            <w:szCs w:val="22"/>
          </w:rPr>
          <w:tab/>
        </w:r>
        <w:r w:rsidRPr="00FA2072">
          <w:rPr>
            <w:rStyle w:val="Hyperlink"/>
            <w:noProof/>
          </w:rPr>
          <w:t>Value 2:  S2_80, S2_60, S2_40, S2_20, S2_0</w:t>
        </w:r>
        <w:r>
          <w:rPr>
            <w:noProof/>
            <w:webHidden/>
          </w:rPr>
          <w:tab/>
        </w:r>
        <w:r>
          <w:rPr>
            <w:noProof/>
            <w:webHidden/>
          </w:rPr>
          <w:fldChar w:fldCharType="begin"/>
        </w:r>
        <w:r>
          <w:rPr>
            <w:noProof/>
            <w:webHidden/>
          </w:rPr>
          <w:instrText xml:space="preserve"> PAGEREF _Toc407351607 \h </w:instrText>
        </w:r>
        <w:r>
          <w:rPr>
            <w:noProof/>
            <w:webHidden/>
          </w:rPr>
        </w:r>
        <w:r>
          <w:rPr>
            <w:noProof/>
            <w:webHidden/>
          </w:rPr>
          <w:fldChar w:fldCharType="separate"/>
        </w:r>
        <w:r>
          <w:rPr>
            <w:noProof/>
            <w:webHidden/>
          </w:rPr>
          <w:t>21</w:t>
        </w:r>
        <w:r>
          <w:rPr>
            <w:noProof/>
            <w:webHidden/>
          </w:rPr>
          <w:fldChar w:fldCharType="end"/>
        </w:r>
      </w:hyperlink>
    </w:p>
    <w:p w:rsidR="00D321EB" w:rsidRDefault="00D321EB" w:rsidP="00D321EB">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07351608" w:history="1">
        <w:r w:rsidRPr="00FA2072">
          <w:rPr>
            <w:rStyle w:val="Hyperlink"/>
            <w:noProof/>
          </w:rPr>
          <w:t>4</w:t>
        </w:r>
        <w:r>
          <w:rPr>
            <w:rFonts w:eastAsiaTheme="minorEastAsia"/>
            <w:b w:val="0"/>
            <w:bCs w:val="0"/>
            <w:caps w:val="0"/>
            <w:noProof/>
            <w:sz w:val="22"/>
            <w:szCs w:val="22"/>
          </w:rPr>
          <w:tab/>
        </w:r>
        <w:r w:rsidRPr="00FA2072">
          <w:rPr>
            <w:rStyle w:val="Hyperlink"/>
            <w:noProof/>
          </w:rPr>
          <w:t>Output Files</w:t>
        </w:r>
        <w:r>
          <w:rPr>
            <w:noProof/>
            <w:webHidden/>
          </w:rPr>
          <w:tab/>
        </w:r>
        <w:r>
          <w:rPr>
            <w:noProof/>
            <w:webHidden/>
          </w:rPr>
          <w:fldChar w:fldCharType="begin"/>
        </w:r>
        <w:r>
          <w:rPr>
            <w:noProof/>
            <w:webHidden/>
          </w:rPr>
          <w:instrText xml:space="preserve"> PAGEREF _Toc407351608 \h </w:instrText>
        </w:r>
        <w:r>
          <w:rPr>
            <w:noProof/>
            <w:webHidden/>
          </w:rPr>
        </w:r>
        <w:r>
          <w:rPr>
            <w:noProof/>
            <w:webHidden/>
          </w:rPr>
          <w:fldChar w:fldCharType="separate"/>
        </w:r>
        <w:r>
          <w:rPr>
            <w:noProof/>
            <w:webHidden/>
          </w:rPr>
          <w:t>22</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609" w:history="1">
        <w:r w:rsidRPr="00FA2072">
          <w:rPr>
            <w:rStyle w:val="Hyperlink"/>
            <w:noProof/>
          </w:rPr>
          <w:t>4.1</w:t>
        </w:r>
        <w:r>
          <w:rPr>
            <w:rFonts w:eastAsiaTheme="minorEastAsia"/>
            <w:noProof/>
            <w:sz w:val="22"/>
            <w:szCs w:val="22"/>
          </w:rPr>
          <w:tab/>
        </w:r>
        <w:r w:rsidRPr="00FA2072">
          <w:rPr>
            <w:rStyle w:val="Hyperlink"/>
            <w:noProof/>
          </w:rPr>
          <w:t>Output Maps</w:t>
        </w:r>
        <w:r>
          <w:rPr>
            <w:noProof/>
            <w:webHidden/>
          </w:rPr>
          <w:tab/>
        </w:r>
        <w:r>
          <w:rPr>
            <w:noProof/>
            <w:webHidden/>
          </w:rPr>
          <w:fldChar w:fldCharType="begin"/>
        </w:r>
        <w:r>
          <w:rPr>
            <w:noProof/>
            <w:webHidden/>
          </w:rPr>
          <w:instrText xml:space="preserve"> PAGEREF _Toc407351609 \h </w:instrText>
        </w:r>
        <w:r>
          <w:rPr>
            <w:noProof/>
            <w:webHidden/>
          </w:rPr>
        </w:r>
        <w:r>
          <w:rPr>
            <w:noProof/>
            <w:webHidden/>
          </w:rPr>
          <w:fldChar w:fldCharType="separate"/>
        </w:r>
        <w:r>
          <w:rPr>
            <w:noProof/>
            <w:webHidden/>
          </w:rPr>
          <w:t>22</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610" w:history="1">
        <w:r w:rsidRPr="00FA2072">
          <w:rPr>
            <w:rStyle w:val="Hyperlink"/>
            <w:noProof/>
          </w:rPr>
          <w:t>4.2</w:t>
        </w:r>
        <w:r>
          <w:rPr>
            <w:rFonts w:eastAsiaTheme="minorEastAsia"/>
            <w:noProof/>
            <w:sz w:val="22"/>
            <w:szCs w:val="22"/>
          </w:rPr>
          <w:tab/>
        </w:r>
        <w:r w:rsidRPr="00FA2072">
          <w:rPr>
            <w:rStyle w:val="Hyperlink"/>
            <w:noProof/>
          </w:rPr>
          <w:t>Log File</w:t>
        </w:r>
        <w:r>
          <w:rPr>
            <w:noProof/>
            <w:webHidden/>
          </w:rPr>
          <w:tab/>
        </w:r>
        <w:r>
          <w:rPr>
            <w:noProof/>
            <w:webHidden/>
          </w:rPr>
          <w:fldChar w:fldCharType="begin"/>
        </w:r>
        <w:r>
          <w:rPr>
            <w:noProof/>
            <w:webHidden/>
          </w:rPr>
          <w:instrText xml:space="preserve"> PAGEREF _Toc407351610 \h </w:instrText>
        </w:r>
        <w:r>
          <w:rPr>
            <w:noProof/>
            <w:webHidden/>
          </w:rPr>
        </w:r>
        <w:r>
          <w:rPr>
            <w:noProof/>
            <w:webHidden/>
          </w:rPr>
          <w:fldChar w:fldCharType="separate"/>
        </w:r>
        <w:r>
          <w:rPr>
            <w:noProof/>
            <w:webHidden/>
          </w:rPr>
          <w:t>22</w:t>
        </w:r>
        <w:r>
          <w:rPr>
            <w:noProof/>
            <w:webHidden/>
          </w:rPr>
          <w:fldChar w:fldCharType="end"/>
        </w:r>
      </w:hyperlink>
    </w:p>
    <w:p w:rsidR="00D321EB" w:rsidRDefault="00D321EB" w:rsidP="00D321EB">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07351611" w:history="1">
        <w:r w:rsidRPr="00FA2072">
          <w:rPr>
            <w:rStyle w:val="Hyperlink"/>
            <w:noProof/>
          </w:rPr>
          <w:t>5</w:t>
        </w:r>
        <w:r>
          <w:rPr>
            <w:rFonts w:eastAsiaTheme="minorEastAsia"/>
            <w:b w:val="0"/>
            <w:bCs w:val="0"/>
            <w:caps w:val="0"/>
            <w:noProof/>
            <w:sz w:val="22"/>
            <w:szCs w:val="22"/>
          </w:rPr>
          <w:tab/>
        </w:r>
        <w:r w:rsidRPr="00FA2072">
          <w:rPr>
            <w:rStyle w:val="Hyperlink"/>
            <w:noProof/>
          </w:rPr>
          <w:t>Example File</w:t>
        </w:r>
        <w:r>
          <w:rPr>
            <w:noProof/>
            <w:webHidden/>
          </w:rPr>
          <w:tab/>
        </w:r>
        <w:r>
          <w:rPr>
            <w:noProof/>
            <w:webHidden/>
          </w:rPr>
          <w:fldChar w:fldCharType="begin"/>
        </w:r>
        <w:r>
          <w:rPr>
            <w:noProof/>
            <w:webHidden/>
          </w:rPr>
          <w:instrText xml:space="preserve"> PAGEREF _Toc407351611 \h </w:instrText>
        </w:r>
        <w:r>
          <w:rPr>
            <w:noProof/>
            <w:webHidden/>
          </w:rPr>
        </w:r>
        <w:r>
          <w:rPr>
            <w:noProof/>
            <w:webHidden/>
          </w:rPr>
          <w:fldChar w:fldCharType="separate"/>
        </w:r>
        <w:r>
          <w:rPr>
            <w:noProof/>
            <w:webHidden/>
          </w:rPr>
          <w:t>24</w:t>
        </w:r>
        <w:r>
          <w:rPr>
            <w:noProof/>
            <w:webHidden/>
          </w:rPr>
          <w:fldChar w:fldCharType="end"/>
        </w:r>
      </w:hyperlink>
    </w:p>
    <w:p w:rsidR="00D321EB" w:rsidRDefault="00D321EB" w:rsidP="00D321EB">
      <w:pPr>
        <w:pStyle w:val="TOC2"/>
        <w:tabs>
          <w:tab w:val="left" w:pos="720"/>
          <w:tab w:val="right" w:leader="dot" w:pos="8976"/>
        </w:tabs>
        <w:spacing w:after="0" w:line="240" w:lineRule="auto"/>
        <w:rPr>
          <w:rFonts w:eastAsiaTheme="minorEastAsia"/>
          <w:noProof/>
          <w:sz w:val="22"/>
          <w:szCs w:val="22"/>
        </w:rPr>
      </w:pPr>
      <w:hyperlink w:anchor="_Toc407351612" w:history="1">
        <w:r w:rsidRPr="00FA2072">
          <w:rPr>
            <w:rStyle w:val="Hyperlink"/>
            <w:noProof/>
          </w:rPr>
          <w:t>5.1</w:t>
        </w:r>
        <w:r>
          <w:rPr>
            <w:rFonts w:eastAsiaTheme="minorEastAsia"/>
            <w:noProof/>
            <w:sz w:val="22"/>
            <w:szCs w:val="22"/>
          </w:rPr>
          <w:tab/>
        </w:r>
        <w:r w:rsidRPr="00FA2072">
          <w:rPr>
            <w:rStyle w:val="Hyperlink"/>
            <w:noProof/>
          </w:rPr>
          <w:t>Primary Input File</w:t>
        </w:r>
        <w:r>
          <w:rPr>
            <w:noProof/>
            <w:webHidden/>
          </w:rPr>
          <w:tab/>
        </w:r>
        <w:r>
          <w:rPr>
            <w:noProof/>
            <w:webHidden/>
          </w:rPr>
          <w:fldChar w:fldCharType="begin"/>
        </w:r>
        <w:r>
          <w:rPr>
            <w:noProof/>
            <w:webHidden/>
          </w:rPr>
          <w:instrText xml:space="preserve"> PAGEREF _Toc407351612 \h </w:instrText>
        </w:r>
        <w:r>
          <w:rPr>
            <w:noProof/>
            <w:webHidden/>
          </w:rPr>
        </w:r>
        <w:r>
          <w:rPr>
            <w:noProof/>
            <w:webHidden/>
          </w:rPr>
          <w:fldChar w:fldCharType="separate"/>
        </w:r>
        <w:r>
          <w:rPr>
            <w:noProof/>
            <w:webHidden/>
          </w:rPr>
          <w:t>24</w:t>
        </w:r>
        <w:r>
          <w:rPr>
            <w:noProof/>
            <w:webHidden/>
          </w:rPr>
          <w:fldChar w:fldCharType="end"/>
        </w:r>
      </w:hyperlink>
    </w:p>
    <w:p w:rsidR="00D321EB" w:rsidRDefault="00D321EB">
      <w:pPr>
        <w:pStyle w:val="TOC2"/>
        <w:tabs>
          <w:tab w:val="left" w:pos="720"/>
          <w:tab w:val="right" w:leader="dot" w:pos="8976"/>
        </w:tabs>
        <w:rPr>
          <w:rFonts w:eastAsiaTheme="minorEastAsia"/>
          <w:noProof/>
          <w:sz w:val="22"/>
          <w:szCs w:val="22"/>
        </w:rPr>
      </w:pPr>
      <w:hyperlink w:anchor="_Toc407351613" w:history="1">
        <w:r w:rsidRPr="00FA2072">
          <w:rPr>
            <w:rStyle w:val="Hyperlink"/>
            <w:noProof/>
          </w:rPr>
          <w:t>5.2</w:t>
        </w:r>
        <w:r>
          <w:rPr>
            <w:rFonts w:eastAsiaTheme="minorEastAsia"/>
            <w:noProof/>
            <w:sz w:val="22"/>
            <w:szCs w:val="22"/>
          </w:rPr>
          <w:tab/>
        </w:r>
        <w:r w:rsidRPr="00FA2072">
          <w:rPr>
            <w:rStyle w:val="Hyperlink"/>
            <w:noProof/>
          </w:rPr>
          <w:t>Insect Input File(s)</w:t>
        </w:r>
        <w:r>
          <w:rPr>
            <w:noProof/>
            <w:webHidden/>
          </w:rPr>
          <w:tab/>
        </w:r>
        <w:r>
          <w:rPr>
            <w:noProof/>
            <w:webHidden/>
          </w:rPr>
          <w:fldChar w:fldCharType="begin"/>
        </w:r>
        <w:r>
          <w:rPr>
            <w:noProof/>
            <w:webHidden/>
          </w:rPr>
          <w:instrText xml:space="preserve"> PAGEREF _Toc407351613 \h </w:instrText>
        </w:r>
        <w:r>
          <w:rPr>
            <w:noProof/>
            <w:webHidden/>
          </w:rPr>
        </w:r>
        <w:r>
          <w:rPr>
            <w:noProof/>
            <w:webHidden/>
          </w:rPr>
          <w:fldChar w:fldCharType="separate"/>
        </w:r>
        <w:r>
          <w:rPr>
            <w:noProof/>
            <w:webHidden/>
          </w:rPr>
          <w:t>24</w:t>
        </w:r>
        <w:r>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bookmarkStart w:id="1" w:name="_GoBack"/>
      <w:bookmarkEnd w:id="1"/>
    </w:p>
    <w:p w:rsidR="004645F2" w:rsidRDefault="004645F2">
      <w:pPr>
        <w:pStyle w:val="Heading1"/>
      </w:pPr>
      <w:bookmarkStart w:id="2" w:name="_Toc102232953"/>
      <w:bookmarkStart w:id="3" w:name="_Toc407351564"/>
      <w:r>
        <w:lastRenderedPageBreak/>
        <w:t>Introduction</w:t>
      </w:r>
      <w:bookmarkEnd w:id="0"/>
      <w:bookmarkEnd w:id="2"/>
      <w:bookmarkEnd w:id="3"/>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4" w:name="_Toc133386203"/>
      <w:bookmarkStart w:id="5"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 xml:space="preserve">(Scheller and </w:t>
      </w:r>
      <w:proofErr w:type="spellStart"/>
      <w:r w:rsidRPr="007B7E5A">
        <w:rPr>
          <w:rFonts w:ascii="Times New Roman" w:hAnsi="Times New Roman" w:cs="Times New Roman"/>
          <w:sz w:val="24"/>
          <w:szCs w:val="24"/>
        </w:rPr>
        <w:t>Mladenoff</w:t>
      </w:r>
      <w:proofErr w:type="spellEnd"/>
      <w:r w:rsidRPr="007B7E5A">
        <w:rPr>
          <w:rFonts w:ascii="Times New Roman" w:hAnsi="Times New Roman" w:cs="Times New Roman"/>
          <w:sz w:val="24"/>
          <w:szCs w:val="24"/>
        </w:rPr>
        <w:t xml:space="preserve">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6" w:name="_Toc407351565"/>
      <w:bookmarkEnd w:id="4"/>
      <w:bookmarkEnd w:id="5"/>
      <w:r>
        <w:t xml:space="preserve">Outbreak </w:t>
      </w:r>
      <w:r w:rsidR="00C146B7">
        <w:t>Temporal Patterns</w:t>
      </w:r>
      <w:bookmarkEnd w:id="6"/>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60B30195" wp14:editId="4E508FB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03A5359F" wp14:editId="7406D0B4">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7" w:name="_Toc407351566"/>
      <w:r>
        <w:t>Defoliation</w:t>
      </w:r>
      <w:bookmarkEnd w:id="7"/>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8" w:name="_Toc407351567"/>
      <w:r>
        <w:t>Defoliation</w:t>
      </w:r>
      <w:r w:rsidR="00675542">
        <w:t>:</w:t>
      </w:r>
      <w:r>
        <w:t xml:space="preserve"> Outbreak Initiation</w:t>
      </w:r>
      <w:r w:rsidR="00675542">
        <w:t xml:space="preserve"> and Spread</w:t>
      </w:r>
      <w:bookmarkEnd w:id="8"/>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5346C9">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144CBD1F" wp14:editId="5F001285">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0D3645D" wp14:editId="68BE1AC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 level defoliation is then calculated as the biomass 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lastRenderedPageBreak/>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9" w:name="_Toc407351568"/>
      <w:r>
        <w:t>Growth Reduction</w:t>
      </w:r>
      <w:bookmarkEnd w:id="9"/>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601619B6" wp14:editId="4AE537A7">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0" w:name="_Ref350413041"/>
      <w:bookmarkStart w:id="11" w:name="_Ref350417421"/>
      <w:bookmarkStart w:id="12" w:name="_Ref350417511"/>
      <w:bookmarkStart w:id="13" w:name="_Toc102232956"/>
      <w:bookmarkStart w:id="14" w:name="_Toc407351569"/>
      <w:r>
        <w:lastRenderedPageBreak/>
        <w:t>Mortality</w:t>
      </w:r>
      <w:bookmarkEnd w:id="10"/>
      <w:bookmarkEnd w:id="11"/>
      <w:bookmarkEnd w:id="12"/>
      <w:bookmarkEnd w:id="14"/>
    </w:p>
    <w:bookmarkEnd w:id="13"/>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m:t>
          </m:r>
          <m:r>
            <w:rPr>
              <w:rFonts w:ascii="Cambria Math" w:hAnsi="Cambria Math"/>
              <w:sz w:val="24"/>
              <w:szCs w:val="24"/>
            </w:rPr>
            <m:t>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15" w:name="_Toc407351570"/>
      <w:r>
        <w:lastRenderedPageBreak/>
        <w:t>References</w:t>
      </w:r>
      <w:bookmarkEnd w:id="15"/>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 xml:space="preserve">Foster, J.R., Townsend, P.A., </w:t>
      </w:r>
      <w:proofErr w:type="spellStart"/>
      <w:r>
        <w:rPr>
          <w:rFonts w:cstheme="minorHAnsi"/>
          <w:sz w:val="24"/>
          <w:szCs w:val="24"/>
        </w:rPr>
        <w:t>Mladenoff</w:t>
      </w:r>
      <w:proofErr w:type="spellEnd"/>
      <w:r>
        <w:rPr>
          <w:rFonts w:cstheme="minorHAnsi"/>
          <w:sz w:val="24"/>
          <w:szCs w:val="24"/>
        </w:rPr>
        <w:t xml:space="preserve">, D.J. (In Review) Spatial dynamics of a gypsy moth defoliation outbreak and dependence on habitat characteristics. </w:t>
      </w:r>
      <w:proofErr w:type="gramStart"/>
      <w:r>
        <w:rPr>
          <w:rFonts w:cstheme="minorHAnsi"/>
          <w:sz w:val="24"/>
          <w:szCs w:val="24"/>
        </w:rPr>
        <w:t>Landscape Ecology.</w:t>
      </w:r>
      <w:proofErr w:type="gramEnd"/>
    </w:p>
    <w:p w:rsidR="009D60DD" w:rsidRDefault="009D60DD" w:rsidP="009D60DD">
      <w:pPr>
        <w:pStyle w:val="reference"/>
        <w:rPr>
          <w:rFonts w:cstheme="minorHAnsi"/>
          <w:sz w:val="24"/>
          <w:szCs w:val="24"/>
        </w:rPr>
      </w:pPr>
      <w:proofErr w:type="gramStart"/>
      <w:r w:rsidRPr="009D60DD">
        <w:rPr>
          <w:rFonts w:cstheme="minorHAnsi"/>
          <w:sz w:val="24"/>
          <w:szCs w:val="24"/>
        </w:rPr>
        <w:t>Scheller,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gramStart"/>
      <w:r w:rsidRPr="009D60DD">
        <w:rPr>
          <w:sz w:val="24"/>
          <w:szCs w:val="24"/>
        </w:rPr>
        <w:t>Scheller,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gramStart"/>
      <w:r w:rsidRPr="009D60DD">
        <w:rPr>
          <w:rFonts w:eastAsia="Times New Roman" w:cstheme="minorHAnsi"/>
          <w:sz w:val="24"/>
          <w:szCs w:val="24"/>
        </w:rPr>
        <w:t xml:space="preserve">Scheller,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application. Ecological Modelling 180,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Ecological Modelling.</w:t>
      </w:r>
      <w:proofErr w:type="gramEnd"/>
      <w:r w:rsidRPr="009D60DD">
        <w:rPr>
          <w:rFonts w:cstheme="minorHAnsi"/>
          <w:sz w:val="24"/>
          <w:szCs w:val="24"/>
        </w:rPr>
        <w:t xml:space="preserve"> 180: 153-174.</w:t>
      </w:r>
    </w:p>
    <w:p w:rsidR="00E207E9" w:rsidRDefault="00E207E9" w:rsidP="00E207E9">
      <w:pPr>
        <w:pStyle w:val="Heading2"/>
        <w:tabs>
          <w:tab w:val="left" w:pos="748"/>
          <w:tab w:val="left" w:pos="7854"/>
          <w:tab w:val="left" w:pos="8602"/>
        </w:tabs>
        <w:ind w:right="945"/>
      </w:pPr>
      <w:bookmarkStart w:id="16" w:name="_Toc407351571"/>
      <w:r>
        <w:t>Major Releases</w:t>
      </w:r>
      <w:bookmarkEnd w:id="16"/>
    </w:p>
    <w:p w:rsidR="00E207E9" w:rsidRDefault="00E207E9" w:rsidP="00E207E9">
      <w:pPr>
        <w:pStyle w:val="Heading3"/>
        <w:tabs>
          <w:tab w:val="left" w:pos="748"/>
          <w:tab w:val="left" w:pos="7854"/>
          <w:tab w:val="left" w:pos="8602"/>
        </w:tabs>
        <w:ind w:left="720" w:right="945" w:hanging="720"/>
      </w:pPr>
      <w:bookmarkStart w:id="17" w:name="_Toc407351572"/>
      <w:r>
        <w:t>Version 2.0</w:t>
      </w:r>
      <w:bookmarkEnd w:id="17"/>
    </w:p>
    <w:p w:rsidR="00E207E9" w:rsidRDefault="00E207E9" w:rsidP="00E207E9">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E207E9" w:rsidRDefault="00E207E9" w:rsidP="00E207E9">
      <w:pPr>
        <w:pStyle w:val="Heading3"/>
        <w:ind w:left="720" w:hanging="720"/>
        <w:rPr>
          <w:sz w:val="24"/>
          <w:szCs w:val="24"/>
        </w:rPr>
      </w:pPr>
      <w:bookmarkStart w:id="18" w:name="_Toc407351573"/>
      <w:r>
        <w:rPr>
          <w:sz w:val="24"/>
          <w:szCs w:val="24"/>
        </w:rPr>
        <w:t>Version 1.0</w:t>
      </w:r>
      <w:bookmarkEnd w:id="18"/>
    </w:p>
    <w:p w:rsidR="00E207E9" w:rsidRPr="001B087C" w:rsidRDefault="00E207E9" w:rsidP="00E207E9">
      <w:pPr>
        <w:pStyle w:val="textbody"/>
        <w:rPr>
          <w:sz w:val="24"/>
          <w:szCs w:val="24"/>
        </w:rPr>
      </w:pPr>
      <w:r w:rsidRPr="001B087C">
        <w:rPr>
          <w:sz w:val="24"/>
          <w:szCs w:val="24"/>
        </w:rPr>
        <w:t>The original version of this extension was compatible with LANDIS-II v5.1.</w:t>
      </w:r>
    </w:p>
    <w:p w:rsidR="00E207E9" w:rsidRDefault="00E207E9" w:rsidP="00E207E9">
      <w:pPr>
        <w:pStyle w:val="Heading2"/>
        <w:tabs>
          <w:tab w:val="left" w:pos="748"/>
          <w:tab w:val="left" w:pos="7854"/>
          <w:tab w:val="left" w:pos="8602"/>
        </w:tabs>
        <w:ind w:right="945"/>
      </w:pPr>
      <w:bookmarkStart w:id="19" w:name="_Toc407351574"/>
      <w:r>
        <w:lastRenderedPageBreak/>
        <w:t>Minor Releases</w:t>
      </w:r>
      <w:bookmarkEnd w:id="19"/>
    </w:p>
    <w:p w:rsidR="004645F2" w:rsidRDefault="004645F2" w:rsidP="00D929B0">
      <w:pPr>
        <w:pStyle w:val="Heading2"/>
        <w:ind w:right="945"/>
      </w:pPr>
      <w:bookmarkStart w:id="20" w:name="_Toc407351575"/>
      <w:r>
        <w:t>Acknowledgements</w:t>
      </w:r>
      <w:bookmarkEnd w:id="20"/>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1" w:name="_Toc102232959"/>
      <w:bookmarkStart w:id="22" w:name="_Toc407351576"/>
      <w:r>
        <w:lastRenderedPageBreak/>
        <w:t xml:space="preserve">Primary </w:t>
      </w:r>
      <w:r w:rsidR="004645F2">
        <w:t>Input File</w:t>
      </w:r>
      <w:bookmarkEnd w:id="21"/>
      <w:bookmarkEnd w:id="22"/>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3" w:name="_Toc112235332"/>
      <w:bookmarkStart w:id="24" w:name="_Toc133386213"/>
      <w:bookmarkStart w:id="25" w:name="_Toc133907148"/>
      <w:bookmarkStart w:id="26" w:name="_Toc407351577"/>
      <w:proofErr w:type="spellStart"/>
      <w:r>
        <w:t>LandisData</w:t>
      </w:r>
      <w:bookmarkEnd w:id="23"/>
      <w:bookmarkEnd w:id="24"/>
      <w:bookmarkEnd w:id="25"/>
      <w:bookmarkEnd w:id="26"/>
      <w:proofErr w:type="spellEnd"/>
    </w:p>
    <w:p w:rsidR="00D32FF2" w:rsidRPr="007B7E5A" w:rsidRDefault="00BB77CC" w:rsidP="00D32FF2">
      <w:pPr>
        <w:pStyle w:val="textbody"/>
        <w:rPr>
          <w:rFonts w:ascii="Times New Roman" w:hAnsi="Times New Roman" w:cs="Times New Roman"/>
          <w:sz w:val="24"/>
          <w:szCs w:val="24"/>
        </w:rPr>
      </w:pPr>
      <w:bookmarkStart w:id="27" w:name="_Toc112235333"/>
      <w:bookmarkStart w:id="28" w:name="_Toc133386214"/>
      <w:bookmarkStart w:id="29"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0" w:name="_Toc133907170"/>
      <w:bookmarkStart w:id="31" w:name="_Toc102232960"/>
      <w:bookmarkStart w:id="32" w:name="_Toc407351578"/>
      <w:bookmarkEnd w:id="27"/>
      <w:bookmarkEnd w:id="28"/>
      <w:bookmarkEnd w:id="29"/>
      <w:proofErr w:type="spellStart"/>
      <w:r>
        <w:t>Timestep</w:t>
      </w:r>
      <w:bookmarkEnd w:id="32"/>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3" w:name="_Toc407351579"/>
      <w:r>
        <w:t xml:space="preserve">Output </w:t>
      </w:r>
      <w:r w:rsidR="004645F2">
        <w:t>Map</w:t>
      </w:r>
      <w:bookmarkEnd w:id="30"/>
      <w:r w:rsidR="00E02B28">
        <w:t>s</w:t>
      </w:r>
      <w:bookmarkEnd w:id="33"/>
    </w:p>
    <w:p w:rsidR="00E02B28" w:rsidRDefault="00B44EB0" w:rsidP="00E02B28">
      <w:pPr>
        <w:pStyle w:val="textbody"/>
        <w:rPr>
          <w:rFonts w:ascii="Times New Roman" w:hAnsi="Times New Roman" w:cs="Times New Roman"/>
          <w:sz w:val="24"/>
          <w:szCs w:val="24"/>
        </w:rPr>
      </w:pPr>
      <w:bookmarkStart w:id="34"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346C9">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35" w:name="_Toc407351580"/>
      <w:r>
        <w:t>Log File</w:t>
      </w:r>
      <w:bookmarkEnd w:id="35"/>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36" w:name="_Toc407351581"/>
      <w:r>
        <w:t>Insect Input File List</w:t>
      </w:r>
      <w:bookmarkEnd w:id="36"/>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37" w:name="_Ref350406593"/>
      <w:bookmarkStart w:id="38" w:name="_Ref350412544"/>
      <w:bookmarkStart w:id="39" w:name="_Toc133386212"/>
      <w:bookmarkStart w:id="40" w:name="_Toc133907147"/>
      <w:bookmarkStart w:id="41" w:name="_Ref133933751"/>
      <w:bookmarkStart w:id="42" w:name="_Toc407351582"/>
      <w:bookmarkEnd w:id="34"/>
      <w:r>
        <w:lastRenderedPageBreak/>
        <w:t>Insect Input File</w:t>
      </w:r>
      <w:bookmarkEnd w:id="37"/>
      <w:bookmarkEnd w:id="38"/>
      <w:bookmarkEnd w:id="42"/>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3" w:name="_Toc407351583"/>
      <w:proofErr w:type="spellStart"/>
      <w:r>
        <w:t>LandisData</w:t>
      </w:r>
      <w:bookmarkEnd w:id="43"/>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44" w:name="_Ref350411449"/>
      <w:bookmarkStart w:id="45" w:name="_Ref350418659"/>
      <w:bookmarkStart w:id="46" w:name="_Toc407351584"/>
      <w:r>
        <w:t>Insect Name</w:t>
      </w:r>
      <w:bookmarkEnd w:id="44"/>
      <w:bookmarkEnd w:id="45"/>
      <w:bookmarkEnd w:id="46"/>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47" w:name="_Toc407351585"/>
      <w:r>
        <w:t>Temporal Pattern</w:t>
      </w:r>
      <w:r w:rsidR="0010227B">
        <w:t xml:space="preserve"> </w:t>
      </w:r>
      <w:r>
        <w:t>Parameter Inputs</w:t>
      </w:r>
      <w:bookmarkEnd w:id="47"/>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48" w:name="_Ref350407023"/>
      <w:bookmarkStart w:id="49" w:name="_Toc407351586"/>
      <w:r w:rsidRPr="007B7E5A">
        <w:rPr>
          <w:sz w:val="24"/>
          <w:szCs w:val="24"/>
        </w:rPr>
        <w:t>Mean Duration</w:t>
      </w:r>
      <w:r w:rsidR="008610B3" w:rsidRPr="007B7E5A">
        <w:rPr>
          <w:sz w:val="24"/>
          <w:szCs w:val="24"/>
        </w:rPr>
        <w:t xml:space="preserve"> and Standard Deviation</w:t>
      </w:r>
      <w:bookmarkEnd w:id="48"/>
      <w:bookmarkEnd w:id="49"/>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50" w:name="_Ref350406968"/>
      <w:bookmarkStart w:id="51" w:name="_Ref350407001"/>
      <w:bookmarkStart w:id="52" w:name="_Toc407351587"/>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0"/>
      <w:bookmarkEnd w:id="51"/>
      <w:bookmarkEnd w:id="52"/>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53" w:name="_Ref350410814"/>
      <w:bookmarkStart w:id="54" w:name="_Toc407351588"/>
      <w:r>
        <w:lastRenderedPageBreak/>
        <w:t>Neighborhood Size</w:t>
      </w:r>
      <w:bookmarkEnd w:id="53"/>
      <w:bookmarkEnd w:id="54"/>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55" w:name="_Toc407351589"/>
      <w:r>
        <w:t>Spatial Pattern Parameter Inputs</w:t>
      </w:r>
      <w:bookmarkEnd w:id="55"/>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56" w:name="_Toc407351590"/>
      <w:r>
        <w:t xml:space="preserve">Initial Patch </w:t>
      </w:r>
      <w:r w:rsidRPr="007B7E5A">
        <w:rPr>
          <w:sz w:val="24"/>
          <w:szCs w:val="24"/>
        </w:rPr>
        <w:t>Shape</w:t>
      </w:r>
      <w:r>
        <w:t xml:space="preserve"> Calibrator</w:t>
      </w:r>
      <w:bookmarkEnd w:id="56"/>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57" w:name="_Toc407351591"/>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57"/>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58" w:name="_Toc407351592"/>
      <w:r w:rsidRPr="00F33064">
        <w:rPr>
          <w:sz w:val="24"/>
          <w:szCs w:val="24"/>
        </w:rPr>
        <w:t>Initial Patch Distribution</w:t>
      </w:r>
      <w:bookmarkEnd w:id="58"/>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in meters. Weibull,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t>Weibull</w:t>
      </w:r>
      <w:r w:rsidRPr="000B4AF9">
        <w:rPr>
          <w:rFonts w:ascii="Courier New" w:hAnsi="Courier New" w:cs="Courier New"/>
          <w:sz w:val="20"/>
          <w:szCs w:val="20"/>
        </w:rPr>
        <w:tab/>
        <w:t>&lt;&lt;Weibull,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59" w:name="_Toc407351593"/>
      <w:r>
        <w:rPr>
          <w:sz w:val="24"/>
          <w:szCs w:val="24"/>
        </w:rPr>
        <w:t>InitialPatchValue</w:t>
      </w:r>
      <w:r w:rsidR="0010227B" w:rsidRPr="00F33064">
        <w:rPr>
          <w:sz w:val="24"/>
          <w:szCs w:val="24"/>
        </w:rPr>
        <w:t>1</w:t>
      </w:r>
      <w:bookmarkEnd w:id="59"/>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0" w:name="_Toc407351594"/>
      <w:r>
        <w:rPr>
          <w:sz w:val="24"/>
          <w:szCs w:val="24"/>
        </w:rPr>
        <w:t>Initial</w:t>
      </w:r>
      <w:r w:rsidR="0010227B" w:rsidRPr="00F33064">
        <w:rPr>
          <w:sz w:val="24"/>
          <w:szCs w:val="24"/>
        </w:rPr>
        <w:t>PatchValue2</w:t>
      </w:r>
      <w:bookmarkEnd w:id="60"/>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Weibull distribution, “Theta” for the Gamma distribution, or “Beta” for the Beta distribution.</w:t>
      </w:r>
    </w:p>
    <w:p w:rsidR="0010227B" w:rsidRDefault="0010227B" w:rsidP="0010227B">
      <w:pPr>
        <w:pStyle w:val="Heading2"/>
      </w:pPr>
      <w:bookmarkStart w:id="61" w:name="_Toc407351595"/>
      <w:r>
        <w:t>Tree Species Parameters</w:t>
      </w:r>
      <w:bookmarkEnd w:id="61"/>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2" w:name="_Toc407351596"/>
      <w:proofErr w:type="spellStart"/>
      <w:r w:rsidRPr="005D7095">
        <w:rPr>
          <w:sz w:val="24"/>
          <w:szCs w:val="24"/>
        </w:rPr>
        <w:t>MortalityEstimate</w:t>
      </w:r>
      <w:bookmarkEnd w:id="62"/>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5346C9">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63" w:name="_Ref350411088"/>
      <w:bookmarkStart w:id="64" w:name="_Toc407351597"/>
      <w:r>
        <w:rPr>
          <w:sz w:val="24"/>
          <w:szCs w:val="24"/>
        </w:rPr>
        <w:t>Species Name</w:t>
      </w:r>
      <w:bookmarkEnd w:id="64"/>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65" w:name="_Ref350417744"/>
      <w:bookmarkStart w:id="66" w:name="_Toc407351598"/>
      <w:r w:rsidRPr="00F33064">
        <w:rPr>
          <w:sz w:val="24"/>
          <w:szCs w:val="24"/>
        </w:rPr>
        <w:t>Susceptibility Class</w:t>
      </w:r>
      <w:bookmarkEnd w:id="63"/>
      <w:bookmarkEnd w:id="65"/>
      <w:bookmarkEnd w:id="66"/>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67" w:name="_Ref350410966"/>
      <w:bookmarkStart w:id="68" w:name="_Toc407351599"/>
      <w:r w:rsidRPr="00F33064">
        <w:rPr>
          <w:sz w:val="24"/>
          <w:szCs w:val="24"/>
        </w:rPr>
        <w:t>Growth Reduction – Slope</w:t>
      </w:r>
      <w:bookmarkEnd w:id="67"/>
      <w:bookmarkEnd w:id="6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69" w:name="_Ref350410971"/>
      <w:bookmarkStart w:id="70" w:name="_Toc407351600"/>
      <w:r w:rsidRPr="00F33064">
        <w:rPr>
          <w:sz w:val="24"/>
          <w:szCs w:val="24"/>
        </w:rPr>
        <w:t>Growth Reduction – Intercept</w:t>
      </w:r>
      <w:bookmarkEnd w:id="69"/>
      <w:bookmarkEnd w:id="70"/>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1" w:name="_Toc407351601"/>
      <w:r w:rsidRPr="00F33064">
        <w:rPr>
          <w:sz w:val="24"/>
          <w:szCs w:val="24"/>
        </w:rPr>
        <w:t>Mortality – Slope</w:t>
      </w:r>
      <w:bookmarkEnd w:id="71"/>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w:t>
      </w:r>
      <w:r w:rsidRPr="00F33064">
        <w:rPr>
          <w:rFonts w:ascii="Times New Roman" w:hAnsi="Times New Roman" w:cs="Times New Roman"/>
          <w:sz w:val="24"/>
          <w:szCs w:val="24"/>
        </w:rPr>
        <w:lastRenderedPageBreak/>
        <w:t xml:space="preserve">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72" w:name="_Toc407351602"/>
      <w:r w:rsidRPr="00F33064">
        <w:rPr>
          <w:sz w:val="24"/>
          <w:szCs w:val="24"/>
        </w:rPr>
        <w:t>Mortality - Intercept</w:t>
      </w:r>
      <w:bookmarkEnd w:id="72"/>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73" w:name="_Ref350419395"/>
      <w:bookmarkStart w:id="74" w:name="_Toc407351603"/>
      <w:r>
        <w:t>Susceptibility</w:t>
      </w:r>
      <w:r w:rsidR="00CD5EAC">
        <w:t xml:space="preserve"> Class</w:t>
      </w:r>
      <w:r w:rsidR="001A7863">
        <w:t xml:space="preserve"> Defoliation</w:t>
      </w:r>
      <w:r w:rsidR="00CD5EAC">
        <w:t xml:space="preserve"> </w:t>
      </w:r>
      <w:r w:rsidR="0010227B">
        <w:t>Table</w:t>
      </w:r>
      <w:bookmarkEnd w:id="73"/>
      <w:bookmarkEnd w:id="74"/>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5694E805" wp14:editId="2995E64D">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75" w:name="_Toc407351604"/>
      <w:r w:rsidRPr="00F33064">
        <w:rPr>
          <w:sz w:val="24"/>
          <w:szCs w:val="24"/>
        </w:rPr>
        <w:t>Susceptibility Class</w:t>
      </w:r>
      <w:bookmarkEnd w:id="75"/>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76" w:name="_Toc407351605"/>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76"/>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77" w:name="_Toc407351606"/>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77"/>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78" w:name="_Toc407351607"/>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78"/>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p>
    <w:p w:rsidR="00C3692C" w:rsidRDefault="00F436C9" w:rsidP="00C3692C">
      <w:pPr>
        <w:pStyle w:val="textbody"/>
      </w:pPr>
      <w:r>
        <w:rPr>
          <w:noProof/>
        </w:rPr>
        <w:drawing>
          <wp:inline distT="0" distB="0" distL="0" distR="0" wp14:anchorId="76B0F3AF" wp14:editId="7D8166FF">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79" w:name="_Toc407351608"/>
      <w:r>
        <w:lastRenderedPageBreak/>
        <w:t>Output Files</w:t>
      </w:r>
      <w:bookmarkEnd w:id="79"/>
    </w:p>
    <w:p w:rsidR="00EA3C81" w:rsidRDefault="00EA3C81" w:rsidP="00EA3C81">
      <w:pPr>
        <w:pStyle w:val="Heading2"/>
      </w:pPr>
      <w:bookmarkStart w:id="80" w:name="_Toc407351609"/>
      <w:r>
        <w:t>Output Maps</w:t>
      </w:r>
      <w:bookmarkEnd w:id="80"/>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1" w:name="_Ref350412494"/>
      <w:bookmarkStart w:id="82" w:name="_Toc407351610"/>
      <w:r>
        <w:t>Log File</w:t>
      </w:r>
      <w:bookmarkEnd w:id="81"/>
      <w:bookmarkEnd w:id="82"/>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5346C9">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83" w:name="_Toc407351611"/>
      <w:r>
        <w:lastRenderedPageBreak/>
        <w:t>Example File</w:t>
      </w:r>
      <w:bookmarkEnd w:id="39"/>
      <w:bookmarkEnd w:id="40"/>
      <w:bookmarkEnd w:id="41"/>
      <w:bookmarkEnd w:id="83"/>
    </w:p>
    <w:p w:rsidR="004A44E5" w:rsidRDefault="004A44E5" w:rsidP="004A44E5">
      <w:pPr>
        <w:pStyle w:val="Heading2"/>
      </w:pPr>
      <w:bookmarkStart w:id="84" w:name="_Toc407351612"/>
      <w:r>
        <w:t>Primary Input File</w:t>
      </w:r>
      <w:bookmarkEnd w:id="84"/>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85" w:name="_Toc407351613"/>
      <w:r>
        <w:t>Insect Input File(s)</w:t>
      </w:r>
      <w:bookmarkEnd w:id="85"/>
    </w:p>
    <w:p w:rsidR="004A44E5" w:rsidRPr="004A44E5" w:rsidRDefault="004A44E5" w:rsidP="004A44E5">
      <w:pPr>
        <w:pStyle w:val="textbody"/>
        <w:spacing w:after="0"/>
        <w:ind w:left="0"/>
      </w:pPr>
    </w:p>
    <w:bookmarkEnd w:id="31"/>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t>Weibull</w:t>
      </w:r>
      <w:r w:rsidRPr="002D150A">
        <w:rPr>
          <w:rFonts w:ascii="Courier New" w:hAnsi="Courier New" w:cs="Courier New"/>
          <w:sz w:val="20"/>
          <w:szCs w:val="20"/>
        </w:rPr>
        <w:tab/>
        <w:t>&lt;&lt;Weibull,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lastRenderedPageBreak/>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CD5EAC" w:rsidP="002D150A">
      <w:pPr>
        <w:pStyle w:val="textbody"/>
        <w:spacing w:after="0"/>
        <w:ind w:left="0" w:right="10"/>
        <w:rPr>
          <w:rFonts w:ascii="Courier New" w:hAnsi="Courier New" w:cs="Courier New"/>
          <w:sz w:val="16"/>
          <w:szCs w:val="16"/>
        </w:rPr>
      </w:pPr>
      <w:r>
        <w:rPr>
          <w:rFonts w:ascii="Courier New" w:hAnsi="Courier New" w:cs="Courier New"/>
          <w:sz w:val="16"/>
          <w:szCs w:val="16"/>
        </w:rPr>
        <w:t>Neighborhood Class Table</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138" w:rsidRDefault="007E6138">
      <w:r>
        <w:separator/>
      </w:r>
    </w:p>
  </w:endnote>
  <w:endnote w:type="continuationSeparator" w:id="0">
    <w:p w:rsidR="007E6138" w:rsidRDefault="007E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321EB">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138" w:rsidRDefault="007E6138">
      <w:r>
        <w:separator/>
      </w:r>
    </w:p>
  </w:footnote>
  <w:footnote w:type="continuationSeparator" w:id="0">
    <w:p w:rsidR="007E6138" w:rsidRDefault="007E6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7E6138">
    <w:pPr>
      <w:pStyle w:val="Header"/>
      <w:tabs>
        <w:tab w:val="clear" w:pos="4320"/>
        <w:tab w:val="clear" w:pos="8640"/>
        <w:tab w:val="center" w:pos="4500"/>
        <w:tab w:val="right" w:pos="9000"/>
      </w:tabs>
    </w:pPr>
    <w:fldSimple w:instr=" DOCPROPERTY  &quot;Extension Name&quot;  \* MERGEFORMAT ">
      <w:r w:rsidR="005346C9">
        <w:t xml:space="preserve">Biomass Insects </w:t>
      </w:r>
    </w:fldSimple>
    <w:r w:rsidR="004E5C3F">
      <w:t xml:space="preserve"> v</w:t>
    </w:r>
    <w:fldSimple w:instr=" DOCPROPERTY  &quot;Extension Version&quot;  \* MERGEFORMAT ">
      <w:r w:rsidR="005346C9">
        <w:t>2.0</w:t>
      </w:r>
    </w:fldSimple>
    <w:r w:rsidR="004E5C3F">
      <w:fldChar w:fldCharType="begin"/>
    </w:r>
    <w:r w:rsidR="004E5C3F">
      <w:instrText xml:space="preserve"> TITLE   \* MERGEFORMAT </w:instrText>
    </w:r>
    <w:r w:rsidR="004E5C3F">
      <w:fldChar w:fldCharType="end"/>
    </w:r>
    <w:r w:rsidR="004E5C3F">
      <w:tab/>
    </w:r>
    <w:r w:rsidR="004E5C3F">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440CA"/>
    <w:rsid w:val="00351E2F"/>
    <w:rsid w:val="003622D0"/>
    <w:rsid w:val="00362B9E"/>
    <w:rsid w:val="00364F3F"/>
    <w:rsid w:val="0038196D"/>
    <w:rsid w:val="00385507"/>
    <w:rsid w:val="003A238D"/>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E59C6"/>
    <w:rsid w:val="004E5C21"/>
    <w:rsid w:val="004E5C3F"/>
    <w:rsid w:val="004E7FEF"/>
    <w:rsid w:val="00520495"/>
    <w:rsid w:val="005346C9"/>
    <w:rsid w:val="00540508"/>
    <w:rsid w:val="00542F56"/>
    <w:rsid w:val="00544E02"/>
    <w:rsid w:val="00550A66"/>
    <w:rsid w:val="00576C4A"/>
    <w:rsid w:val="0059367D"/>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499C"/>
    <w:rsid w:val="00692BA6"/>
    <w:rsid w:val="006B436C"/>
    <w:rsid w:val="006B5DF6"/>
    <w:rsid w:val="006C0A4B"/>
    <w:rsid w:val="006C0D77"/>
    <w:rsid w:val="006D67C6"/>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7C73"/>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7DCF"/>
    <w:rsid w:val="00961D39"/>
    <w:rsid w:val="00966512"/>
    <w:rsid w:val="009A1B07"/>
    <w:rsid w:val="009A650E"/>
    <w:rsid w:val="009B767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190D"/>
    <w:rsid w:val="00D321EB"/>
    <w:rsid w:val="00D32FF2"/>
    <w:rsid w:val="00D338C7"/>
    <w:rsid w:val="00D411DB"/>
    <w:rsid w:val="00D47065"/>
    <w:rsid w:val="00D614BE"/>
    <w:rsid w:val="00D62398"/>
    <w:rsid w:val="00D830DE"/>
    <w:rsid w:val="00D929B0"/>
    <w:rsid w:val="00DB17AB"/>
    <w:rsid w:val="00DE351C"/>
    <w:rsid w:val="00E02B28"/>
    <w:rsid w:val="00E207E9"/>
    <w:rsid w:val="00E3609A"/>
    <w:rsid w:val="00E37949"/>
    <w:rsid w:val="00E434C2"/>
    <w:rsid w:val="00E437FB"/>
    <w:rsid w:val="00E611C8"/>
    <w:rsid w:val="00E86774"/>
    <w:rsid w:val="00EA3C81"/>
    <w:rsid w:val="00EB5E14"/>
    <w:rsid w:val="00EB67D8"/>
    <w:rsid w:val="00EE0EB3"/>
    <w:rsid w:val="00EE54E2"/>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E9"/>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E207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07E9"/>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E9"/>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E207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07E9"/>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4291</Words>
  <Characters>28925</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33150</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7</cp:revision>
  <cp:lastPrinted>2013-03-12T16:48:00Z</cp:lastPrinted>
  <dcterms:created xsi:type="dcterms:W3CDTF">2013-03-08T18:53:00Z</dcterms:created>
  <dcterms:modified xsi:type="dcterms:W3CDTF">2014-12-26T18:04:00Z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