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2A0BD" w14:textId="505BA96F" w:rsidR="00647A06" w:rsidRDefault="00647A06" w:rsidP="009E6B7B">
      <w:pPr>
        <w:pStyle w:val="Heading1"/>
      </w:pPr>
      <w:r>
        <w:t>Philosophy of the scenarios</w:t>
      </w:r>
    </w:p>
    <w:p w14:paraId="2E138F45" w14:textId="2C813A27" w:rsidR="00647A06" w:rsidRPr="00647A06" w:rsidRDefault="00647A06" w:rsidP="00647A06">
      <w:r>
        <w:t>Current Sierra N</w:t>
      </w:r>
      <w:r w:rsidR="00C65E91">
        <w:t>e</w:t>
      </w:r>
      <w:r>
        <w:t xml:space="preserve">vada forests are overstocked </w:t>
      </w:r>
      <w:r>
        <w:fldChar w:fldCharType="begin"/>
      </w:r>
      <w:r>
        <w:instrText xml:space="preserve"> ADDIN ZOTERO_ITEM CSL_CITATION {"citationID":"CN6hyQk9","properties":{"formattedCitation":"(North et al. 2022)","plainCitation":"(North et al. 2022)","noteIndex":0},"citationItems":[{"id":11737,"uris":["http://zotero.org/users/2075268/items/DBJFRZW7"],"itemData":{"id":11737,"type":"article-journal","abstract":"With the increasing frequency and severity of altered disturbance regimes in dry, western U.S. forests, treatments promoting resilience have become a management objective but have been difficult to define or operationalize. Many reconstruction studies of these forests when they had active fire regimes have documented very low tree densities before the onset of fire suppression. Building on ecological theory and recent studies, we suggest that this historic forest structure promoted resilience by minimizing competition which in turn supported vigorous tree growth. To assess these historic conditions for management practices, we calculated a widely-used measure of competition, relative stand density index (SDI), for two extensive historical datasets and compared those to contemporary forest conditions. Between 1911 and 2011, tree densities on average increased by six to seven fold while average tree size was reduced by 50%. Relative SDI for historical forests was 23–28% of maximum, in the ranges considered ‘free of’ (&lt;25%) to ‘low’ competition (25–34%). In contrast, most (82–95%) contemporary stands were in the range of ‘full competition’ (35–59%) or ‘imminent mortality’ (≥60%). Historical relative SDI values suggest that treatments for restoring forest resilience may need to be much more intensive then the current focus on fuels reduction. With the contemporary increase in compounding stresses such as drought, bark beetles, and high-severity wildfire, resilience in frequent-fire forests may hinge on creating stands with signifi­ cantly lower densities and minimal competition. Current management practices often prescribe conditions that maintain full competition to guide development of desired forest conditions. Creating stands largely free of competition would require a fundamental rethinking of how frequent-fire forests can be managed for resilience.","container-title":"Forest Ecology and Management","DOI":"10.1016/j.foreco.2021.120004","ISSN":"03781127","journalAbbreviation":"Forest Ecology and Management","language":"en","page":"120004","source":"DOI.org (Crossref)","title":"Operational resilience in western US frequent-fire forests","volume":"507","author":[{"family":"North","given":"Malcolm P."},{"family":"Tompkins","given":"Ryan E."},{"family":"Bernal","given":"Alexis A."},{"family":"Collins","given":"Brandon M."},{"family":"Stephens","given":"Scott L."},{"family":"York","given":"Robert A."}],"issued":{"date-parts":[["2022",3]]}}}],"schema":"https://github.com/citation-style-language/schema/raw/master/csl-citation.json"} </w:instrText>
      </w:r>
      <w:r>
        <w:fldChar w:fldCharType="separate"/>
      </w:r>
      <w:r w:rsidRPr="00647A06">
        <w:rPr>
          <w:rFonts w:ascii="Calibri" w:hAnsi="Calibri" w:cs="Calibri"/>
        </w:rPr>
        <w:t>(North et al. 2022)</w:t>
      </w:r>
      <w:r>
        <w:fldChar w:fldCharType="end"/>
      </w:r>
      <w:r>
        <w:t xml:space="preserve">, mostly due to the harvesting of large trees and fire suppression, which have allowed stand biomass to increase at the same time that size distributions are shifted towards smaller trees. These stands, well above their equilibrium stand density, are prone to correction by drought, insect outbreaks, and high-severity wildfire. The goal of these treatments is to gently reduce stand density and shift the size-distributions to the right, instead of allowing disturbances to do it for us. With luck, this will reduce the severity of disturbances and reintroduce a sustainable disturbance regime which regulates stand density without catastrophic impacts. </w:t>
      </w:r>
    </w:p>
    <w:p w14:paraId="25AFEE71" w14:textId="13B69B5B" w:rsidR="009E6B7B" w:rsidRDefault="009E6B7B" w:rsidP="009E6B7B">
      <w:pPr>
        <w:pStyle w:val="Heading1"/>
      </w:pPr>
      <w:r>
        <w:t xml:space="preserve">Deriving </w:t>
      </w:r>
      <w:proofErr w:type="spellStart"/>
      <w:r w:rsidR="00AB3892">
        <w:t>Max</w:t>
      </w:r>
      <w:r>
        <w:t>SDI</w:t>
      </w:r>
      <w:proofErr w:type="spellEnd"/>
      <w:r>
        <w:t xml:space="preserve"> </w:t>
      </w:r>
      <w:r w:rsidR="00AB3892">
        <w:t>from FIA data</w:t>
      </w:r>
    </w:p>
    <w:p w14:paraId="482742AA" w14:textId="7EAFF4C4" w:rsidR="002937F7" w:rsidRDefault="002937F7">
      <w:r>
        <w:t>In order to estimate the %</w:t>
      </w:r>
      <w:proofErr w:type="spellStart"/>
      <w:r>
        <w:t>MaxSDI</w:t>
      </w:r>
      <w:proofErr w:type="spellEnd"/>
      <w:r>
        <w:t xml:space="preserve"> for each site within the study area, we derived the </w:t>
      </w:r>
      <w:proofErr w:type="spellStart"/>
      <w:r>
        <w:t>MaxSDI</w:t>
      </w:r>
      <w:proofErr w:type="spellEnd"/>
      <w:r>
        <w:t xml:space="preserve"> for a variety of site types from Forest Inventory and Analysis (FIA) data and LANDFIRE Biophysical Settings (BPS) layers. We constructed density-management diagrams for the FIA data within the Sierra Nevada and used quantile regression to determine the exponent and intercept of the self-thinning line. We then calculated </w:t>
      </w:r>
      <w:proofErr w:type="spellStart"/>
      <w:r>
        <w:t>MaxSDI</w:t>
      </w:r>
      <w:proofErr w:type="spellEnd"/>
      <w:r>
        <w:t xml:space="preserve"> using the equation of the self-thinning line for each BPS, substituting QMD = </w:t>
      </w:r>
      <w:r w:rsidR="00715325">
        <w:t>10 in, using quantile regression (95</w:t>
      </w:r>
      <w:r w:rsidR="00715325" w:rsidRPr="00715325">
        <w:rPr>
          <w:vertAlign w:val="superscript"/>
        </w:rPr>
        <w:t>th</w:t>
      </w:r>
      <w:r w:rsidR="00715325">
        <w:t xml:space="preserve"> percentile)</w:t>
      </w:r>
      <w:r w:rsidR="006C7E55">
        <w:t>; this is the intersection of the self-thinning line with the vertical line at QMD = 10 in. in the density-management diagram (Figure 1)</w:t>
      </w:r>
      <w:r w:rsidR="00715325">
        <w:t>.</w:t>
      </w:r>
      <w:r w:rsidR="000B4504">
        <w:t xml:space="preserve"> The overall self-thinning line for all FIA sites in the Sierra Nevada was log(TPA) = -1.611 log(</w:t>
      </w:r>
      <w:proofErr w:type="spellStart"/>
      <w:r w:rsidR="00C65E91">
        <w:t>D</w:t>
      </w:r>
      <w:r w:rsidR="00C65E91">
        <w:rPr>
          <w:vertAlign w:val="subscript"/>
        </w:rPr>
        <w:t>q</w:t>
      </w:r>
      <w:proofErr w:type="spellEnd"/>
      <w:r w:rsidR="000B4504">
        <w:t xml:space="preserve">) + 4.318. The coefficient for QMD is nearly identical to that of </w:t>
      </w:r>
      <w:proofErr w:type="spellStart"/>
      <w:r w:rsidR="000B4504">
        <w:t>R</w:t>
      </w:r>
      <w:r w:rsidR="00C65E91">
        <w:t>ei</w:t>
      </w:r>
      <w:r w:rsidR="000B4504">
        <w:t>neke</w:t>
      </w:r>
      <w:proofErr w:type="spellEnd"/>
      <w:r w:rsidR="000B4504">
        <w:t xml:space="preserve"> </w:t>
      </w:r>
      <w:r w:rsidR="00C65E91">
        <w:fldChar w:fldCharType="begin"/>
      </w:r>
      <w:r w:rsidR="00C65E91">
        <w:instrText xml:space="preserve"> ADDIN ZOTERO_ITEM CSL_CITATION {"citationID":"Foyc4gYX","properties":{"formattedCitation":"(1933)","plainCitation":"(1933)","noteIndex":0},"citationItems":[{"id":13179,"uris":["http://zotero.org/users/2075268/items/FU73VYTY"],"itemData":{"id":13179,"type":"article-journal","language":"en","source":"Zotero","title":"PERFECTING A STAND-DENSITY INDEX FOR EVEN- AGED FORESTS'","author":[{"family":"Reineke","given":"L H"}],"issued":{"date-parts":[["1933"]]}},"label":"page","suppress-author":true}],"schema":"https://github.com/citation-style-language/schema/raw/master/csl-citation.json"} </w:instrText>
      </w:r>
      <w:r w:rsidR="00C65E91">
        <w:fldChar w:fldCharType="separate"/>
      </w:r>
      <w:r w:rsidR="00C65E91" w:rsidRPr="00C65E91">
        <w:rPr>
          <w:rFonts w:ascii="Calibri" w:hAnsi="Calibri" w:cs="Calibri"/>
        </w:rPr>
        <w:t>(1933)</w:t>
      </w:r>
      <w:r w:rsidR="00C65E91">
        <w:fldChar w:fldCharType="end"/>
      </w:r>
      <w:r w:rsidR="000B4504">
        <w:t xml:space="preserve">, who found an exponent of -1.605, and is similar to the -3/2 self-thinning rule of </w:t>
      </w:r>
      <w:r w:rsidR="00C65E91">
        <w:t xml:space="preserve">Yoda et al. </w:t>
      </w:r>
      <w:r w:rsidR="00C65E91">
        <w:fldChar w:fldCharType="begin"/>
      </w:r>
      <w:r w:rsidR="00C65E91">
        <w:instrText xml:space="preserve"> ADDIN ZOTERO_ITEM CSL_CITATION {"citationID":"MO3FsWXV","properties":{"formattedCitation":"(1963)","plainCitation":"(1963)","noteIndex":0},"citationItems":[{"id":13187,"uris":["http://zotero.org/users/2075268/items/TE88AJGJ"],"itemData":{"id":13187,"type":"article-journal","container-title":"J. Biol. Osaka City Univ. D.","page":"107–129","source":"Google Scholar","title":"Self-thinning in overcrowded pure stands under cultivated and natural conditions (Intraspecific competition among higher plants XI.).","volume":"14","author":[{"family":"Yoda","given":"Kira"}],"issued":{"date-parts":[["1963"]]}},"label":"page","suppress-author":true}],"schema":"https://github.com/citation-style-language/schema/raw/master/csl-citation.json"} </w:instrText>
      </w:r>
      <w:r w:rsidR="00C65E91">
        <w:fldChar w:fldCharType="separate"/>
      </w:r>
      <w:r w:rsidR="00C65E91" w:rsidRPr="00C65E91">
        <w:rPr>
          <w:rFonts w:ascii="Calibri" w:hAnsi="Calibri" w:cs="Calibri"/>
        </w:rPr>
        <w:t>(1963)</w:t>
      </w:r>
      <w:r w:rsidR="00C65E91">
        <w:fldChar w:fldCharType="end"/>
      </w:r>
      <w:r w:rsidR="00C65E91">
        <w:t xml:space="preserve">. </w:t>
      </w:r>
      <w:r w:rsidR="000B4504">
        <w:t xml:space="preserve"> </w:t>
      </w:r>
    </w:p>
    <w:p w14:paraId="2682A5C9" w14:textId="77777777" w:rsidR="00715325" w:rsidRDefault="00715325"/>
    <w:p w14:paraId="6210A58C" w14:textId="77777777" w:rsidR="006C7E55" w:rsidRDefault="00EA0A68" w:rsidP="006C7E55">
      <w:pPr>
        <w:keepNext/>
      </w:pPr>
      <w:r>
        <w:rPr>
          <w:noProof/>
        </w:rPr>
        <w:drawing>
          <wp:inline distT="0" distB="0" distL="0" distR="0" wp14:anchorId="26EE1EEB" wp14:editId="15412C37">
            <wp:extent cx="6762750" cy="3187852"/>
            <wp:effectExtent l="0" t="0" r="0" b="0"/>
            <wp:docPr id="13290980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97282" cy="3204130"/>
                    </a:xfrm>
                    <a:prstGeom prst="rect">
                      <a:avLst/>
                    </a:prstGeom>
                    <a:noFill/>
                  </pic:spPr>
                </pic:pic>
              </a:graphicData>
            </a:graphic>
          </wp:inline>
        </w:drawing>
      </w:r>
    </w:p>
    <w:p w14:paraId="5EACE8EF" w14:textId="4549B356" w:rsidR="00715325" w:rsidRDefault="006C7E55" w:rsidP="006C7E55">
      <w:pPr>
        <w:pStyle w:val="Caption"/>
      </w:pPr>
      <w:r>
        <w:t xml:space="preserve">Figure </w:t>
      </w:r>
      <w:r>
        <w:fldChar w:fldCharType="begin"/>
      </w:r>
      <w:r>
        <w:instrText xml:space="preserve"> SEQ Figure \* ARABIC </w:instrText>
      </w:r>
      <w:r>
        <w:fldChar w:fldCharType="separate"/>
      </w:r>
      <w:r w:rsidR="009E6B7B">
        <w:rPr>
          <w:noProof/>
        </w:rPr>
        <w:t>1</w:t>
      </w:r>
      <w:r>
        <w:fldChar w:fldCharType="end"/>
      </w:r>
      <w:r>
        <w:rPr>
          <w:i w:val="0"/>
          <w:iCs w:val="0"/>
        </w:rPr>
        <w:t xml:space="preserve">. Density-management diagram for the most common biophysical settings </w:t>
      </w:r>
      <w:r w:rsidR="00C65E91">
        <w:rPr>
          <w:i w:val="0"/>
          <w:iCs w:val="0"/>
        </w:rPr>
        <w:t xml:space="preserve">(BPS) </w:t>
      </w:r>
      <w:r>
        <w:rPr>
          <w:i w:val="0"/>
          <w:iCs w:val="0"/>
        </w:rPr>
        <w:t xml:space="preserve">in the Sierra Nevada. Each colored line indicates the self-thinning line (max SDI line) for each BPS. The black lines indicate the self-thinning line for all plots combined </w:t>
      </w:r>
      <w:r>
        <w:rPr>
          <w:i w:val="0"/>
          <w:iCs w:val="0"/>
        </w:rPr>
        <w:lastRenderedPageBreak/>
        <w:t xml:space="preserve">(100% </w:t>
      </w:r>
      <w:proofErr w:type="spellStart"/>
      <w:r>
        <w:rPr>
          <w:i w:val="0"/>
          <w:iCs w:val="0"/>
        </w:rPr>
        <w:t>MaxSDI</w:t>
      </w:r>
      <w:proofErr w:type="spellEnd"/>
      <w:r>
        <w:rPr>
          <w:i w:val="0"/>
          <w:iCs w:val="0"/>
        </w:rPr>
        <w:t xml:space="preserve">), 60% </w:t>
      </w:r>
      <w:proofErr w:type="spellStart"/>
      <w:r>
        <w:rPr>
          <w:i w:val="0"/>
          <w:iCs w:val="0"/>
        </w:rPr>
        <w:t>MaxSDI</w:t>
      </w:r>
      <w:proofErr w:type="spellEnd"/>
      <w:r>
        <w:rPr>
          <w:i w:val="0"/>
          <w:iCs w:val="0"/>
        </w:rPr>
        <w:t xml:space="preserve">, and 35% </w:t>
      </w:r>
      <w:proofErr w:type="spellStart"/>
      <w:r>
        <w:rPr>
          <w:i w:val="0"/>
          <w:iCs w:val="0"/>
        </w:rPr>
        <w:t>MaxSDI</w:t>
      </w:r>
      <w:proofErr w:type="spellEnd"/>
      <w:r>
        <w:rPr>
          <w:i w:val="0"/>
          <w:iCs w:val="0"/>
        </w:rPr>
        <w:t>. Each point represents one FIA plot. The intersection of each line with QMD = 10 in. (vertical line) is the SDI represented by the line.</w:t>
      </w:r>
      <w:r w:rsidR="00B01C18">
        <w:rPr>
          <w:i w:val="0"/>
          <w:iCs w:val="0"/>
        </w:rPr>
        <w:t xml:space="preserve"> All forested plots are included, not only fully-stocked stands.</w:t>
      </w:r>
    </w:p>
    <w:p w14:paraId="65349694" w14:textId="77777777" w:rsidR="00715325" w:rsidRDefault="00715325"/>
    <w:p w14:paraId="07060E3E" w14:textId="27955DA0" w:rsidR="002937F7" w:rsidRDefault="002937F7">
      <w:r>
        <w:t xml:space="preserve">In order to validate this approach, we also estimated </w:t>
      </w:r>
      <w:proofErr w:type="spellStart"/>
      <w:r>
        <w:t>MaxSDI</w:t>
      </w:r>
      <w:proofErr w:type="spellEnd"/>
      <w:r>
        <w:t xml:space="preserve"> using the method of </w:t>
      </w:r>
      <w:proofErr w:type="spellStart"/>
      <w:r>
        <w:t>Reineke</w:t>
      </w:r>
      <w:proofErr w:type="spellEnd"/>
      <w:r>
        <w:t xml:space="preserve"> (1933), by assuming the slope of the self-thinning line to be -1.605</w:t>
      </w:r>
      <w:r w:rsidR="00CD1897">
        <w:t>.</w:t>
      </w:r>
      <w:r w:rsidR="00715325">
        <w:t xml:space="preserve"> We solved for the approximate maximum value of </w:t>
      </w:r>
      <w:r w:rsidR="00715325">
        <w:rPr>
          <w:i/>
          <w:iCs/>
        </w:rPr>
        <w:t>k</w:t>
      </w:r>
      <w:r w:rsidR="00715325">
        <w:t xml:space="preserve"> using quantile regression, using the 95</w:t>
      </w:r>
      <w:r w:rsidR="00715325" w:rsidRPr="00715325">
        <w:rPr>
          <w:vertAlign w:val="superscript"/>
        </w:rPr>
        <w:t>th</w:t>
      </w:r>
      <w:r w:rsidR="00715325">
        <w:t xml:space="preserve"> percentile of k to represent the maximum.</w:t>
      </w:r>
    </w:p>
    <w:p w14:paraId="65F02D44" w14:textId="1435EB86" w:rsidR="002937F7" w:rsidRPr="00CD1897" w:rsidRDefault="00CD1897">
      <w:pPr>
        <w:rPr>
          <w:rFonts w:eastAsiaTheme="minorEastAsia"/>
        </w:rPr>
      </w:pPr>
      <m:oMathPara>
        <m:oMath>
          <m:func>
            <m:funcPr>
              <m:ctrlPr>
                <w:rPr>
                  <w:rFonts w:ascii="Cambria Math" w:hAnsi="Cambria Math"/>
                  <w:i/>
                </w:rPr>
              </m:ctrlPr>
            </m:funcPr>
            <m:fName>
              <m:r>
                <m:rPr>
                  <m:sty m:val="p"/>
                </m:rPr>
                <w:rPr>
                  <w:rFonts w:ascii="Cambria Math" w:hAnsi="Cambria Math"/>
                </w:rPr>
                <m:t>log</m:t>
              </m:r>
              <m:ctrlPr>
                <w:rPr>
                  <w:rFonts w:ascii="Cambria Math" w:hAnsi="Cambria Math"/>
                </w:rPr>
              </m:ctrlPr>
            </m:fName>
            <m:e>
              <m:d>
                <m:dPr>
                  <m:ctrlPr>
                    <w:rPr>
                      <w:rFonts w:ascii="Cambria Math" w:hAnsi="Cambria Math"/>
                      <w:i/>
                    </w:rPr>
                  </m:ctrlPr>
                </m:dPr>
                <m:e>
                  <m:r>
                    <w:rPr>
                      <w:rFonts w:ascii="Cambria Math" w:hAnsi="Cambria Math"/>
                    </w:rPr>
                    <m:t>N</m:t>
                  </m:r>
                </m:e>
              </m:d>
            </m:e>
          </m:func>
          <m:r>
            <w:rPr>
              <w:rFonts w:ascii="Cambria Math" w:hAnsi="Cambria Math"/>
            </w:rPr>
            <m:t>= -1.605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q</m:t>
                      </m:r>
                    </m:sub>
                  </m:sSub>
                </m:e>
              </m:d>
            </m:e>
          </m:func>
          <m:r>
            <w:rPr>
              <w:rFonts w:ascii="Cambria Math" w:hAnsi="Cambria Math"/>
            </w:rPr>
            <m:t>+k</m:t>
          </m:r>
        </m:oMath>
      </m:oMathPara>
    </w:p>
    <w:p w14:paraId="2B96BDB3" w14:textId="51B52EFD" w:rsidR="00CD1897" w:rsidRPr="00715325" w:rsidRDefault="00CD1897">
      <w:pPr>
        <w:rPr>
          <w:rFonts w:eastAsiaTheme="minorEastAsia"/>
        </w:rPr>
      </w:pPr>
      <m:oMathPara>
        <m:oMath>
          <m:r>
            <w:rPr>
              <w:rFonts w:ascii="Cambria Math" w:eastAsiaTheme="minorEastAsia" w:hAnsi="Cambria Math"/>
            </w:rPr>
            <m:t>k=</m:t>
          </m:r>
          <m:r>
            <w:rPr>
              <w:rFonts w:ascii="Cambria Math" w:eastAsiaTheme="minorEastAsia" w:hAnsi="Cambria Math"/>
            </w:rPr>
            <m:t>N∙</m:t>
          </m:r>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q</m:t>
                  </m:r>
                </m:sub>
              </m:sSub>
            </m:e>
            <m:sup>
              <m:r>
                <w:rPr>
                  <w:rFonts w:ascii="Cambria Math" w:eastAsiaTheme="minorEastAsia" w:hAnsi="Cambria Math"/>
                </w:rPr>
                <m:t>1.605</m:t>
              </m:r>
            </m:sup>
          </m:sSup>
        </m:oMath>
      </m:oMathPara>
    </w:p>
    <w:p w14:paraId="29A8BA5D" w14:textId="110C6910" w:rsidR="00715325" w:rsidRDefault="00715325">
      <w:pPr>
        <w:rPr>
          <w:rFonts w:eastAsiaTheme="minorEastAsia"/>
        </w:rPr>
      </w:pPr>
      <w:r>
        <w:rPr>
          <w:rFonts w:eastAsiaTheme="minorEastAsia"/>
        </w:rPr>
        <w:t xml:space="preserve">Both methods generated equivalent estimates of </w:t>
      </w:r>
      <w:proofErr w:type="spellStart"/>
      <w:r>
        <w:rPr>
          <w:rFonts w:eastAsiaTheme="minorEastAsia"/>
        </w:rPr>
        <w:t>MaxSDI</w:t>
      </w:r>
      <w:proofErr w:type="spellEnd"/>
      <w:r>
        <w:rPr>
          <w:rFonts w:eastAsiaTheme="minorEastAsia"/>
        </w:rPr>
        <w:t xml:space="preserve"> for each BPS type (Fig. </w:t>
      </w:r>
      <w:r w:rsidR="009E6B7B">
        <w:rPr>
          <w:rFonts w:eastAsiaTheme="minorEastAsia"/>
        </w:rPr>
        <w:t>2</w:t>
      </w:r>
      <w:r>
        <w:rPr>
          <w:rFonts w:eastAsiaTheme="minorEastAsia"/>
        </w:rPr>
        <w:t>).</w:t>
      </w:r>
    </w:p>
    <w:p w14:paraId="23243FF6" w14:textId="77777777" w:rsidR="009E6B7B" w:rsidRDefault="00715325" w:rsidP="009E6B7B">
      <w:pPr>
        <w:keepNext/>
      </w:pPr>
      <w:r>
        <w:rPr>
          <w:rFonts w:eastAsiaTheme="minorEastAsia"/>
          <w:noProof/>
        </w:rPr>
        <w:drawing>
          <wp:inline distT="0" distB="0" distL="0" distR="0" wp14:anchorId="40C7285F" wp14:editId="6BAB4222">
            <wp:extent cx="3619500" cy="3848100"/>
            <wp:effectExtent l="0" t="0" r="0" b="0"/>
            <wp:docPr id="9069117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3848100"/>
                    </a:xfrm>
                    <a:prstGeom prst="rect">
                      <a:avLst/>
                    </a:prstGeom>
                    <a:noFill/>
                  </pic:spPr>
                </pic:pic>
              </a:graphicData>
            </a:graphic>
          </wp:inline>
        </w:drawing>
      </w:r>
    </w:p>
    <w:p w14:paraId="04A0EB2F" w14:textId="569BD8CE" w:rsidR="00715325" w:rsidRPr="00CD1897" w:rsidRDefault="009E6B7B" w:rsidP="009E6B7B">
      <w:pPr>
        <w:pStyle w:val="Caption"/>
        <w:rPr>
          <w:rFonts w:eastAsiaTheme="minorEastAsia"/>
        </w:rPr>
      </w:pPr>
      <w:r>
        <w:t xml:space="preserve">Figure </w:t>
      </w:r>
      <w:r>
        <w:fldChar w:fldCharType="begin"/>
      </w:r>
      <w:r>
        <w:instrText xml:space="preserve"> SEQ Figure \* ARABIC </w:instrText>
      </w:r>
      <w:r>
        <w:fldChar w:fldCharType="separate"/>
      </w:r>
      <w:r>
        <w:rPr>
          <w:noProof/>
        </w:rPr>
        <w:t>2</w:t>
      </w:r>
      <w:r>
        <w:fldChar w:fldCharType="end"/>
      </w:r>
      <w:r>
        <w:t>. Relationship between two methods of calculating SDI.</w:t>
      </w:r>
    </w:p>
    <w:p w14:paraId="62F8C302" w14:textId="77777777" w:rsidR="00CD1897" w:rsidRDefault="00CD1897"/>
    <w:p w14:paraId="24779563" w14:textId="0E009EFE" w:rsidR="00EA0A68" w:rsidRDefault="00EA0A68">
      <w:r>
        <w:t xml:space="preserve">From these regressions, we can generate a map of </w:t>
      </w:r>
      <w:proofErr w:type="spellStart"/>
      <w:r>
        <w:t>MaxSDI</w:t>
      </w:r>
      <w:proofErr w:type="spellEnd"/>
      <w:r>
        <w:t xml:space="preserve"> for the study area, by mapping the </w:t>
      </w:r>
      <w:proofErr w:type="spellStart"/>
      <w:r>
        <w:t>MaxSDI</w:t>
      </w:r>
      <w:proofErr w:type="spellEnd"/>
      <w:r>
        <w:t xml:space="preserve"> for each BPS to a map of BPS (Fig</w:t>
      </w:r>
      <w:r w:rsidR="00AB3892">
        <w:t>.</w:t>
      </w:r>
      <w:r>
        <w:t xml:space="preserve"> </w:t>
      </w:r>
      <w:r w:rsidR="00AB3892">
        <w:t>3</w:t>
      </w:r>
      <w:r>
        <w:t xml:space="preserve">). From this map, we can generate 35% and 60% </w:t>
      </w:r>
      <w:proofErr w:type="spellStart"/>
      <w:r>
        <w:t>MaxSDI</w:t>
      </w:r>
      <w:proofErr w:type="spellEnd"/>
      <w:r>
        <w:t xml:space="preserve"> targets for the landscape.</w:t>
      </w:r>
    </w:p>
    <w:p w14:paraId="4719CE2B" w14:textId="77777777" w:rsidR="00EA0A68" w:rsidRDefault="00EA0A68"/>
    <w:p w14:paraId="4FA6A9C6" w14:textId="77777777" w:rsidR="006C7E55" w:rsidRDefault="00EA0A68" w:rsidP="006C7E55">
      <w:pPr>
        <w:keepNext/>
      </w:pPr>
      <w:r>
        <w:rPr>
          <w:noProof/>
        </w:rPr>
        <w:lastRenderedPageBreak/>
        <w:drawing>
          <wp:inline distT="0" distB="0" distL="0" distR="0" wp14:anchorId="40E8D050" wp14:editId="127DB282">
            <wp:extent cx="6210300" cy="3962400"/>
            <wp:effectExtent l="0" t="0" r="0" b="0"/>
            <wp:docPr id="4860290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300" cy="3962400"/>
                    </a:xfrm>
                    <a:prstGeom prst="rect">
                      <a:avLst/>
                    </a:prstGeom>
                    <a:noFill/>
                  </pic:spPr>
                </pic:pic>
              </a:graphicData>
            </a:graphic>
          </wp:inline>
        </w:drawing>
      </w:r>
    </w:p>
    <w:p w14:paraId="22F184DA" w14:textId="49998994" w:rsidR="00EA0A68" w:rsidRDefault="006C7E55" w:rsidP="006C7E55">
      <w:pPr>
        <w:pStyle w:val="Caption"/>
      </w:pPr>
      <w:r>
        <w:t xml:space="preserve">Figure </w:t>
      </w:r>
      <w:r>
        <w:fldChar w:fldCharType="begin"/>
      </w:r>
      <w:r>
        <w:instrText xml:space="preserve"> SEQ Figure \* ARABIC </w:instrText>
      </w:r>
      <w:r>
        <w:fldChar w:fldCharType="separate"/>
      </w:r>
      <w:r w:rsidR="009E6B7B">
        <w:rPr>
          <w:noProof/>
        </w:rPr>
        <w:t>3</w:t>
      </w:r>
      <w:r>
        <w:fldChar w:fldCharType="end"/>
      </w:r>
      <w:r>
        <w:rPr>
          <w:i w:val="0"/>
          <w:iCs w:val="0"/>
        </w:rPr>
        <w:t xml:space="preserve">. </w:t>
      </w:r>
      <w:proofErr w:type="spellStart"/>
      <w:r>
        <w:rPr>
          <w:i w:val="0"/>
          <w:iCs w:val="0"/>
        </w:rPr>
        <w:t>MaxSDI</w:t>
      </w:r>
      <w:proofErr w:type="spellEnd"/>
      <w:r>
        <w:rPr>
          <w:i w:val="0"/>
          <w:iCs w:val="0"/>
        </w:rPr>
        <w:t xml:space="preserve"> mapped for the central Sierra study area.</w:t>
      </w:r>
      <w:r w:rsidR="000B7BD0">
        <w:rPr>
          <w:i w:val="0"/>
          <w:iCs w:val="0"/>
        </w:rPr>
        <w:t xml:space="preserve"> The highest </w:t>
      </w:r>
      <w:proofErr w:type="spellStart"/>
      <w:r w:rsidR="000B7BD0">
        <w:rPr>
          <w:i w:val="0"/>
          <w:iCs w:val="0"/>
        </w:rPr>
        <w:t>MaxSDI</w:t>
      </w:r>
      <w:proofErr w:type="spellEnd"/>
      <w:r w:rsidR="000B7BD0">
        <w:rPr>
          <w:i w:val="0"/>
          <w:iCs w:val="0"/>
        </w:rPr>
        <w:t xml:space="preserve"> values are found in red fir and Sierra mixed-conifer stands at higher elevations, with lower </w:t>
      </w:r>
      <w:proofErr w:type="spellStart"/>
      <w:r w:rsidR="000B7BD0">
        <w:rPr>
          <w:i w:val="0"/>
          <w:iCs w:val="0"/>
        </w:rPr>
        <w:t>MaxSDI</w:t>
      </w:r>
      <w:proofErr w:type="spellEnd"/>
      <w:r w:rsidR="000B7BD0">
        <w:rPr>
          <w:i w:val="0"/>
          <w:iCs w:val="0"/>
        </w:rPr>
        <w:t xml:space="preserve"> in Jeffrey/Ponderosa pine forests, and the lowest </w:t>
      </w:r>
      <w:proofErr w:type="spellStart"/>
      <w:r w:rsidR="000B7BD0">
        <w:rPr>
          <w:i w:val="0"/>
          <w:iCs w:val="0"/>
        </w:rPr>
        <w:t>MaxSDI</w:t>
      </w:r>
      <w:proofErr w:type="spellEnd"/>
      <w:r w:rsidR="000B7BD0">
        <w:rPr>
          <w:i w:val="0"/>
          <w:iCs w:val="0"/>
        </w:rPr>
        <w:t xml:space="preserve"> in oak woodlands, shrublands, and riparian vegetation at low elevations.</w:t>
      </w:r>
    </w:p>
    <w:p w14:paraId="6383FC0B" w14:textId="77777777" w:rsidR="00EA0A68" w:rsidRDefault="00EA0A68"/>
    <w:p w14:paraId="2EEC376C" w14:textId="28C4523F" w:rsidR="00EA0A68" w:rsidRDefault="00AB3892" w:rsidP="00AB3892">
      <w:pPr>
        <w:pStyle w:val="Heading1"/>
      </w:pPr>
      <w:r>
        <w:t>Estimating SDI from LANDIS-II Cohorts</w:t>
      </w:r>
    </w:p>
    <w:p w14:paraId="3DC71FB2" w14:textId="61409ABA" w:rsidR="00371495" w:rsidRPr="00371495" w:rsidRDefault="00EA0A68">
      <w:r>
        <w:t>The next step needed is to estimate SDI from LANDIS-II format data. LANDIS-II (using the Net Ecosystem Carbon and Nitrogen extension) tracks ages and biomass of cohorts, rather than density and diameter of stands. We used regression equations fit to Forest Inventory and Analysis (FIA) data in order to estimate SDI from cohort data. We obtained FIA data represent stands within the Sierra Nevada which had not been recently harvested and which were &gt;95% within a forested condition. We then coarsened the FIA data into age/biomass/species cohorts, as if they were a LANDIS-II site.</w:t>
      </w:r>
      <w:r w:rsidR="00542468">
        <w:t xml:space="preserve"> We attempted to estimate site SDI using stand-level variables (mean age, total site biomass), but were unable to obtain a suitable model fit (R</w:t>
      </w:r>
      <w:r w:rsidR="00542468">
        <w:rPr>
          <w:vertAlign w:val="superscript"/>
        </w:rPr>
        <w:t>2</w:t>
      </w:r>
      <w:r w:rsidR="00542468">
        <w:t xml:space="preserve"> = 0.26, with biased residuals). Instead, we estimated the contribution of each cohort to site SDI, equivalent to the method of calculating SDI by summation </w:t>
      </w:r>
      <w:r w:rsidR="00C65E91">
        <w:fldChar w:fldCharType="begin"/>
      </w:r>
      <w:r w:rsidR="00C65E91">
        <w:instrText xml:space="preserve"> ADDIN ZOTERO_ITEM CSL_CITATION {"citationID":"liP472wR","properties":{"formattedCitation":"(Shaw 2005)","plainCitation":"(Shaw 2005)","noteIndex":0},"citationItems":[{"id":13189,"uris":["http://zotero.org/users/2075268/items/2X9B26C9"],"itemData":{"id":13189,"type":"paper-conference","container-title":"Proceedings: Society of American Foresters 2005 National Convention","page":"19–23","source":"Google Scholar","title":"Reineke’s Stand Density Index: Where are we and where do we go from here","title-short":"Reineke’s Stand Density Index","author":[{"family":"Shaw","given":"John D."}],"issued":{"date-parts":[["2005"]]}}}],"schema":"https://github.com/citation-style-language/schema/raw/master/csl-citation.json"} </w:instrText>
      </w:r>
      <w:r w:rsidR="00C65E91">
        <w:fldChar w:fldCharType="separate"/>
      </w:r>
      <w:r w:rsidR="00C65E91" w:rsidRPr="00C65E91">
        <w:rPr>
          <w:rFonts w:ascii="Calibri" w:hAnsi="Calibri" w:cs="Calibri"/>
        </w:rPr>
        <w:t>(Shaw 2005)</w:t>
      </w:r>
      <w:r w:rsidR="00C65E91">
        <w:fldChar w:fldCharType="end"/>
      </w:r>
      <w:r w:rsidR="00542468">
        <w:t xml:space="preserve">. </w:t>
      </w:r>
      <w:r>
        <w:t xml:space="preserve">For each cohort, we calculated the SDI of the cohort, which can be summed to obtain the site SDI. We then fit regressions to predict </w:t>
      </w:r>
      <w:proofErr w:type="spellStart"/>
      <w:r>
        <w:t>SDI</w:t>
      </w:r>
      <w:r>
        <w:rPr>
          <w:vertAlign w:val="subscript"/>
        </w:rPr>
        <w:t>cohort</w:t>
      </w:r>
      <w:proofErr w:type="spellEnd"/>
      <w:r>
        <w:t xml:space="preserve"> from age, biomass, and a random intercept for species (</w:t>
      </w:r>
      <w:r w:rsidR="006A6809">
        <w:t>Fig. 4</w:t>
      </w:r>
      <w:r>
        <w:t xml:space="preserve">). </w:t>
      </w:r>
      <w:r w:rsidR="00542468">
        <w:t>Th</w:t>
      </w:r>
      <w:r w:rsidR="00371495">
        <w:t>is model</w:t>
      </w:r>
      <w:r w:rsidR="00542468">
        <w:t xml:space="preserve"> had an excellent fit (R</w:t>
      </w:r>
      <w:r w:rsidR="00542468">
        <w:rPr>
          <w:vertAlign w:val="superscript"/>
        </w:rPr>
        <w:t>2</w:t>
      </w:r>
      <w:r w:rsidR="00542468">
        <w:t xml:space="preserve"> = </w:t>
      </w:r>
      <w:r w:rsidR="00371495">
        <w:t>0.98) after reconstructing site SDI from predicted cohort SDI. The model selected to represent cohort SDI was log(</w:t>
      </w:r>
      <w:proofErr w:type="spellStart"/>
      <w:r w:rsidR="00371495">
        <w:t>SDI</w:t>
      </w:r>
      <w:r w:rsidR="00371495">
        <w:rPr>
          <w:vertAlign w:val="subscript"/>
        </w:rPr>
        <w:t>cohort</w:t>
      </w:r>
      <w:proofErr w:type="spellEnd"/>
      <w:r w:rsidR="00371495">
        <w:t>) = log(Biomass + Biomass</w:t>
      </w:r>
      <w:r w:rsidR="00371495">
        <w:rPr>
          <w:vertAlign w:val="superscript"/>
        </w:rPr>
        <w:t>2</w:t>
      </w:r>
      <w:r w:rsidR="00371495">
        <w:t xml:space="preserve"> + Biomass</w:t>
      </w:r>
      <w:r w:rsidR="00371495">
        <w:rPr>
          <w:vertAlign w:val="superscript"/>
        </w:rPr>
        <w:t>3</w:t>
      </w:r>
      <w:r w:rsidR="00371495">
        <w:t>) + log(Age + Age</w:t>
      </w:r>
      <w:r w:rsidR="00371495">
        <w:rPr>
          <w:vertAlign w:val="superscript"/>
        </w:rPr>
        <w:t>2</w:t>
      </w:r>
      <w:r w:rsidR="00371495">
        <w:t xml:space="preserve"> + Age</w:t>
      </w:r>
      <w:r w:rsidR="00371495">
        <w:rPr>
          <w:vertAlign w:val="superscript"/>
        </w:rPr>
        <w:t>3</w:t>
      </w:r>
      <w:r w:rsidR="00371495">
        <w:t>)</w:t>
      </w:r>
      <w:r w:rsidR="006C7E55">
        <w:t>.</w:t>
      </w:r>
    </w:p>
    <w:p w14:paraId="341EA568" w14:textId="77777777" w:rsidR="00371495" w:rsidRDefault="00371495"/>
    <w:p w14:paraId="192FC3D3" w14:textId="77777777" w:rsidR="006C7E55" w:rsidRDefault="00371495" w:rsidP="006C7E55">
      <w:pPr>
        <w:keepNext/>
      </w:pPr>
      <w:r>
        <w:rPr>
          <w:noProof/>
        </w:rPr>
        <w:lastRenderedPageBreak/>
        <w:drawing>
          <wp:inline distT="0" distB="0" distL="0" distR="0" wp14:anchorId="4FB7CC6D" wp14:editId="5B165C4C">
            <wp:extent cx="5334000" cy="3403288"/>
            <wp:effectExtent l="0" t="0" r="0" b="6985"/>
            <wp:docPr id="1676552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9651" cy="3406893"/>
                    </a:xfrm>
                    <a:prstGeom prst="rect">
                      <a:avLst/>
                    </a:prstGeom>
                    <a:noFill/>
                  </pic:spPr>
                </pic:pic>
              </a:graphicData>
            </a:graphic>
          </wp:inline>
        </w:drawing>
      </w:r>
    </w:p>
    <w:p w14:paraId="2A886069" w14:textId="220EFB2D" w:rsidR="00371495" w:rsidRDefault="006C7E55" w:rsidP="006C7E55">
      <w:pPr>
        <w:pStyle w:val="Caption"/>
      </w:pPr>
      <w:r>
        <w:t xml:space="preserve">Figure </w:t>
      </w:r>
      <w:r>
        <w:fldChar w:fldCharType="begin"/>
      </w:r>
      <w:r>
        <w:instrText xml:space="preserve"> SEQ Figure \* ARABIC </w:instrText>
      </w:r>
      <w:r>
        <w:fldChar w:fldCharType="separate"/>
      </w:r>
      <w:r w:rsidR="009E6B7B">
        <w:rPr>
          <w:noProof/>
        </w:rPr>
        <w:t>4</w:t>
      </w:r>
      <w:r>
        <w:fldChar w:fldCharType="end"/>
      </w:r>
      <w:r>
        <w:t xml:space="preserve">. </w:t>
      </w:r>
      <w:r>
        <w:rPr>
          <w:i w:val="0"/>
          <w:iCs w:val="0"/>
        </w:rPr>
        <w:t xml:space="preserve">Relationship between cohort biomass, cohort age, and cohort SDI, used to estimate site-level SDI from LANDIS-II cohorts. </w:t>
      </w:r>
      <w:r w:rsidR="00371495">
        <w:rPr>
          <w:noProof/>
        </w:rPr>
        <w:drawing>
          <wp:inline distT="0" distB="0" distL="0" distR="0" wp14:anchorId="2DA30B3B" wp14:editId="25B3BC50">
            <wp:extent cx="6324600" cy="3958910"/>
            <wp:effectExtent l="0" t="0" r="0" b="3810"/>
            <wp:docPr id="7263532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504" cy="3963857"/>
                    </a:xfrm>
                    <a:prstGeom prst="rect">
                      <a:avLst/>
                    </a:prstGeom>
                    <a:noFill/>
                  </pic:spPr>
                </pic:pic>
              </a:graphicData>
            </a:graphic>
          </wp:inline>
        </w:drawing>
      </w:r>
    </w:p>
    <w:p w14:paraId="301CE08B" w14:textId="69FF4E6E" w:rsidR="00371495" w:rsidRPr="00371495" w:rsidRDefault="00371495" w:rsidP="00371495">
      <w:pPr>
        <w:pStyle w:val="Caption"/>
        <w:rPr>
          <w:i w:val="0"/>
          <w:iCs w:val="0"/>
        </w:rPr>
      </w:pPr>
      <w:r>
        <w:t xml:space="preserve">Figure </w:t>
      </w:r>
      <w:r>
        <w:fldChar w:fldCharType="begin"/>
      </w:r>
      <w:r>
        <w:instrText xml:space="preserve"> SEQ Figure \* ARABIC </w:instrText>
      </w:r>
      <w:r>
        <w:fldChar w:fldCharType="separate"/>
      </w:r>
      <w:r w:rsidR="009E6B7B">
        <w:rPr>
          <w:noProof/>
        </w:rPr>
        <w:t>5</w:t>
      </w:r>
      <w:r>
        <w:fldChar w:fldCharType="end"/>
      </w:r>
      <w:r>
        <w:t xml:space="preserve">. </w:t>
      </w:r>
      <w:r>
        <w:rPr>
          <w:i w:val="0"/>
          <w:iCs w:val="0"/>
        </w:rPr>
        <w:t xml:space="preserve">Percent </w:t>
      </w:r>
      <w:proofErr w:type="spellStart"/>
      <w:r>
        <w:rPr>
          <w:i w:val="0"/>
          <w:iCs w:val="0"/>
        </w:rPr>
        <w:t>MaxSDI</w:t>
      </w:r>
      <w:proofErr w:type="spellEnd"/>
      <w:r>
        <w:rPr>
          <w:i w:val="0"/>
          <w:iCs w:val="0"/>
        </w:rPr>
        <w:t xml:space="preserve"> of initial landscape used for LANDIS-II model runs, estimated using regression equations to estimate </w:t>
      </w:r>
      <w:proofErr w:type="spellStart"/>
      <w:r>
        <w:rPr>
          <w:i w:val="0"/>
          <w:iCs w:val="0"/>
        </w:rPr>
        <w:t>SDI</w:t>
      </w:r>
      <w:r>
        <w:rPr>
          <w:i w:val="0"/>
          <w:iCs w:val="0"/>
          <w:vertAlign w:val="subscript"/>
        </w:rPr>
        <w:t>cohort</w:t>
      </w:r>
      <w:proofErr w:type="spellEnd"/>
      <w:r>
        <w:t xml:space="preserve"> </w:t>
      </w:r>
      <w:r>
        <w:rPr>
          <w:i w:val="0"/>
          <w:iCs w:val="0"/>
        </w:rPr>
        <w:t>from the LANDIS-II age/biomass/species cohort list for each site.</w:t>
      </w:r>
    </w:p>
    <w:p w14:paraId="36FA3A05" w14:textId="140CCFAD" w:rsidR="00EA0A68" w:rsidRDefault="00B01C18" w:rsidP="00B01C18">
      <w:pPr>
        <w:pStyle w:val="Heading1"/>
      </w:pPr>
      <w:r>
        <w:lastRenderedPageBreak/>
        <w:t>Creating management scenarios</w:t>
      </w:r>
    </w:p>
    <w:p w14:paraId="5664389A" w14:textId="1702C8BB" w:rsidR="00B01C18" w:rsidRDefault="00562D6D" w:rsidP="00B01C18">
      <w:r>
        <w:t>We used a different set of regression equations to predict %</w:t>
      </w:r>
      <w:proofErr w:type="spellStart"/>
      <w:r>
        <w:t>MaxSDI</w:t>
      </w:r>
      <w:proofErr w:type="spellEnd"/>
      <w:r>
        <w:t xml:space="preserve"> from site biomass, stand age, and BPS (Fig. 5).</w:t>
      </w:r>
      <w:r w:rsidR="00B01C18">
        <w:t xml:space="preserve"> Because the SDI ~ Biomass relationship differs according to stand age (i.e., the same biomass, if comprising larger trees, will have a lower SDI), we created biomass targets for four age classes: 0-20 years, 21-50 years, 51-100 years, and &gt;101 years. As stands age, they </w:t>
      </w:r>
      <w:r w:rsidR="00F24D6F">
        <w:t xml:space="preserve">are permitted to have a greater biomass than younger stands. This management strategy is equivalent to several widely used management strategies, including precommercial thinning or fuel reduction treatments which thin from below more intensively in younger stands. In the LANDIS-II scenarios, this will allow the reduction of fuels in young stands which are dominated by ladder fuel age classes (&lt;20-30 years, approximately). </w:t>
      </w:r>
    </w:p>
    <w:p w14:paraId="49364AEF" w14:textId="77777777" w:rsidR="00562D6D" w:rsidRDefault="00562D6D" w:rsidP="00562D6D">
      <w:pPr>
        <w:keepNext/>
      </w:pPr>
      <w:r>
        <w:rPr>
          <w:noProof/>
        </w:rPr>
        <w:drawing>
          <wp:inline distT="0" distB="0" distL="0" distR="0" wp14:anchorId="1F5702AE" wp14:editId="6BD7394A">
            <wp:extent cx="6562725" cy="3505200"/>
            <wp:effectExtent l="0" t="0" r="9525" b="0"/>
            <wp:docPr id="19181125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2725" cy="3505200"/>
                    </a:xfrm>
                    <a:prstGeom prst="rect">
                      <a:avLst/>
                    </a:prstGeom>
                    <a:noFill/>
                  </pic:spPr>
                </pic:pic>
              </a:graphicData>
            </a:graphic>
          </wp:inline>
        </w:drawing>
      </w:r>
    </w:p>
    <w:p w14:paraId="76CF532B" w14:textId="70383A1A" w:rsidR="00562D6D" w:rsidRDefault="00562D6D" w:rsidP="00562D6D">
      <w:pPr>
        <w:pStyle w:val="Caption"/>
      </w:pPr>
      <w:r>
        <w:t xml:space="preserve">Figure </w:t>
      </w:r>
      <w:r>
        <w:fldChar w:fldCharType="begin"/>
      </w:r>
      <w:r>
        <w:instrText xml:space="preserve"> SEQ Figure \* ARABIC </w:instrText>
      </w:r>
      <w:r>
        <w:fldChar w:fldCharType="separate"/>
      </w:r>
      <w:r w:rsidR="009E6B7B">
        <w:rPr>
          <w:noProof/>
        </w:rPr>
        <w:t>6</w:t>
      </w:r>
      <w:r>
        <w:fldChar w:fldCharType="end"/>
      </w:r>
      <w:r>
        <w:t xml:space="preserve">. Biomass targets for 35% and 60% </w:t>
      </w:r>
      <w:proofErr w:type="spellStart"/>
      <w:r>
        <w:t>MaxSDI</w:t>
      </w:r>
      <w:proofErr w:type="spellEnd"/>
      <w:r>
        <w:t>. For each BPS, the relationship between %</w:t>
      </w:r>
      <w:proofErr w:type="spellStart"/>
      <w:r>
        <w:t>MaxSDI</w:t>
      </w:r>
      <w:proofErr w:type="spellEnd"/>
      <w:r>
        <w:t xml:space="preserve"> and biomass differs and depends on stand age (panel labels). Biomass targets are derived from the intersection between the biomass-%</w:t>
      </w:r>
      <w:proofErr w:type="spellStart"/>
      <w:r>
        <w:t>MaxSDI</w:t>
      </w:r>
      <w:proofErr w:type="spellEnd"/>
      <w:r>
        <w:t xml:space="preserve"> curve and %</w:t>
      </w:r>
      <w:proofErr w:type="spellStart"/>
      <w:r>
        <w:t>MaxSDI</w:t>
      </w:r>
      <w:proofErr w:type="spellEnd"/>
      <w:r>
        <w:t xml:space="preserve"> = 0.35 or 0.60.</w:t>
      </w:r>
    </w:p>
    <w:p w14:paraId="1A473231" w14:textId="77777777" w:rsidR="0006014D" w:rsidRDefault="0006014D" w:rsidP="00800B95"/>
    <w:p w14:paraId="1A297286" w14:textId="68FD45D6" w:rsidR="0006014D" w:rsidRDefault="00800B95" w:rsidP="00800B95">
      <w:r>
        <w:t xml:space="preserve">Using the </w:t>
      </w:r>
      <w:r w:rsidR="0006014D">
        <w:t xml:space="preserve">map of </w:t>
      </w:r>
      <w:proofErr w:type="spellStart"/>
      <w:r w:rsidR="0006014D">
        <w:t>MaxSDI</w:t>
      </w:r>
      <w:proofErr w:type="spellEnd"/>
      <w:r w:rsidR="0006014D">
        <w:t xml:space="preserve"> (Fig. 3), we created three management zones: high SDI (red fir</w:t>
      </w:r>
      <w:r w:rsidR="00A5606D">
        <w:t>, Douglas-fir,</w:t>
      </w:r>
      <w:r w:rsidR="0006014D">
        <w:t xml:space="preserve"> and Sierra mixed-conifer), medium SDI (Jeffrey/Ponderosa pine), and low SDI (oak and juniper woodlands, shrublands). These were assigned biomass targets using the regression models predicting %</w:t>
      </w:r>
      <w:proofErr w:type="spellStart"/>
      <w:r w:rsidR="0006014D">
        <w:t>MaxSDI</w:t>
      </w:r>
      <w:proofErr w:type="spellEnd"/>
      <w:r w:rsidR="0006014D">
        <w:t xml:space="preserve"> from biomass and age (Fig. 6).</w:t>
      </w:r>
    </w:p>
    <w:p w14:paraId="237C9B43" w14:textId="2D0C3EA6" w:rsidR="00800B95" w:rsidRDefault="0006014D" w:rsidP="00800B95">
      <w:r>
        <w:t>Treatments were largely similar to those applied by Maxwell et al. (2022)</w:t>
      </w:r>
      <w:r w:rsidR="00064B17">
        <w:t>, but typically with lower biomass thresholds for treatment</w:t>
      </w:r>
      <w:r>
        <w:t xml:space="preserve">. In general forests and private nonindustrial forests, mechanical thinning was </w:t>
      </w:r>
      <w:r w:rsidR="00064B17">
        <w:t>prescribed</w:t>
      </w:r>
      <w:r>
        <w:t xml:space="preserve"> on shallower slopes (&lt;35%), and hand thinning was </w:t>
      </w:r>
      <w:r w:rsidR="00064B17">
        <w:t>applied</w:t>
      </w:r>
      <w:r>
        <w:t xml:space="preserve"> on slopes &gt;35%</w:t>
      </w:r>
      <w:r w:rsidR="0029602C">
        <w:t xml:space="preserve"> </w:t>
      </w:r>
      <w:r w:rsidR="0029602C">
        <w:fldChar w:fldCharType="begin"/>
      </w:r>
      <w:r w:rsidR="0029602C">
        <w:instrText xml:space="preserve"> ADDIN ZOTERO_ITEM CSL_CITATION {"citationID":"Md3d5dld","properties":{"formattedCitation":"(North et al. 2015)","plainCitation":"(North et al. 2015)","noteIndex":0},"citationItems":[{"id":11419,"uris":["http://zotero.org/users/2075268/items/XJAR3XXA"],"itemData":{"id":11419,"type":"article-journal","abstract":"With air quality, liability, and safety concerns, prescribed burning and managed wildﬁre are often considered impractical treatments for extensive fuels reduction in western US forests. For California’s Sierra Nevada forests, we evaluated the alternative and analyzed the amount and distribution of constraints on mechanical fuels treatments on USDA Forest Service land. With the use of current standards and guides, feedback from practicing silviculturists, and GIS databases, we developed a hierarchy of biological (i.e., nonproductive forest), legal (i.e., wilderness), operational (i.e., equipment access), and administrative (i.e., sensitive species and riparian areas) constraints. Of the Sierra Nevada Bioregion’s 10.7 million acres in USDA Forest Service ownership, 58% contains productive forest and 25% is available to mechanical treatment. National forests in the southern Sierra Nevada have higher levels of constraint due to more wilderness and steeper, more remote terrain. We evaluated different levels of operational constraints and found that increasing road building and operating on steeper slopes had less effect on increasing mechanical access than removing economic considerations (i.e., accessing sites regardless of timber volume). Constraints due to sensitive species habitat and riparian areas only reduced productive forest access by 8%. We divided the Sierra Nevada Bioregion into 710 subwatersheds (mean size of 22,800 acres) with Ͼ25% Forest Service ownership as an approximation of a relevant management planning unit for ﬁre or “ﬁreshed.” Only 20% of these subwatersheds had enough unconstrained acreage to effectively contain or suppress wildﬁre with mechanical treatment alone. Analysis suggests mechanical treatment in most subwatersheds could be more effective if it established a fuel-reduced “anchor” from which prescribed and managed ﬁre could be strategically expanded. With potential future increases in wildﬁre size and severity, ﬁre policy and forest restoration might beneﬁt if mechanical thinning is more widely used to leverage and complement managed ﬁre.","container-title":"Journal of Forestry","DOI":"10.5849/jof.14-058","ISSN":"00221201","issue":"1","journalAbbreviation":"Journal of Forestry","language":"en","page":"40-48","source":"DOI.org (Crossref)","title":"Constraints on Mechanized Treatment Significantly Limit Mechanical Fuels Reduction Extent in the Sierra Nevada","volume":"113","author":[{"family":"North","given":"Malcolm"},{"family":"Brough","given":"April"},{"family":"Long","given":"Jonathan"},{"family":"Collins","given":"Brandon"},{"family":"Bowden","given":"Phil"},{"family":"Yasuda","given":"Don"},{"family":"Miller","given":"Jay"},{"family":"Sugihara","given":"Neil"}],"issued":{"date-parts":[["2015",1,18]]}}}],"schema":"https://github.com/citation-style-language/schema/raw/master/csl-citation.json"} </w:instrText>
      </w:r>
      <w:r w:rsidR="0029602C">
        <w:fldChar w:fldCharType="separate"/>
      </w:r>
      <w:r w:rsidR="0029602C" w:rsidRPr="0029602C">
        <w:rPr>
          <w:rFonts w:ascii="Calibri" w:hAnsi="Calibri" w:cs="Calibri"/>
        </w:rPr>
        <w:t>(North et al. 2015)</w:t>
      </w:r>
      <w:r w:rsidR="0029602C">
        <w:fldChar w:fldCharType="end"/>
      </w:r>
      <w:r>
        <w:t>.</w:t>
      </w:r>
      <w:r w:rsidR="0029602C">
        <w:t xml:space="preserve"> Treatments were applied such that each cell had a 6% change of being harvested each year, as long as it met treatment criteria. </w:t>
      </w:r>
      <w:r>
        <w:t xml:space="preserve"> </w:t>
      </w:r>
      <w:r w:rsidR="00A5606D">
        <w:t xml:space="preserve">Private industrial forests were managed with clearcuts </w:t>
      </w:r>
      <w:r w:rsidR="00A5606D">
        <w:lastRenderedPageBreak/>
        <w:t xml:space="preserve">and precommercial thins, and </w:t>
      </w:r>
      <w:r w:rsidR="009C011C">
        <w:t xml:space="preserve">wilderness and designated roadless areas were not </w:t>
      </w:r>
      <w:proofErr w:type="spellStart"/>
      <w:r w:rsidR="009C011C">
        <w:t>silviculturally</w:t>
      </w:r>
      <w:proofErr w:type="spellEnd"/>
      <w:r w:rsidR="009C011C">
        <w:t xml:space="preserve"> managed.</w:t>
      </w:r>
    </w:p>
    <w:p w14:paraId="36D1D354" w14:textId="74A0A68F" w:rsidR="0006014D" w:rsidRDefault="00064B17" w:rsidP="00800B95">
      <w:r>
        <w:t xml:space="preserve">Three management alternatives were tested: one </w:t>
      </w:r>
      <w:r w:rsidR="005554C8">
        <w:t xml:space="preserve">designed to maintain the landscape below 35%MaxSDI, another below 60% </w:t>
      </w:r>
      <w:proofErr w:type="spellStart"/>
      <w:r w:rsidR="005554C8">
        <w:t>MaxSDI</w:t>
      </w:r>
      <w:proofErr w:type="spellEnd"/>
      <w:r w:rsidR="005554C8">
        <w:t xml:space="preserve">, and one which manages the landscape at 35%MaxSDI only in the WUI and in areas previously identified as being at high risk of fire. </w:t>
      </w:r>
    </w:p>
    <w:p w14:paraId="1121ACBE" w14:textId="0FF82BFC" w:rsidR="00A5606D" w:rsidRDefault="00A5606D" w:rsidP="00A5606D">
      <w:pPr>
        <w:pStyle w:val="Heading1"/>
      </w:pPr>
      <w:r>
        <w:t>Limitations of the approach</w:t>
      </w:r>
    </w:p>
    <w:p w14:paraId="535796D0" w14:textId="32E5C5AA" w:rsidR="00A5606D" w:rsidRDefault="00A5606D" w:rsidP="00A5606D">
      <w:r>
        <w:t xml:space="preserve">Management zones and biomass targets are static – they don’t update with climate change, and concomitant changes in </w:t>
      </w:r>
      <w:proofErr w:type="spellStart"/>
      <w:r>
        <w:t>MaxSDI</w:t>
      </w:r>
      <w:proofErr w:type="spellEnd"/>
      <w:r>
        <w:t xml:space="preserve"> or age/biomass relationships.</w:t>
      </w:r>
    </w:p>
    <w:p w14:paraId="6016860B" w14:textId="4206A361" w:rsidR="00647A06" w:rsidRPr="00A5606D" w:rsidRDefault="00647A06" w:rsidP="00A5606D">
      <w:r>
        <w:t>These strategies might not  be a good idea in the future, when we might be  more concerned with regeneration failure than overstocking.</w:t>
      </w:r>
    </w:p>
    <w:p w14:paraId="13918C4D" w14:textId="77777777" w:rsidR="009E6B7B" w:rsidRDefault="009E6B7B" w:rsidP="009E6B7B"/>
    <w:p w14:paraId="540726A5" w14:textId="77777777" w:rsidR="009E6B7B" w:rsidRPr="009E6B7B" w:rsidRDefault="009E6B7B" w:rsidP="009E6B7B"/>
    <w:p w14:paraId="3A0DF13A" w14:textId="77777777" w:rsidR="00F24D6F" w:rsidRPr="00B01C18" w:rsidRDefault="00F24D6F" w:rsidP="00B01C18"/>
    <w:p w14:paraId="1ED177D4" w14:textId="77777777" w:rsidR="00EA0A68" w:rsidRPr="00EA0A68" w:rsidRDefault="00EA0A68"/>
    <w:sectPr w:rsidR="00EA0A68" w:rsidRPr="00EA0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F7"/>
    <w:rsid w:val="0006014D"/>
    <w:rsid w:val="00064B17"/>
    <w:rsid w:val="000B4504"/>
    <w:rsid w:val="000B7BD0"/>
    <w:rsid w:val="002937F7"/>
    <w:rsid w:val="0029602C"/>
    <w:rsid w:val="00371495"/>
    <w:rsid w:val="00542468"/>
    <w:rsid w:val="005554C8"/>
    <w:rsid w:val="00562D6D"/>
    <w:rsid w:val="00647A06"/>
    <w:rsid w:val="006A6809"/>
    <w:rsid w:val="006C7E55"/>
    <w:rsid w:val="00715325"/>
    <w:rsid w:val="007B3DA1"/>
    <w:rsid w:val="007D1722"/>
    <w:rsid w:val="007F0B1A"/>
    <w:rsid w:val="00800B95"/>
    <w:rsid w:val="00864FB6"/>
    <w:rsid w:val="00872731"/>
    <w:rsid w:val="008F53C1"/>
    <w:rsid w:val="00906EB1"/>
    <w:rsid w:val="009C011C"/>
    <w:rsid w:val="009E6B7B"/>
    <w:rsid w:val="00A5606D"/>
    <w:rsid w:val="00AB3892"/>
    <w:rsid w:val="00B01C18"/>
    <w:rsid w:val="00BE02F7"/>
    <w:rsid w:val="00C65E91"/>
    <w:rsid w:val="00CD1897"/>
    <w:rsid w:val="00D17173"/>
    <w:rsid w:val="00EA0A68"/>
    <w:rsid w:val="00F24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5FD8E"/>
  <w15:chartTrackingRefBased/>
  <w15:docId w15:val="{E1997277-ECFD-453D-BC2B-D6688D20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37F7"/>
    <w:rPr>
      <w:color w:val="808080"/>
    </w:rPr>
  </w:style>
  <w:style w:type="paragraph" w:styleId="Caption">
    <w:name w:val="caption"/>
    <w:basedOn w:val="Normal"/>
    <w:next w:val="Normal"/>
    <w:uiPriority w:val="35"/>
    <w:unhideWhenUsed/>
    <w:qFormat/>
    <w:rsid w:val="0037149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01C1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F7163-A6F6-4AE3-9645-99D76C4AD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2947</TotalTime>
  <Pages>6</Pages>
  <Words>2373</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Walker Flake</dc:creator>
  <cp:keywords/>
  <dc:description/>
  <cp:lastModifiedBy>Samuel Walker Flake</cp:lastModifiedBy>
  <cp:revision>9</cp:revision>
  <dcterms:created xsi:type="dcterms:W3CDTF">2023-07-24T17:43:00Z</dcterms:created>
  <dcterms:modified xsi:type="dcterms:W3CDTF">2023-07-26T18:51:00Z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id="9IEiQ3JI"/&gt;&lt;style id="http://www.zotero.org/styles/ecology" hasBibliography="1" bibliographyStyleHasBeenSet="0"/&gt;&lt;prefs&gt;&lt;pref name="fieldType" value="Field"/&gt;&lt;pref name="automaticJournalAbbreviat</vt:lpwstr>
  </property>
  <property fmtid="{D5CDD505-2E9C-101B-9397-08002B2CF9AE}" pid="3" name="ZOTERO_PREF_2">
    <vt:lpwstr>ions" value="true"/&gt;&lt;/prefs&gt;&lt;/data&gt;</vt:lpwstr>
  </property>
</Properties>
</file>