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jc w:val="center"/>
      </w:pPr>
      <w:r>
        <w:rPr>
          <w:rFonts w:ascii="Aptos" w:hAnsi="Aptos" w:eastAsia="Aptos"/>
          <w:b/>
          <w:color w:val="15334C"/>
          <w:sz w:val="20"/>
        </w:rPr>
        <w:t>CÔNG TY KIỂM TOÁN NEXUS</w:t>
      </w:r>
    </w:p>
    <w:p>
      <w:pPr>
        <w:spacing w:after="260"/>
        <w:jc w:val="center"/>
      </w:pPr>
      <w:r>
        <w:rPr>
          <w:rFonts w:ascii="Aptos" w:hAnsi="Aptos" w:eastAsia="Aptos"/>
          <w:b/>
          <w:color w:val="5F6E79"/>
          <w:sz w:val="16"/>
        </w:rPr>
        <w:t>HỘI ĐỒNG QUẢN TRỊ  |  BỘ TÀI LIỆU MÔ PHỎNG NGÂN HÀNG</w:t>
      </w:r>
    </w:p>
    <w:p>
      <w:pPr>
        <w:pStyle w:val="Title"/>
        <w:jc w:val="center"/>
      </w:pPr>
      <w:r>
        <w:rPr>
          <w:rFonts w:ascii="Aptos" w:hAnsi="Aptos" w:eastAsia="Aptos"/>
          <w:b/>
          <w:color w:val="15334C"/>
          <w:sz w:val="33"/>
        </w:rPr>
        <w:t>CHÍNH SÁCH TÍN DỤNG VÀ KHẨU VỊ RỦI RO</w:t>
      </w:r>
    </w:p>
    <w:p>
      <w:pPr>
        <w:spacing w:after="220"/>
        <w:jc w:val="center"/>
      </w:pPr>
      <w:r>
        <w:rPr>
          <w:rFonts w:ascii="Aptos" w:hAnsi="Aptos" w:eastAsia="Aptos"/>
          <w:b w:val="0"/>
          <w:color w:val="126F77"/>
          <w:sz w:val="21"/>
        </w:rPr>
        <w:t>Credit Policy &amp; Risk Appetite</w:t>
      </w:r>
    </w:p>
    <w:tbl>
      <w:tblPr>
        <w:tblW w:type="auto" w:w="0"/>
        <w:jc w:val="center"/>
        <w:tblLayout w:type="fixed"/>
        <w:tblLook w:firstColumn="1" w:firstRow="1" w:lastColumn="0" w:lastRow="0" w:noHBand="0" w:noVBand="1" w:val="04A0"/>
      </w:tblPr>
      <w:tblGrid>
        <w:gridCol w:w="1531"/>
        <w:gridCol w:w="2835"/>
        <w:gridCol w:w="1587"/>
        <w:gridCol w:w="3657"/>
      </w:tblGrid>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Mã tài liệu</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POL-CREDIT-01</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Phiên bản</w:t>
            </w:r>
          </w:p>
        </w:tc>
        <w:tc>
          <w:tcPr>
            <w:tcW w:type="dxa" w:w="3657"/>
            <w:tcMar>
              <w:top w:w="85" w:type="dxa"/>
              <w:start w:w="105" w:type="dxa"/>
              <w:bottom w:w="90" w:type="dxa"/>
              <w:end w:w="105" w:type="dxa"/>
            </w:tcMar>
            <w:vAlign w:val="center"/>
          </w:tcPr>
          <w:p>
            <w:r>
              <w:t>1.1</w:t>
            </w:r>
          </w:p>
        </w:tc>
      </w:tr>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Ngày ban hành</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08/10/2026</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Ngày hiệu lực</w:t>
            </w:r>
          </w:p>
        </w:tc>
        <w:tc>
          <w:tcPr>
            <w:tcW w:type="dxa" w:w="3657"/>
            <w:tcMar>
              <w:top w:w="85" w:type="dxa"/>
              <w:start w:w="105" w:type="dxa"/>
              <w:bottom w:w="90" w:type="dxa"/>
              <w:end w:w="105" w:type="dxa"/>
            </w:tcMar>
            <w:vAlign w:val="center"/>
          </w:tcPr>
          <w:p>
            <w:pPr>
              <w:spacing w:after="0"/>
            </w:pPr>
            <w:r>
              <w:rPr>
                <w:rFonts w:ascii="Aptos" w:hAnsi="Aptos" w:eastAsia="Aptos"/>
                <w:b w:val="0"/>
                <w:color w:val="232E39"/>
                <w:sz w:val="17"/>
              </w:rPr>
              <w:t>08/10/2026</w:t>
            </w:r>
          </w:p>
        </w:tc>
      </w:tr>
      <w:tr>
        <w:trPr>
          <w:cantSplit/>
        </w:trPr>
        <w:tc>
          <w:tcPr>
            <w:tcW w:type="dxa" w:w="1531"/>
            <w:tcMar>
              <w:top w:w="85" w:type="dxa"/>
              <w:start w:w="105" w:type="dxa"/>
              <w:bottom w:w="90" w:type="dxa"/>
              <w:end w:w="105" w:type="dxa"/>
            </w:tcMar>
            <w:vAlign w:val="center"/>
            <w:shd w:fill="E7EFF1"/>
          </w:tcPr>
          <w:p>
            <w:pPr>
              <w:spacing w:after="0"/>
            </w:pPr>
            <w:r>
              <w:rPr>
                <w:rFonts w:ascii="Aptos" w:hAnsi="Aptos" w:eastAsia="Aptos"/>
                <w:b/>
                <w:color w:val="15334C"/>
                <w:sz w:val="17"/>
              </w:rPr>
              <w:t>Phạm vi</w:t>
            </w:r>
          </w:p>
        </w:tc>
        <w:tc>
          <w:tcPr>
            <w:tcW w:type="dxa" w:w="2835"/>
            <w:tcMar>
              <w:top w:w="85" w:type="dxa"/>
              <w:start w:w="105" w:type="dxa"/>
              <w:bottom w:w="90" w:type="dxa"/>
              <w:end w:w="105" w:type="dxa"/>
            </w:tcMar>
            <w:vAlign w:val="center"/>
          </w:tcPr>
          <w:p>
            <w:pPr>
              <w:spacing w:after="0"/>
            </w:pPr>
            <w:r>
              <w:rPr>
                <w:rFonts w:ascii="Aptos" w:hAnsi="Aptos" w:eastAsia="Aptos"/>
                <w:b w:val="0"/>
                <w:color w:val="232E39"/>
                <w:sz w:val="17"/>
              </w:rPr>
              <w:t>Ngân hàng Nexus Demo (giả lập)</w:t>
            </w:r>
          </w:p>
        </w:tc>
        <w:tc>
          <w:tcPr>
            <w:tcW w:type="dxa" w:w="1587"/>
            <w:tcMar>
              <w:top w:w="85" w:type="dxa"/>
              <w:start w:w="105" w:type="dxa"/>
              <w:bottom w:w="90" w:type="dxa"/>
              <w:end w:w="105" w:type="dxa"/>
            </w:tcMar>
            <w:vAlign w:val="center"/>
            <w:shd w:fill="E7EFF1"/>
          </w:tcPr>
          <w:p>
            <w:pPr>
              <w:spacing w:after="0"/>
            </w:pPr>
            <w:r>
              <w:rPr>
                <w:rFonts w:ascii="Aptos" w:hAnsi="Aptos" w:eastAsia="Aptos"/>
                <w:b/>
                <w:color w:val="15334C"/>
                <w:sz w:val="17"/>
              </w:rPr>
              <w:t>Đơn vị soạn</w:t>
            </w:r>
          </w:p>
        </w:tc>
        <w:tc>
          <w:tcPr>
            <w:tcW w:type="dxa" w:w="3657"/>
            <w:tcMar>
              <w:top w:w="85" w:type="dxa"/>
              <w:start w:w="105" w:type="dxa"/>
              <w:bottom w:w="90" w:type="dxa"/>
              <w:end w:w="105" w:type="dxa"/>
            </w:tcMar>
            <w:vAlign w:val="center"/>
          </w:tcPr>
          <w:p>
            <w:pPr>
              <w:spacing w:after="0"/>
            </w:pPr>
            <w:r>
              <w:rPr>
                <w:rFonts w:ascii="Aptos" w:hAnsi="Aptos" w:eastAsia="Aptos"/>
                <w:b w:val="0"/>
                <w:color w:val="232E39"/>
                <w:sz w:val="17"/>
              </w:rPr>
              <w:t>Nexus – Project 07</w:t>
            </w:r>
          </w:p>
        </w:tc>
      </w:tr>
    </w:tbl>
    <w:p>
      <w:pPr>
        <w:spacing w:before="200" w:after="140"/>
      </w:pPr>
      <w:r>
        <w:rPr>
          <w:rFonts w:ascii="Aptos" w:hAnsi="Aptos" w:eastAsia="Aptos"/>
          <w:b/>
          <w:color w:val="126F77"/>
          <w:sz w:val="17"/>
        </w:rPr>
        <w:t xml:space="preserve">TÌNH TRẠNG: </w:t>
      </w:r>
      <w:r>
        <w:rPr>
          <w:rFonts w:ascii="Aptos" w:hAnsi="Aptos" w:eastAsia="Aptos"/>
          <w:b/>
          <w:color w:val="15334C"/>
          <w:sz w:val="17"/>
        </w:rPr>
        <w:t>VĂN BẢN GIẢ LẬP CHO ĐÀO TẠO / KIỂM THỬ – KHÔNG CÓ HIỆU LỰC TẠI NGÂN HÀNG THẬT</w:t>
      </w:r>
    </w:p>
    <w:p>
      <w:r>
        <w:rPr>
          <w:rFonts w:ascii="Aptos" w:hAnsi="Aptos" w:eastAsia="Aptos"/>
          <w:b w:val="0"/>
          <w:color w:val="232E39"/>
          <w:sz w:val="19"/>
        </w:rPr>
        <w:t>Quy định định hướng phân khúc, ngành nghề, mục đích sử dụng vốn và điều kiện chuyển phê duyệt tăng cường cho Ngân hàng Nexus Demo. Các tiêu chí cụ thể dưới đây là giả định nội bộ phục vụ kiểm thử LLM, không phải ngưỡng an toàn được cơ quan quản lý phê chuẩn.</w:t>
      </w:r>
    </w:p>
    <w:p>
      <w:pPr>
        <w:spacing w:after="140"/>
      </w:pPr>
      <w:r>
        <w:rPr>
          <w:rFonts w:ascii="Aptos" w:hAnsi="Aptos" w:eastAsia="Aptos"/>
          <w:b/>
          <w:color w:val="126F77"/>
          <w:sz w:val="18"/>
        </w:rPr>
        <w:t xml:space="preserve">Lưu ý thẩm quyền ban hành: </w:t>
      </w:r>
      <w:r>
        <w:rPr>
          <w:rFonts w:ascii="Aptos" w:hAnsi="Aptos" w:eastAsia="Aptos"/>
          <w:b w:val="0"/>
          <w:color w:val="5F6E79"/>
          <w:sz w:val="18"/>
        </w:rPr>
        <w:t>HĐQT Công ty Kiểm toán Nexus phê duyệt sử dụng bộ tiêu chí giả lập phục vụ Project 07, không thay mặt HĐQT của bất kỳ tổ chức tín dụng thực tế nào ban hành chính sách cho vay.</w:t>
      </w:r>
    </w:p>
    <w:p>
      <w:pPr>
        <w:pStyle w:val="Heading1"/>
      </w:pPr>
      <w:r>
        <w:t>CHƯƠNG I – PHẠM VI VÀ KHẨU VỊ RỦI RO</w:t>
      </w:r>
    </w:p>
    <w:p>
      <w:pPr>
        <w:pStyle w:val="Heading2"/>
        <w:spacing w:before="180"/>
      </w:pPr>
      <w:r>
        <w:rPr>
          <w:rFonts w:ascii="Aptos" w:hAnsi="Aptos" w:eastAsia="Aptos"/>
          <w:b/>
          <w:color w:val="15334C"/>
          <w:sz w:val="21"/>
        </w:rPr>
        <w:t>Điều 1. Phạm vi áp dụng và thứ tự ưu tiên</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CP-01</w:t>
      </w:r>
    </w:p>
    <w:p>
      <w:pPr>
        <w:spacing w:after="100"/>
      </w:pPr>
      <w:r>
        <w:rPr>
          <w:rFonts w:ascii="Aptos" w:hAnsi="Aptos" w:eastAsia="Aptos"/>
          <w:b w:val="0"/>
          <w:color w:val="232E39"/>
          <w:sz w:val="19"/>
        </w:rPr>
        <w:t>1. Chính sách áp dụng đối với đề nghị cho vay bằng VND trong bộ hồ sơ mô phỏng từ ngày 08/10/2026. Hồ sơ phát sinh trước ngày này phải kiểm tra phiên bản chính sách có hiệu lực tại thời điểm thẩm định/phê duyệt; không áp dụng hồi tố.</w:t>
      </w:r>
    </w:p>
    <w:p>
      <w:pPr>
        <w:spacing w:after="100"/>
      </w:pPr>
      <w:r>
        <w:rPr>
          <w:rFonts w:ascii="Aptos" w:hAnsi="Aptos" w:eastAsia="Aptos"/>
          <w:b w:val="0"/>
          <w:color w:val="232E39"/>
          <w:sz w:val="19"/>
        </w:rPr>
        <w:t>2. Quyết định cấp tín dụng phải tuân thủ đồng thời Chính sách tín dụng POL-CREDIT-01, Quy trình cho vay POL-LOAN-01 và Ma trận phân quyền POL-AUTH-01. Nếu các văn bản mâu thuẫn hoặc không xác định được phiên bản, dừng kết luận về kiểm soát liên quan và chuyển cấp có thẩm quyền xác minh.</w:t>
      </w:r>
    </w:p>
    <w:p>
      <w:pPr>
        <w:pStyle w:val="Heading2"/>
        <w:spacing w:before="180"/>
      </w:pPr>
      <w:r>
        <w:rPr>
          <w:rFonts w:ascii="Aptos" w:hAnsi="Aptos" w:eastAsia="Aptos"/>
          <w:b/>
          <w:color w:val="15334C"/>
          <w:sz w:val="21"/>
        </w:rPr>
        <w:t>Điều 2. Phân khúc khách hàng mục tiêu</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CP-02</w:t>
      </w:r>
    </w:p>
    <w:p>
      <w:pPr>
        <w:spacing w:after="100"/>
      </w:pPr>
      <w:r>
        <w:rPr>
          <w:rFonts w:ascii="Aptos" w:hAnsi="Aptos" w:eastAsia="Aptos"/>
          <w:b w:val="0"/>
          <w:color w:val="232E39"/>
          <w:sz w:val="19"/>
        </w:rPr>
        <w:t>1. Nhóm khách hàng mục tiêu gồm: (a) cá nhân vay phục vụ nhu cầu đời sống có nguồn trả nợ xác minh được; (b) hộ kinh doanh có lịch sử hoạt động và doanh thu có thể đối chiếu; (c) doanh nghiệp nhỏ và vừa có hoạt động sản xuất/kinh doanh hợp pháp và dòng tiền phù hợp.</w:t>
      </w:r>
    </w:p>
    <w:p>
      <w:pPr>
        <w:spacing w:after="100"/>
      </w:pPr>
      <w:r>
        <w:rPr>
          <w:rFonts w:ascii="Aptos" w:hAnsi="Aptos" w:eastAsia="Aptos"/>
          <w:b w:val="0"/>
          <w:color w:val="232E39"/>
          <w:sz w:val="19"/>
        </w:rPr>
        <w:t>2. Việc xác định phân khúc dựa vào đặc điểm kinh tế và khả năng chứng minh nguồn trả nợ, không dựa vào thuộc tính nhân thân được pháp luật bảo vệ. Khách hàng ngoài phân khúc mục tiêu không tự động bị cấm, nhưng phải lập tờ trình nêu lý do và cấp thẩm quyền xem xét.</w:t>
      </w:r>
    </w:p>
    <w:p>
      <w:pPr>
        <w:pStyle w:val="Heading2"/>
        <w:spacing w:before="180"/>
      </w:pPr>
      <w:r>
        <w:rPr>
          <w:rFonts w:ascii="Aptos" w:hAnsi="Aptos" w:eastAsia="Aptos"/>
          <w:b/>
          <w:color w:val="15334C"/>
          <w:sz w:val="21"/>
        </w:rPr>
        <w:t>Điều 3. Lĩnh vực được ưu tiên xem xét</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CP-03</w:t>
      </w:r>
    </w:p>
    <w:p>
      <w:pPr>
        <w:spacing w:after="100"/>
      </w:pPr>
      <w:r>
        <w:rPr>
          <w:rFonts w:ascii="Aptos" w:hAnsi="Aptos" w:eastAsia="Aptos"/>
          <w:b w:val="0"/>
          <w:color w:val="232E39"/>
          <w:sz w:val="19"/>
        </w:rPr>
        <w:t>1. Các lĩnh vực ưu tiên trong mô hình gồm: nông nghiệp chế biến; sản xuất hàng tiêu dùng thiết yếu; logistics phục vụ chuỗi cung ứng; năng lượng tiết kiệm và dự án có hồ sơ tác động môi trường phù hợp.</w:t>
      </w:r>
    </w:p>
    <w:p>
      <w:pPr>
        <w:spacing w:after="100"/>
      </w:pPr>
      <w:r>
        <w:rPr>
          <w:rFonts w:ascii="Aptos" w:hAnsi="Aptos" w:eastAsia="Aptos"/>
          <w:b w:val="0"/>
          <w:color w:val="232E39"/>
          <w:sz w:val="19"/>
        </w:rPr>
        <w:t>2. Thuộc nhóm ưu tiên không đồng nghĩa được chấp thuận tự động hoặc được miễn thẩm định. Mọi khoản vay phải thỏa điều kiện pháp lý, mục đích vốn, năng lực trả nợ, kiểm soát xung đột lợi ích và đúng thẩm quyền.</w:t>
      </w:r>
    </w:p>
    <w:p>
      <w:pPr>
        <w:pStyle w:val="Heading2"/>
        <w:spacing w:before="180"/>
      </w:pPr>
      <w:r>
        <w:rPr>
          <w:rFonts w:ascii="Aptos" w:hAnsi="Aptos" w:eastAsia="Aptos"/>
          <w:b/>
          <w:color w:val="15334C"/>
          <w:sz w:val="21"/>
        </w:rPr>
        <w:t>Điều 4. Ngành nghề hạn chế cấp tín dụng</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CP-04</w:t>
      </w:r>
    </w:p>
    <w:p>
      <w:pPr>
        <w:spacing w:after="100"/>
      </w:pPr>
      <w:r>
        <w:rPr>
          <w:rFonts w:ascii="Aptos" w:hAnsi="Aptos" w:eastAsia="Aptos"/>
          <w:b w:val="0"/>
          <w:color w:val="232E39"/>
          <w:sz w:val="19"/>
        </w:rPr>
        <w:t>1. Nhóm hạn chế theo khẩu vị nội bộ giả lập: đầu tư bất động sản mang tính đầu cơ, hoạt động kinh doanh có đòn bẩy tài chính đặc biệt cao hoặc dự án mới chưa có dữ liệu dòng tiền đủ tin cậy.</w:t>
      </w:r>
    </w:p>
    <w:p>
      <w:pPr>
        <w:spacing w:after="100"/>
      </w:pPr>
      <w:r>
        <w:rPr>
          <w:rFonts w:ascii="Aptos" w:hAnsi="Aptos" w:eastAsia="Aptos"/>
          <w:b w:val="0"/>
          <w:color w:val="232E39"/>
          <w:sz w:val="19"/>
        </w:rPr>
        <w:t>2. Đối với nhóm hạn chế, bắt buộc có báo cáo thẩm định tăng cường, đánh giá rủi ro riêng và phê duyệt của cấp Hội sở theo POL-AUTH-01; người duyệt cấp chi nhánh không tự phê duyệt dù số tiền trong hạn mức thông thường. Mã ngành/mục đích phải được xác minh bằng chứng, không chỉ căn cứ vào mô tả tự khai.</w:t>
      </w:r>
    </w:p>
    <w:p>
      <w:pPr>
        <w:pStyle w:val="Heading1"/>
      </w:pPr>
      <w:r>
        <w:t>CHƯƠNG II – NGÀNH CẤM, CHỈ TIÊU VÀ GIÁM SÁT</w:t>
      </w:r>
    </w:p>
    <w:p>
      <w:pPr>
        <w:pStyle w:val="Heading2"/>
        <w:spacing w:before="180"/>
      </w:pPr>
      <w:r>
        <w:rPr>
          <w:rFonts w:ascii="Aptos" w:hAnsi="Aptos" w:eastAsia="Aptos"/>
          <w:b/>
          <w:color w:val="15334C"/>
          <w:sz w:val="21"/>
        </w:rPr>
        <w:t>Điều 5. Lĩnh vực hoặc mục đích bị từ chối theo chính sách</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CP-05</w:t>
      </w:r>
    </w:p>
    <w:p>
      <w:pPr>
        <w:spacing w:after="100"/>
      </w:pPr>
      <w:r>
        <w:rPr>
          <w:rFonts w:ascii="Aptos" w:hAnsi="Aptos" w:eastAsia="Aptos"/>
          <w:b w:val="0"/>
          <w:color w:val="232E39"/>
          <w:sz w:val="19"/>
        </w:rPr>
        <w:t>1. Không xem xét cấp vốn cho mục đích trái pháp luật hoặc để trực tiếp tài trợ hoạt động bị cấm theo pháp luật áp dụng; ví dụ hoạt động đánh bạc không được phép, khai thác/mua bán động vật hoang dã trái pháp luật, kinh doanh hàng hóa bị cấm.</w:t>
      </w:r>
    </w:p>
    <w:p>
      <w:pPr>
        <w:spacing w:after="100"/>
      </w:pPr>
      <w:r>
        <w:rPr>
          <w:rFonts w:ascii="Aptos" w:hAnsi="Aptos" w:eastAsia="Aptos"/>
          <w:b w:val="0"/>
          <w:color w:val="232E39"/>
          <w:sz w:val="19"/>
        </w:rPr>
        <w:t>2. Danh mục trên là ví dụ để tạo dữ liệu demo, không thay thế việc thẩm tra pháp lý. Mọi tín hiệu ngành/mục đích bị cấm phải có mã xác minh và chứng cứ; khi thiếu chứng cứ, hệ thống chuyển rà soát thủ công thay vì mặc định là vi phạm đã xác nhận.</w:t>
      </w:r>
    </w:p>
    <w:p>
      <w:pPr>
        <w:pStyle w:val="Heading2"/>
        <w:spacing w:before="180"/>
      </w:pPr>
      <w:r>
        <w:rPr>
          <w:rFonts w:ascii="Aptos" w:hAnsi="Aptos" w:eastAsia="Aptos"/>
          <w:b/>
          <w:color w:val="15334C"/>
          <w:sz w:val="21"/>
        </w:rPr>
        <w:t>Điều 6. Ngưỡng thẩm định nguồn trả nợ</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CP-06</w:t>
      </w:r>
    </w:p>
    <w:p>
      <w:pPr>
        <w:spacing w:after="100"/>
      </w:pPr>
      <w:r>
        <w:rPr>
          <w:rFonts w:ascii="Aptos" w:hAnsi="Aptos" w:eastAsia="Aptos"/>
          <w:b w:val="0"/>
          <w:color w:val="232E39"/>
          <w:sz w:val="19"/>
        </w:rPr>
        <w:t>1. Ngưỡng nội bộ giả lập: cá nhân có tổng nghĩa vụ trả nợ định kỳ trên thu nhập khả dụng (DTI) không vượt 60%; doanh nghiệp/hộ kinh doanh có hệ số khả năng trả nợ (DSCR) từ 1,20 trở lên khi dữ liệu đáp ứng định nghĩa đo.</w:t>
      </w:r>
    </w:p>
    <w:p>
      <w:pPr>
        <w:spacing w:after="100"/>
      </w:pPr>
      <w:r>
        <w:rPr>
          <w:rFonts w:ascii="Aptos" w:hAnsi="Aptos" w:eastAsia="Aptos"/>
          <w:b w:val="0"/>
          <w:color w:val="232E39"/>
          <w:sz w:val="19"/>
        </w:rPr>
        <w:t>2. Không tính ngưỡng nếu thiếu kỳ đo hoặc đầu vào; không tự chấp nhận bằng cách lấy giá trị rỗng bằng 0. Hồ sơ không đạt ngưỡng phải thẩm định tăng cường và trình cấp Hội sở xem xét, không tự động kết luận khoản vay bị cấm theo pháp luật.</w:t>
      </w:r>
    </w:p>
    <w:p>
      <w:pPr>
        <w:pStyle w:val="Heading2"/>
        <w:spacing w:before="180"/>
      </w:pPr>
      <w:r>
        <w:rPr>
          <w:rFonts w:ascii="Aptos" w:hAnsi="Aptos" w:eastAsia="Aptos"/>
          <w:b/>
          <w:color w:val="15334C"/>
          <w:sz w:val="21"/>
        </w:rPr>
        <w:t>Điều 7. Giới hạn tập trung và trường hợp đặc biệt</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CP-07</w:t>
      </w:r>
    </w:p>
    <w:p>
      <w:pPr>
        <w:spacing w:after="100"/>
      </w:pPr>
      <w:r>
        <w:rPr>
          <w:rFonts w:ascii="Aptos" w:hAnsi="Aptos" w:eastAsia="Aptos"/>
          <w:b w:val="0"/>
          <w:color w:val="232E39"/>
          <w:sz w:val="19"/>
        </w:rPr>
        <w:t>1. Bộ phận quản trị rủi ro theo dõi tỷ lệ dư nợ theo nhóm ngành, phân khúc và nhóm khách hàng liên quan. Ngưỡng cảnh báo quản trị mô phỏng là 25% tổng danh mục cho một nhóm ngành; vượt ngưỡng phải lập báo cáo cảnh báo và kế hoạch kiểm soát.</w:t>
      </w:r>
    </w:p>
    <w:p>
      <w:pPr>
        <w:spacing w:after="100"/>
      </w:pPr>
      <w:r>
        <w:rPr>
          <w:rFonts w:ascii="Aptos" w:hAnsi="Aptos" w:eastAsia="Aptos"/>
          <w:b w:val="0"/>
          <w:color w:val="232E39"/>
          <w:sz w:val="19"/>
        </w:rPr>
        <w:t>2. Ngưỡng 25% là chỉ số theo dõi nội bộ cho bộ dữ liệu giả lập, không phải giới hạn cấp tín dụng theo pháp luật và không tự động làm vô hiệu từng quyết định cho vay. Các giới hạn pháp định phải được rà soát theo hồ sơ thực tế.</w:t>
      </w:r>
    </w:p>
    <w:p>
      <w:pPr>
        <w:pStyle w:val="Heading2"/>
        <w:spacing w:before="180"/>
      </w:pPr>
      <w:r>
        <w:rPr>
          <w:rFonts w:ascii="Aptos" w:hAnsi="Aptos" w:eastAsia="Aptos"/>
          <w:b/>
          <w:color w:val="15334C"/>
          <w:sz w:val="21"/>
        </w:rPr>
        <w:t>Điều 8. Phê duyệt ngoại lệ và rà soát định kỳ</w:t>
      </w:r>
    </w:p>
    <w:p>
      <w:pPr>
        <w:keepNext/>
        <w:spacing w:after="80"/>
      </w:pPr>
      <w:r>
        <w:rPr>
          <w:rFonts w:ascii="Aptos" w:hAnsi="Aptos" w:eastAsia="Aptos"/>
          <w:b/>
          <w:color w:val="126F77"/>
          <w:sz w:val="17"/>
        </w:rPr>
        <w:t xml:space="preserve">Mã kiểm soát: </w:t>
      </w:r>
      <w:r>
        <w:rPr>
          <w:rFonts w:ascii="Aptos" w:hAnsi="Aptos" w:eastAsia="Aptos"/>
          <w:b/>
          <w:color w:val="126F77"/>
          <w:sz w:val="17"/>
        </w:rPr>
        <w:t>CP-08</w:t>
      </w:r>
    </w:p>
    <w:p>
      <w:pPr>
        <w:spacing w:after="100"/>
      </w:pPr>
      <w:r>
        <w:rPr>
          <w:rFonts w:ascii="Aptos" w:hAnsi="Aptos" w:eastAsia="Aptos"/>
          <w:b w:val="0"/>
          <w:color w:val="232E39"/>
          <w:sz w:val="19"/>
        </w:rPr>
        <w:t>1. Ngoại lệ đối với ngành hạn chế hoặc ngưỡng DTI/DSCR phải có exception_id, lý do, ý kiến quản trị rủi ro, cấp phê duyệt và dấu thời gian; không cho phép ngoại lệ đối với mục đích trái pháp luật.</w:t>
      </w:r>
    </w:p>
    <w:p>
      <w:pPr>
        <w:spacing w:after="100"/>
      </w:pPr>
      <w:r>
        <w:rPr>
          <w:rFonts w:ascii="Aptos" w:hAnsi="Aptos" w:eastAsia="Aptos"/>
          <w:b w:val="0"/>
          <w:color w:val="232E39"/>
          <w:sz w:val="19"/>
        </w:rPr>
        <w:t>2. Chính sách được rà soát tối thiểu hằng năm hoặc khi thay đổi pháp lý/rủi ro trọng yếu. Việc sửa đổi ngưỡng, danh mục ngành hoặc phạm vi áp dụng phải tạo phiên bản mới và thực hiện đánh giá ảnh hưởng đối với RCM, test plan và kết quả cũ.</w:t>
      </w:r>
    </w:p>
    <w:p>
      <w:pPr>
        <w:pStyle w:val="Heading1"/>
      </w:pPr>
      <w:r>
        <w:t>GHI CHÚ QUẢN TRỊ TÀI LIỆU</w:t>
      </w:r>
    </w:p>
    <w:p>
      <w:r>
        <w:rPr>
          <w:rFonts w:ascii="Aptos" w:hAnsi="Aptos" w:eastAsia="Aptos"/>
          <w:b w:val="0"/>
          <w:color w:val="5F6E79"/>
          <w:sz w:val="17"/>
        </w:rPr>
        <w:t>Nguồn tham khảo về cấu trúc khung kiểm soát: Thông tư 39/2016/TT-NHNN (và văn bản sửa đổi liên quan) về hoạt động cho vay; Thông tư 83/2025/TT-NHNN về hệ thống kiểm soát nội bộ. Không có điều khoản hay hạn mức giả lập nào trong tài liệu này được trình bày là trích dẫn pháp luật. Khi kiểm toán hồ sơ thực tế phải đối chiếu văn bản pháp luật và chính sách ngân hàng có hiệu lực tại thời điểm phát sinh.</w:t>
      </w:r>
    </w:p>
    <w:p>
      <w:r>
        <w:rPr>
          <w:rFonts w:ascii="Aptos" w:hAnsi="Aptos" w:eastAsia="Aptos"/>
          <w:b/>
          <w:color w:val="126F77"/>
          <w:sz w:val="17"/>
        </w:rPr>
        <w:t>Trạng thái phê duyệt kịch bản: DỰ THẢO ĐÃ SOẠN ĐỂ MÔ PHỎNG – chờ nhóm Project 07 rà soát nội dung nghiệp vụ trước khi đưa vào bộ dữ liệu đánh giá.</w:t>
      </w:r>
    </w:p>
    <w:sectPr w:rsidR="00FC693F" w:rsidRPr="0006063C" w:rsidSect="00034616">
      <w:headerReference w:type="default" r:id="rId9"/>
      <w:footerReference w:type="default" r:id="rId10"/>
      <w:pgSz w:w="11906" w:h="16838"/>
      <w:pgMar w:top="1020" w:right="1020" w:bottom="1020"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5F6E79"/>
        <w:sz w:val="16"/>
      </w:rPr>
      <w:t xml:space="preserve">POL-CREDIT-01  |  v1.1  |  Tài liệu giả lập  •  Trang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126F77"/>
        <w:sz w:val="16"/>
      </w:rPr>
      <w:t>NEXUS  /  PROJECT 07   •   CHÍNH SÁCH MÔ PHỎNG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32E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b/>
      <w:bCs/>
      <w:color w:val="15334C"/>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5334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334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Tài liệu đầu vào LLM cho kiểm toán phê duyệt khoản vay: POL-CREDIT-01</dc:subject>
  <dc:creator>Nexus | Project 07 (tài liệu giả lập)</dc:creator>
  <cp:keywords/>
  <dc:description>generated by python-docx</dc:description>
  <cp:lastModifiedBy/>
  <cp:revision>1</cp:revision>
  <dcterms:created xsi:type="dcterms:W3CDTF">2013-12-23T23:15:00Z</dcterms:created>
  <dcterms:modified xsi:type="dcterms:W3CDTF">2013-12-23T23:15:00Z</dcterms:modified>
  <cp:category/>
</cp:coreProperties>
</file>