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jc w:val="center"/>
      </w:pPr>
      <w:r>
        <w:rPr>
          <w:rFonts w:ascii="Aptos" w:hAnsi="Aptos" w:eastAsia="Aptos"/>
          <w:b/>
          <w:color w:val="15334C"/>
          <w:sz w:val="20"/>
        </w:rPr>
        <w:t>CÔNG TY KIỂM TOÁN NEXUS</w:t>
      </w:r>
    </w:p>
    <w:p>
      <w:pPr>
        <w:spacing w:after="260"/>
        <w:jc w:val="center"/>
      </w:pPr>
      <w:r>
        <w:rPr>
          <w:rFonts w:ascii="Aptos" w:hAnsi="Aptos" w:eastAsia="Aptos"/>
          <w:b/>
          <w:color w:val="5F6E79"/>
          <w:sz w:val="16"/>
        </w:rPr>
        <w:t>HỘI ĐỒNG QUẢN TRỊ  |  BỘ TÀI LIỆU MÔ PHỎNG NGÂN HÀNG</w:t>
      </w:r>
    </w:p>
    <w:p>
      <w:pPr>
        <w:pStyle w:val="Title"/>
        <w:jc w:val="center"/>
      </w:pPr>
      <w:r>
        <w:rPr>
          <w:rFonts w:ascii="Aptos" w:hAnsi="Aptos" w:eastAsia="Aptos"/>
          <w:b/>
          <w:color w:val="15334C"/>
          <w:sz w:val="33"/>
        </w:rPr>
        <w:t>QUY CHẾ VÀ QUY TRÌNH CHO VAY NỘI BỘ</w:t>
      </w:r>
    </w:p>
    <w:p>
      <w:pPr>
        <w:spacing w:after="220"/>
        <w:jc w:val="center"/>
      </w:pPr>
      <w:r>
        <w:rPr>
          <w:rFonts w:ascii="Aptos" w:hAnsi="Aptos" w:eastAsia="Aptos"/>
          <w:b w:val="0"/>
          <w:color w:val="126F77"/>
          <w:sz w:val="21"/>
        </w:rPr>
        <w:t>Internal Lending Procedures</w:t>
      </w:r>
    </w:p>
    <w:tbl>
      <w:tblPr>
        <w:tblW w:type="auto" w:w="0"/>
        <w:jc w:val="center"/>
        <w:tblLayout w:type="fixed"/>
        <w:tblLook w:firstColumn="1" w:firstRow="1" w:lastColumn="0" w:lastRow="0" w:noHBand="0" w:noVBand="1" w:val="04A0"/>
      </w:tblPr>
      <w:tblGrid>
        <w:gridCol w:w="1531"/>
        <w:gridCol w:w="2835"/>
        <w:gridCol w:w="1587"/>
        <w:gridCol w:w="3657"/>
      </w:tblGrid>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Mã tài liệu</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POL-LOAN-01</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Phiên bản</w:t>
            </w:r>
          </w:p>
        </w:tc>
        <w:tc>
          <w:tcPr>
            <w:tcW w:type="dxa" w:w="3657"/>
            <w:tcMar>
              <w:top w:w="85" w:type="dxa"/>
              <w:start w:w="105" w:type="dxa"/>
              <w:bottom w:w="90" w:type="dxa"/>
              <w:end w:w="105" w:type="dxa"/>
            </w:tcMar>
            <w:vAlign w:val="center"/>
          </w:tcPr>
          <w:p>
            <w:r>
              <w:t>1.1</w:t>
            </w:r>
          </w:p>
        </w:tc>
      </w:tr>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Ngày ban hành</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08/10/2026</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Ngày hiệu lực</w:t>
            </w:r>
          </w:p>
        </w:tc>
        <w:tc>
          <w:tcPr>
            <w:tcW w:type="dxa" w:w="3657"/>
            <w:tcMar>
              <w:top w:w="85" w:type="dxa"/>
              <w:start w:w="105" w:type="dxa"/>
              <w:bottom w:w="90" w:type="dxa"/>
              <w:end w:w="105" w:type="dxa"/>
            </w:tcMar>
            <w:vAlign w:val="center"/>
          </w:tcPr>
          <w:p>
            <w:pPr>
              <w:spacing w:after="0"/>
            </w:pPr>
            <w:r>
              <w:rPr>
                <w:rFonts w:ascii="Aptos" w:hAnsi="Aptos" w:eastAsia="Aptos"/>
                <w:b w:val="0"/>
                <w:color w:val="232E39"/>
                <w:sz w:val="17"/>
              </w:rPr>
              <w:t>08/10/2026</w:t>
            </w:r>
          </w:p>
        </w:tc>
      </w:tr>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Phạm vi</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Ngân hàng Nexus Demo (giả lập)</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Đơn vị soạn</w:t>
            </w:r>
          </w:p>
        </w:tc>
        <w:tc>
          <w:tcPr>
            <w:tcW w:type="dxa" w:w="3657"/>
            <w:tcMar>
              <w:top w:w="85" w:type="dxa"/>
              <w:start w:w="105" w:type="dxa"/>
              <w:bottom w:w="90" w:type="dxa"/>
              <w:end w:w="105" w:type="dxa"/>
            </w:tcMar>
            <w:vAlign w:val="center"/>
          </w:tcPr>
          <w:p>
            <w:pPr>
              <w:spacing w:after="0"/>
            </w:pPr>
            <w:r>
              <w:rPr>
                <w:rFonts w:ascii="Aptos" w:hAnsi="Aptos" w:eastAsia="Aptos"/>
                <w:b w:val="0"/>
                <w:color w:val="232E39"/>
                <w:sz w:val="17"/>
              </w:rPr>
              <w:t>Nexus – Project 07</w:t>
            </w:r>
          </w:p>
        </w:tc>
      </w:tr>
    </w:tbl>
    <w:p>
      <w:pPr>
        <w:spacing w:before="200" w:after="140"/>
      </w:pPr>
      <w:r>
        <w:rPr>
          <w:rFonts w:ascii="Aptos" w:hAnsi="Aptos" w:eastAsia="Aptos"/>
          <w:b/>
          <w:color w:val="126F77"/>
          <w:sz w:val="17"/>
        </w:rPr>
        <w:t xml:space="preserve">TÌNH TRẠNG: </w:t>
      </w:r>
      <w:r>
        <w:rPr>
          <w:rFonts w:ascii="Aptos" w:hAnsi="Aptos" w:eastAsia="Aptos"/>
          <w:b/>
          <w:color w:val="15334C"/>
          <w:sz w:val="17"/>
        </w:rPr>
        <w:t>VĂN BẢN GIẢ LẬP CHO ĐÀO TẠO / KIỂM THỬ – KHÔNG CÓ HIỆU LỰC TẠI NGÂN HÀNG THẬT</w:t>
      </w:r>
    </w:p>
    <w:p>
      <w:r>
        <w:t>Quy định trình tự kiểm soát từ tiếp nhận hồ sơ đến thẩm định, phê duyệt, giải ngân và kiểm tra sau cho vay. Các Điều 1–5 giữ các nguyên tắc phép kiểm tra phân tách nhiệm vụ/phép kiểm tra thẩm quyền tự động/phép kiểm tra thứ tự giải ngân và xử lý ngoại lệ phù hợp với bản thiết kế Project 07.</w:t>
      </w:r>
    </w:p>
    <w:p>
      <w:pPr>
        <w:spacing w:after="140"/>
      </w:pPr>
      <w:r>
        <w:rPr>
          <w:rFonts w:ascii="Aptos" w:hAnsi="Aptos" w:eastAsia="Aptos"/>
          <w:b/>
          <w:color w:val="126F77"/>
          <w:sz w:val="18"/>
        </w:rPr>
        <w:t xml:space="preserve">Lưu ý thẩm quyền ban hành: </w:t>
      </w:r>
      <w:r>
        <w:rPr>
          <w:rFonts w:ascii="Aptos" w:hAnsi="Aptos" w:eastAsia="Aptos"/>
          <w:b w:val="0"/>
          <w:color w:val="5F6E79"/>
          <w:sz w:val="18"/>
        </w:rPr>
        <w:t>HĐQT Công ty Kiểm toán Nexus phê duyệt sử dụng bộ tiêu chí giả lập phục vụ Project 07, không thay mặt HĐQT của bất kỳ tổ chức tín dụng thực tế nào ban hành chính sách cho vay.</w:t>
      </w:r>
    </w:p>
    <w:p>
      <w:pPr>
        <w:pStyle w:val="Heading1"/>
      </w:pPr>
      <w:r>
        <w:t>CHƯƠNG I – NGUYÊN TẮC KIỂM SOÁT</w:t>
      </w:r>
    </w:p>
    <w:p>
      <w:pPr>
        <w:pStyle w:val="Heading2"/>
        <w:spacing w:before="180"/>
      </w:pPr>
      <w:r>
        <w:rPr>
          <w:rFonts w:ascii="Aptos" w:hAnsi="Aptos" w:eastAsia="Aptos"/>
          <w:b/>
          <w:color w:val="15334C"/>
          <w:sz w:val="21"/>
        </w:rPr>
        <w:t>Điều 1. Tiếp nhận hồ sơ và phân tách người lập/người duyệt</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LP-01</w:t>
      </w:r>
    </w:p>
    <w:p>
      <w:pPr>
        <w:spacing w:after="100"/>
      </w:pPr>
      <w:r>
        <w:rPr>
          <w:rFonts w:ascii="Aptos" w:hAnsi="Aptos" w:eastAsia="Aptos"/>
          <w:b w:val="0"/>
          <w:color w:val="232E39"/>
          <w:sz w:val="19"/>
        </w:rPr>
        <w:t>1. Cán bộ tiếp nhận tạo loan_id, ghi nhận mã dòng row_id, thời điểm nhận, loại khách hàng, mục đích vốn, tài liệu yêu cầu và người lập maker_id. Hồ sơ thiếu thông tin phải có danh mục cần bổ sung; không xóa dấu vết phiên bản trước.</w:t>
      </w:r>
    </w:p>
    <w:p>
      <w:pPr>
        <w:spacing w:after="100"/>
      </w:pPr>
      <w:r>
        <w:t>2. Đối với khoản đã được phê duyệt, maker_id và approver_id phải tồn tại và là hai nhân sự khác nhau. Nếu hai mã trùng nhau thì ghi sai lệch có căn cứ theo phép kiểm tra phân tách nhiệm vụ; nếu thiếu mã thì chưa đủ thông tin, không được kết luận tự động.</w:t>
      </w:r>
    </w:p>
    <w:p>
      <w:pPr>
        <w:pStyle w:val="Heading2"/>
        <w:spacing w:before="180"/>
      </w:pPr>
      <w:r>
        <w:rPr>
          <w:rFonts w:ascii="Aptos" w:hAnsi="Aptos" w:eastAsia="Aptos"/>
          <w:b/>
          <w:color w:val="15334C"/>
          <w:sz w:val="21"/>
        </w:rPr>
        <w:t>Điều 2. Thẩm định tín dụng và cấp phê duyệt trong phạm vi cơ sở</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LP-02</w:t>
      </w:r>
    </w:p>
    <w:p>
      <w:pPr>
        <w:spacing w:after="100"/>
      </w:pPr>
      <w:r>
        <w:rPr>
          <w:rFonts w:ascii="Aptos" w:hAnsi="Aptos" w:eastAsia="Aptos"/>
          <w:b w:val="0"/>
          <w:color w:val="232E39"/>
          <w:sz w:val="19"/>
        </w:rPr>
        <w:t>1. Chuyên viên thẩm định đánh giá tư cách khách hàng, mục đích sử dụng vốn, thông tin trả nợ và tiêu chí khẩu vị rủi ro; lưu biên bản thẩm định và tờ trình trước quyết định phê duyệt.</w:t>
      </w:r>
    </w:p>
    <w:p>
      <w:pPr>
        <w:spacing w:after="100"/>
      </w:pPr>
      <w:r>
        <w:rPr>
          <w:rFonts w:ascii="Aptos" w:hAnsi="Aptos" w:eastAsia="Aptos"/>
          <w:b w:val="0"/>
          <w:color w:val="232E39"/>
          <w:sz w:val="19"/>
        </w:rPr>
        <w:t>2. Theo hạn mức giả lập: khoản vay đến và bằng 500.000.000 VND thuộc cấp Trưởng phòng tín dụng; khoản trên 500.000.000 VND đến và bằng 2.000.000.000 VND thuộc cấp Giám đốc chi nhánh. Cấp cao hơn chỉ được duyệt khoản trong hạn mức cấp thấp hơn khi bảng phân quyền có hiệu lực cho phép; tham chiếu chi tiết POL-AUTH-01.</w:t>
      </w:r>
    </w:p>
    <w:p>
      <w:pPr>
        <w:pStyle w:val="Heading2"/>
        <w:spacing w:before="180"/>
      </w:pPr>
      <w:r>
        <w:t>Điều 3. Khoản vay trên 2 tỷ đồng và yêu cầu ngoài phạm vi phép kiểm tra thẩm quyền tự động</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LP-03</w:t>
      </w:r>
    </w:p>
    <w:p>
      <w:pPr>
        <w:spacing w:after="100"/>
      </w:pPr>
      <w:r>
        <w:t>1. Khoản vay có amount_vnd trên 2.000.000.000 VND phải chuyển phê duyệt cấp Hội sở/HĐQT giả lập theo POL-AUTH-01. phép kiểm tra thẩm quyền tự động trong prototype Project 07 chỉ kiểm tra tự động đến và bằng 2 tỷ đồng; khoản trên 2 tỷ ghi ngoài phạm vi tự động cho riêng phép kiểm tra thẩm quyền tự động và lập yêu cầu kiểm tra thủ công.</w:t>
      </w:r>
    </w:p>
    <w:p>
      <w:pPr>
        <w:spacing w:after="100"/>
      </w:pPr>
      <w:r>
        <w:t>2. ngoài phạm vi tự động không đồng nghĩa khoản vay vi phạm. phép kiểm tra phân tách nhiệm vụ và phép kiểm tra thứ tự giải ngân vẫn phải chạy độc lập khi đáp ứng điều kiện và có đủ dữ liệu; hồ sơ có yêu cầu nhiều người phê duyệt phải có đầy đủ biên bản, không suy từ một approver_id.</w:t>
      </w:r>
    </w:p>
    <w:p>
      <w:pPr>
        <w:pStyle w:val="Heading2"/>
        <w:spacing w:before="180"/>
      </w:pPr>
      <w:r>
        <w:rPr>
          <w:rFonts w:ascii="Aptos" w:hAnsi="Aptos" w:eastAsia="Aptos"/>
          <w:b/>
          <w:color w:val="15334C"/>
          <w:sz w:val="21"/>
        </w:rPr>
        <w:t>Điều 4. Quyết định phê duyệt trước khi giải ngân</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LP-04</w:t>
      </w:r>
    </w:p>
    <w:p>
      <w:pPr>
        <w:spacing w:after="100"/>
      </w:pPr>
      <w:r>
        <w:rPr>
          <w:rFonts w:ascii="Aptos" w:hAnsi="Aptos" w:eastAsia="Aptos"/>
          <w:b w:val="0"/>
          <w:color w:val="232E39"/>
          <w:sz w:val="19"/>
        </w:rPr>
        <w:t>1. Khoản vay đã giải ngân chỉ được giải ngân khi có quyết định phê duyệt hợp lệ và approval_time trước disbursement_time. Hai dấu thời gian bằng nhau không đáp ứng từ “trước” nếu độ chính xác dữ liệu cho phép phân biệt.</w:t>
      </w:r>
    </w:p>
    <w:p>
      <w:pPr>
        <w:spacing w:after="100"/>
      </w:pPr>
      <w:r>
        <w:t>2. Khi có đủ bằng chứng giải ngân trước hoặc không có phê duyệt hợp lệ, phép kiểm tra thứ tự giải ngân trả sai lệch có căn cứ. Khoản chưa giải ngân: NOT_APPLICABLE đối với thứ tự thời gian giải ngân; thiếu thời gian hoặc dữ liệu chỉ ghi ngày khi cùng ngày: chưa đủ thông tin.</w:t>
      </w:r>
    </w:p>
    <w:p>
      <w:pPr>
        <w:pStyle w:val="Heading2"/>
        <w:spacing w:before="180"/>
      </w:pPr>
      <w:r>
        <w:rPr>
          <w:rFonts w:ascii="Aptos" w:hAnsi="Aptos" w:eastAsia="Aptos"/>
          <w:b/>
          <w:color w:val="15334C"/>
          <w:sz w:val="21"/>
        </w:rPr>
        <w:t>Điều 5. Xử lý hồ sơ thiếu bằng chứng hoặc chính sách mâu thuẫn</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LP-05</w:t>
      </w:r>
    </w:p>
    <w:p>
      <w:pPr>
        <w:spacing w:after="100"/>
      </w:pPr>
      <w:r>
        <w:t>1. Thiếu chứng từ, trường dữ liệu hoặc bảng thẩm quyền dẫn đến không xác minh được kết quả: chuyển kiểm toán viên/bộ phận phụ trách bổ sung; không biến thành PASS hoặc sai lệch có căn cứ đã xác nhận.</w:t>
      </w:r>
    </w:p>
    <w:p>
      <w:pPr>
        <w:spacing w:after="100"/>
      </w:pPr>
      <w:r>
        <w:rPr>
          <w:rFonts w:ascii="Aptos" w:hAnsi="Aptos" w:eastAsia="Aptos"/>
          <w:b w:val="0"/>
          <w:color w:val="232E39"/>
          <w:sz w:val="19"/>
        </w:rPr>
        <w:t>2. Nếu các điều khoản chính sách/bảng phân quyền đồng thời có hiệu lực nhưng mâu thuẫn về ngưỡng hoặc cấp duyệt, dừng test liên quan với BLOCKED. Hồ sơ ngoại lệ phải có case_id, owner, quyết định, evidence và thời điểm xử lý.</w:t>
      </w:r>
    </w:p>
    <w:p>
      <w:pPr>
        <w:pStyle w:val="Heading1"/>
      </w:pPr>
      <w:r>
        <w:t>CHƯƠNG II – TRÌNH TỰ TÁC NGHIỆP</w:t>
      </w:r>
    </w:p>
    <w:p>
      <w:pPr>
        <w:pStyle w:val="Heading2"/>
        <w:spacing w:before="180"/>
      </w:pPr>
      <w:r>
        <w:rPr>
          <w:rFonts w:ascii="Aptos" w:hAnsi="Aptos" w:eastAsia="Aptos"/>
          <w:b/>
          <w:color w:val="15334C"/>
          <w:sz w:val="21"/>
        </w:rPr>
        <w:t>Điều 6. Quy trình tiếp nhận và hoàn tất thẩm định</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LP-06</w:t>
      </w:r>
    </w:p>
    <w:p>
      <w:pPr>
        <w:spacing w:after="100"/>
      </w:pPr>
      <w:r>
        <w:rPr>
          <w:rFonts w:ascii="Aptos" w:hAnsi="Aptos" w:eastAsia="Aptos"/>
          <w:b w:val="0"/>
          <w:color w:val="232E39"/>
          <w:sz w:val="19"/>
        </w:rPr>
        <w:t>1. Bước 1: tiếp nhận và xác minh danh mục hồ sơ, mở loan_id; Bước 2: đối chiếu danh tính, mục đích sử dụng vốn và các dấu hiệu hạn chế/cấm theo POL-CREDIT-01; Bước 3: phân công cán bộ thẩm định độc lập và hoàn tất biên bản.</w:t>
      </w:r>
    </w:p>
    <w:p>
      <w:pPr>
        <w:spacing w:after="100"/>
      </w:pPr>
      <w:r>
        <w:rPr>
          <w:rFonts w:ascii="Aptos" w:hAnsi="Aptos" w:eastAsia="Aptos"/>
          <w:b w:val="0"/>
          <w:color w:val="232E39"/>
          <w:sz w:val="19"/>
        </w:rPr>
        <w:t>2. Mọi báo cáo thẩm định phải thể hiện appraisal_id, người thực hiện, thời gian hoàn thành và đề xuất xử lý. Không trình phê duyệt khi appraisal_complete_time sau approval_time, trừ khi hồ sơ có bằng chứng xem xét lại được phê chuẩn.</w:t>
      </w:r>
    </w:p>
    <w:p>
      <w:pPr>
        <w:pStyle w:val="Heading2"/>
        <w:spacing w:before="180"/>
      </w:pPr>
      <w:r>
        <w:rPr>
          <w:rFonts w:ascii="Aptos" w:hAnsi="Aptos" w:eastAsia="Aptos"/>
          <w:b/>
          <w:color w:val="15334C"/>
          <w:sz w:val="21"/>
        </w:rPr>
        <w:t>Điều 7. Trình phê duyệt và ghi nhận quyết định</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LP-07</w:t>
      </w:r>
    </w:p>
    <w:p>
      <w:pPr>
        <w:spacing w:after="100"/>
      </w:pPr>
      <w:r>
        <w:rPr>
          <w:rFonts w:ascii="Aptos" w:hAnsi="Aptos" w:eastAsia="Aptos"/>
          <w:b w:val="0"/>
          <w:color w:val="232E39"/>
          <w:sz w:val="19"/>
        </w:rPr>
        <w:t>1. Bước 4: xác định cấp duyệt theo POL-AUTH-01 tại approval_time và kiểm tra ủy quyền. Bước 5: người phê duyệt được phân quyền chấp thuận/từ chối/yêu cầu bổ sung, ghi quyết định với approval_doc_id, thời gian và điều kiện giải ngân.</w:t>
      </w:r>
    </w:p>
    <w:p>
      <w:pPr>
        <w:spacing w:after="100"/>
      </w:pPr>
      <w:r>
        <w:rPr>
          <w:rFonts w:ascii="Aptos" w:hAnsi="Aptos" w:eastAsia="Aptos"/>
          <w:b w:val="0"/>
          <w:color w:val="232E39"/>
          <w:sz w:val="19"/>
        </w:rPr>
        <w:t>2. Người duyệt không được tự xóa hoặc thay đổi log người lập; quyết định điều chỉnh phải tạo phiên bản mới. Nếu thiếu chứng cứ vai trò/ủy quyền tại thời điểm phê duyệt, không coi là đúng thẩm quyền.</w:t>
      </w:r>
    </w:p>
    <w:p>
      <w:pPr>
        <w:pStyle w:val="Heading2"/>
        <w:spacing w:before="180"/>
      </w:pPr>
      <w:r>
        <w:rPr>
          <w:rFonts w:ascii="Aptos" w:hAnsi="Aptos" w:eastAsia="Aptos"/>
          <w:b/>
          <w:color w:val="15334C"/>
          <w:sz w:val="21"/>
        </w:rPr>
        <w:t>Điều 8. Kiểm soát điều kiện và thực hiện giải ngân</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LP-08</w:t>
      </w:r>
    </w:p>
    <w:p>
      <w:pPr>
        <w:spacing w:after="100"/>
      </w:pPr>
      <w:r>
        <w:rPr>
          <w:rFonts w:ascii="Aptos" w:hAnsi="Aptos" w:eastAsia="Aptos"/>
          <w:b w:val="0"/>
          <w:color w:val="232E39"/>
          <w:sz w:val="19"/>
        </w:rPr>
        <w:t>1. Bước 6: bộ phận giải ngân xác minh quyết định có hiệu lực, điều kiện giải ngân đã đáp ứng, người thụ hưởng và số tiền giải ngân. Bước 7: ghi disbursement_status, disbursement_time và chứng từ giao dịch.</w:t>
      </w:r>
    </w:p>
    <w:p>
      <w:pPr>
        <w:spacing w:after="100"/>
      </w:pPr>
      <w:r>
        <w:t>2. Không giải ngân khi quyết định chưa có hoặc chưa đủ điều kiện; trường hợp có dấu hiệu khẩn cấp vẫn phải áp dụng quy trình phê duyệt ngoại lệ có lưu hồ sơ, không tự bỏ qua phép kiểm tra thứ tự giải ngân.</w:t>
      </w:r>
    </w:p>
    <w:p>
      <w:pPr>
        <w:pStyle w:val="Heading2"/>
        <w:spacing w:before="180"/>
      </w:pPr>
      <w:r>
        <w:rPr>
          <w:rFonts w:ascii="Aptos" w:hAnsi="Aptos" w:eastAsia="Aptos"/>
          <w:b/>
          <w:color w:val="15334C"/>
          <w:sz w:val="21"/>
        </w:rPr>
        <w:t>Điều 9. Kiểm tra sau cho vay và lưu trữ hồ sơ</w:t>
      </w:r>
    </w:p>
    <w:p>
      <w:pPr>
        <w:keepNext/>
        <w:spacing w:after="80"/>
      </w:pPr>
      <w:r>
        <w:rPr>
          <w:rFonts w:ascii="Aptos" w:hAnsi="Aptos" w:eastAsia="Aptos"/>
          <w:b/>
          <w:color w:val="126F77"/>
          <w:sz w:val="17"/>
        </w:rPr>
        <w:t xml:space="preserve">Mã kiểm soát: </w:t>
      </w:r>
      <w:r>
        <w:rPr>
          <w:rFonts w:ascii="Aptos" w:hAnsi="Aptos" w:eastAsia="Aptos"/>
          <w:b/>
          <w:color w:val="126F77"/>
          <w:sz w:val="17"/>
        </w:rPr>
        <w:t>LP-09</w:t>
      </w:r>
    </w:p>
    <w:p>
      <w:pPr>
        <w:spacing w:after="100"/>
      </w:pPr>
      <w:r>
        <w:rPr>
          <w:rFonts w:ascii="Aptos" w:hAnsi="Aptos" w:eastAsia="Aptos"/>
          <w:b w:val="0"/>
          <w:color w:val="232E39"/>
          <w:sz w:val="19"/>
        </w:rPr>
        <w:t>1. Bước 8: bộ phận quản lý khoản vay lập lịch kiểm tra sử dụng vốn, tình trạng thanh toán và cam kết sau giải ngân; hồ sơ có dấu hiệu sai lệch phải có biên bản xử lý và thời hạn khắc phục.</w:t>
      </w:r>
    </w:p>
    <w:p>
      <w:pPr>
        <w:spacing w:after="100"/>
      </w:pPr>
      <w:r>
        <w:rPr>
          <w:rFonts w:ascii="Aptos" w:hAnsi="Aptos" w:eastAsia="Aptos"/>
          <w:b w:val="0"/>
          <w:color w:val="232E39"/>
          <w:sz w:val="19"/>
        </w:rPr>
        <w:t>2. Lưu đầy đủ policy_version, dataset_version, quyết định phê duyệt, hồ sơ thẩm định, chứng từ giải ngân và biên bản hậu kiểm theo định danh; thay đổi dữ liệu không được ghi đè làm mất lịch sử. Tất cả phát hiện kiểm toán phải truy vết ngược tới dòng dữ liệu và chứng từ.</w:t>
      </w:r>
    </w:p>
    <w:p>
      <w:pPr>
        <w:pStyle w:val="Heading1"/>
      </w:pPr>
      <w:r>
        <w:t>GHI CHÚ QUẢN TRỊ TÀI LIỆU</w:t>
      </w:r>
    </w:p>
    <w:p>
      <w:r>
        <w:rPr>
          <w:rFonts w:ascii="Aptos" w:hAnsi="Aptos" w:eastAsia="Aptos"/>
          <w:b w:val="0"/>
          <w:color w:val="5F6E79"/>
          <w:sz w:val="17"/>
        </w:rPr>
        <w:t>Nguồn tham khảo về cấu trúc khung kiểm soát: Thông tư 39/2016/TT-NHNN (và văn bản sửa đổi liên quan) về hoạt động cho vay; Thông tư 83/2025/TT-NHNN về hệ thống kiểm soát nội bộ. Không có điều khoản hay hạn mức giả lập nào trong tài liệu này được trình bày là trích dẫn pháp luật. Khi kiểm toán hồ sơ thực tế phải đối chiếu văn bản pháp luật và chính sách ngân hàng có hiệu lực tại thời điểm phát sinh.</w:t>
      </w:r>
    </w:p>
    <w:p>
      <w:r>
        <w:rPr>
          <w:rFonts w:ascii="Aptos" w:hAnsi="Aptos" w:eastAsia="Aptos"/>
          <w:b/>
          <w:color w:val="126F77"/>
          <w:sz w:val="17"/>
        </w:rPr>
        <w:t>Trạng thái phê duyệt kịch bản: DỰ THẢO ĐÃ SOẠN ĐỂ MÔ PHỎNG – chờ nhóm Project 07 rà soát nội dung nghiệp vụ trước khi đưa vào bộ dữ liệu đánh giá.</w:t>
      </w:r>
    </w:p>
    <w:sectPr w:rsidR="00FC693F" w:rsidRPr="0006063C" w:rsidSect="00034616">
      <w:headerReference w:type="default" r:id="rId9"/>
      <w:footerReference w:type="default" r:id="rId10"/>
      <w:pgSz w:w="11906" w:h="16838"/>
      <w:pgMar w:top="1020" w:right="1020" w:bottom="1020"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5F6E79"/>
        <w:sz w:val="16"/>
      </w:rPr>
      <w:t xml:space="preserve">POL-LOAN-01  |  v1.1  |  Tài liệu giả lập  •  Trang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126F77"/>
        <w:sz w:val="16"/>
      </w:rPr>
      <w:t>NEXUS  /  PROJECT 07   •   CHÍNH SÁCH MÔ PHỎNG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32E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15334C"/>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5334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34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Tài liệu đầu vào LLM cho kiểm toán phê duyệt khoản vay: POL-LOAN-01</dc:subject>
  <dc:creator>Nexus | Project 07 (tài liệu giả lập)</dc:creator>
  <cp:keywords/>
  <dc:description>generated by python-docx</dc:description>
  <cp:lastModifiedBy/>
  <cp:revision>1</cp:revision>
  <dcterms:created xsi:type="dcterms:W3CDTF">2013-12-23T23:15:00Z</dcterms:created>
  <dcterms:modified xsi:type="dcterms:W3CDTF">2013-12-23T23:15:00Z</dcterms:modified>
  <cp:category/>
</cp:coreProperties>
</file>