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jc w:val="center"/>
      </w:pPr>
      <w:r>
        <w:rPr>
          <w:rFonts w:ascii="Aptos" w:hAnsi="Aptos" w:eastAsia="Aptos"/>
          <w:b/>
          <w:color w:val="15334C"/>
          <w:sz w:val="20"/>
        </w:rPr>
        <w:t>CÔNG TY KIỂM TOÁN NEXUS</w:t>
      </w:r>
    </w:p>
    <w:p>
      <w:pPr>
        <w:spacing w:after="260"/>
        <w:jc w:val="center"/>
      </w:pPr>
      <w:r>
        <w:rPr>
          <w:rFonts w:ascii="Aptos" w:hAnsi="Aptos" w:eastAsia="Aptos"/>
          <w:b/>
          <w:color w:val="5F6E79"/>
          <w:sz w:val="16"/>
        </w:rPr>
        <w:t>HỘI ĐỒNG QUẢN TRỊ  |  BỘ TÀI LIỆU MÔ PHỎNG NGÂN HÀNG</w:t>
      </w:r>
    </w:p>
    <w:p>
      <w:pPr>
        <w:pStyle w:val="Title"/>
        <w:jc w:val="center"/>
      </w:pPr>
      <w:r>
        <w:rPr>
          <w:rFonts w:ascii="Aptos" w:hAnsi="Aptos" w:eastAsia="Aptos"/>
          <w:b/>
          <w:color w:val="15334C"/>
          <w:sz w:val="33"/>
        </w:rPr>
        <w:t>MA TRẬN PHÂN QUYỀN PHÊ DUYỆT TÍN DỤNG</w:t>
      </w:r>
    </w:p>
    <w:p>
      <w:pPr>
        <w:spacing w:after="220"/>
        <w:jc w:val="center"/>
      </w:pPr>
      <w:r>
        <w:rPr>
          <w:rFonts w:ascii="Aptos" w:hAnsi="Aptos" w:eastAsia="Aptos"/>
          <w:b w:val="0"/>
          <w:color w:val="126F77"/>
          <w:sz w:val="21"/>
        </w:rPr>
        <w:t>Credit Approval Authority Matrix</w:t>
      </w:r>
    </w:p>
    <w:tbl>
      <w:tblPr>
        <w:tblW w:type="auto" w:w="0"/>
        <w:jc w:val="center"/>
        <w:tblLayout w:type="fixed"/>
        <w:tblLook w:firstColumn="1" w:firstRow="1" w:lastColumn="0" w:lastRow="0" w:noHBand="0" w:noVBand="1" w:val="04A0"/>
      </w:tblPr>
      <w:tblGrid>
        <w:gridCol w:w="1531"/>
        <w:gridCol w:w="2835"/>
        <w:gridCol w:w="1587"/>
        <w:gridCol w:w="3657"/>
      </w:tblGrid>
      <w:tr>
        <w:trPr>
          <w:cantSplit/>
        </w:trPr>
        <w:tc>
          <w:tcPr>
            <w:tcW w:type="dxa" w:w="1531"/>
            <w:tcMar>
              <w:top w:w="85" w:type="dxa"/>
              <w:start w:w="105" w:type="dxa"/>
              <w:bottom w:w="90" w:type="dxa"/>
              <w:end w:w="105" w:type="dxa"/>
            </w:tcMar>
            <w:vAlign w:val="center"/>
            <w:shd w:fill="E7EFF1"/>
          </w:tcPr>
          <w:p>
            <w:pPr>
              <w:spacing w:after="0"/>
            </w:pPr>
            <w:r>
              <w:rPr>
                <w:rFonts w:ascii="Aptos" w:hAnsi="Aptos" w:eastAsia="Aptos"/>
                <w:b/>
                <w:color w:val="15334C"/>
                <w:sz w:val="17"/>
              </w:rPr>
              <w:t>Mã tài liệu</w:t>
            </w:r>
          </w:p>
        </w:tc>
        <w:tc>
          <w:tcPr>
            <w:tcW w:type="dxa" w:w="2835"/>
            <w:tcMar>
              <w:top w:w="85" w:type="dxa"/>
              <w:start w:w="105" w:type="dxa"/>
              <w:bottom w:w="90" w:type="dxa"/>
              <w:end w:w="105" w:type="dxa"/>
            </w:tcMar>
            <w:vAlign w:val="center"/>
          </w:tcPr>
          <w:p>
            <w:pPr>
              <w:spacing w:after="0"/>
            </w:pPr>
            <w:r>
              <w:rPr>
                <w:rFonts w:ascii="Aptos" w:hAnsi="Aptos" w:eastAsia="Aptos"/>
                <w:b w:val="0"/>
                <w:color w:val="232E39"/>
                <w:sz w:val="17"/>
              </w:rPr>
              <w:t>POL-AUTH-01</w:t>
            </w:r>
          </w:p>
        </w:tc>
        <w:tc>
          <w:tcPr>
            <w:tcW w:type="dxa" w:w="1587"/>
            <w:tcMar>
              <w:top w:w="85" w:type="dxa"/>
              <w:start w:w="105" w:type="dxa"/>
              <w:bottom w:w="90" w:type="dxa"/>
              <w:end w:w="105" w:type="dxa"/>
            </w:tcMar>
            <w:vAlign w:val="center"/>
            <w:shd w:fill="E7EFF1"/>
          </w:tcPr>
          <w:p>
            <w:pPr>
              <w:spacing w:after="0"/>
            </w:pPr>
            <w:r>
              <w:rPr>
                <w:rFonts w:ascii="Aptos" w:hAnsi="Aptos" w:eastAsia="Aptos"/>
                <w:b/>
                <w:color w:val="15334C"/>
                <w:sz w:val="17"/>
              </w:rPr>
              <w:t>Phiên bản</w:t>
            </w:r>
          </w:p>
        </w:tc>
        <w:tc>
          <w:tcPr>
            <w:tcW w:type="dxa" w:w="3657"/>
            <w:tcMar>
              <w:top w:w="85" w:type="dxa"/>
              <w:start w:w="105" w:type="dxa"/>
              <w:bottom w:w="90" w:type="dxa"/>
              <w:end w:w="105" w:type="dxa"/>
            </w:tcMar>
            <w:vAlign w:val="center"/>
          </w:tcPr>
          <w:p>
            <w:r>
              <w:t>1.1</w:t>
            </w:r>
          </w:p>
        </w:tc>
      </w:tr>
      <w:tr>
        <w:trPr>
          <w:cantSplit/>
        </w:trPr>
        <w:tc>
          <w:tcPr>
            <w:tcW w:type="dxa" w:w="1531"/>
            <w:tcMar>
              <w:top w:w="85" w:type="dxa"/>
              <w:start w:w="105" w:type="dxa"/>
              <w:bottom w:w="90" w:type="dxa"/>
              <w:end w:w="105" w:type="dxa"/>
            </w:tcMar>
            <w:vAlign w:val="center"/>
            <w:shd w:fill="E7EFF1"/>
          </w:tcPr>
          <w:p>
            <w:pPr>
              <w:spacing w:after="0"/>
            </w:pPr>
            <w:r>
              <w:rPr>
                <w:rFonts w:ascii="Aptos" w:hAnsi="Aptos" w:eastAsia="Aptos"/>
                <w:b/>
                <w:color w:val="15334C"/>
                <w:sz w:val="17"/>
              </w:rPr>
              <w:t>Ngày ban hành</w:t>
            </w:r>
          </w:p>
        </w:tc>
        <w:tc>
          <w:tcPr>
            <w:tcW w:type="dxa" w:w="2835"/>
            <w:tcMar>
              <w:top w:w="85" w:type="dxa"/>
              <w:start w:w="105" w:type="dxa"/>
              <w:bottom w:w="90" w:type="dxa"/>
              <w:end w:w="105" w:type="dxa"/>
            </w:tcMar>
            <w:vAlign w:val="center"/>
          </w:tcPr>
          <w:p>
            <w:pPr>
              <w:spacing w:after="0"/>
            </w:pPr>
            <w:r>
              <w:rPr>
                <w:rFonts w:ascii="Aptos" w:hAnsi="Aptos" w:eastAsia="Aptos"/>
                <w:b w:val="0"/>
                <w:color w:val="232E39"/>
                <w:sz w:val="17"/>
              </w:rPr>
              <w:t>08/10/2026</w:t>
            </w:r>
          </w:p>
        </w:tc>
        <w:tc>
          <w:tcPr>
            <w:tcW w:type="dxa" w:w="1587"/>
            <w:tcMar>
              <w:top w:w="85" w:type="dxa"/>
              <w:start w:w="105" w:type="dxa"/>
              <w:bottom w:w="90" w:type="dxa"/>
              <w:end w:w="105" w:type="dxa"/>
            </w:tcMar>
            <w:vAlign w:val="center"/>
            <w:shd w:fill="E7EFF1"/>
          </w:tcPr>
          <w:p>
            <w:pPr>
              <w:spacing w:after="0"/>
            </w:pPr>
            <w:r>
              <w:rPr>
                <w:rFonts w:ascii="Aptos" w:hAnsi="Aptos" w:eastAsia="Aptos"/>
                <w:b/>
                <w:color w:val="15334C"/>
                <w:sz w:val="17"/>
              </w:rPr>
              <w:t>Ngày hiệu lực</w:t>
            </w:r>
          </w:p>
        </w:tc>
        <w:tc>
          <w:tcPr>
            <w:tcW w:type="dxa" w:w="3657"/>
            <w:tcMar>
              <w:top w:w="85" w:type="dxa"/>
              <w:start w:w="105" w:type="dxa"/>
              <w:bottom w:w="90" w:type="dxa"/>
              <w:end w:w="105" w:type="dxa"/>
            </w:tcMar>
            <w:vAlign w:val="center"/>
          </w:tcPr>
          <w:p>
            <w:pPr>
              <w:spacing w:after="0"/>
            </w:pPr>
            <w:r>
              <w:rPr>
                <w:rFonts w:ascii="Aptos" w:hAnsi="Aptos" w:eastAsia="Aptos"/>
                <w:b w:val="0"/>
                <w:color w:val="232E39"/>
                <w:sz w:val="17"/>
              </w:rPr>
              <w:t>08/10/2026</w:t>
            </w:r>
          </w:p>
        </w:tc>
      </w:tr>
      <w:tr>
        <w:trPr>
          <w:cantSplit/>
        </w:trPr>
        <w:tc>
          <w:tcPr>
            <w:tcW w:type="dxa" w:w="1531"/>
            <w:tcMar>
              <w:top w:w="85" w:type="dxa"/>
              <w:start w:w="105" w:type="dxa"/>
              <w:bottom w:w="90" w:type="dxa"/>
              <w:end w:w="105" w:type="dxa"/>
            </w:tcMar>
            <w:vAlign w:val="center"/>
            <w:shd w:fill="E7EFF1"/>
          </w:tcPr>
          <w:p>
            <w:pPr>
              <w:spacing w:after="0"/>
            </w:pPr>
            <w:r>
              <w:rPr>
                <w:rFonts w:ascii="Aptos" w:hAnsi="Aptos" w:eastAsia="Aptos"/>
                <w:b/>
                <w:color w:val="15334C"/>
                <w:sz w:val="17"/>
              </w:rPr>
              <w:t>Phạm vi</w:t>
            </w:r>
          </w:p>
        </w:tc>
        <w:tc>
          <w:tcPr>
            <w:tcW w:type="dxa" w:w="2835"/>
            <w:tcMar>
              <w:top w:w="85" w:type="dxa"/>
              <w:start w:w="105" w:type="dxa"/>
              <w:bottom w:w="90" w:type="dxa"/>
              <w:end w:w="105" w:type="dxa"/>
            </w:tcMar>
            <w:vAlign w:val="center"/>
          </w:tcPr>
          <w:p>
            <w:pPr>
              <w:spacing w:after="0"/>
            </w:pPr>
            <w:r>
              <w:rPr>
                <w:rFonts w:ascii="Aptos" w:hAnsi="Aptos" w:eastAsia="Aptos"/>
                <w:b w:val="0"/>
                <w:color w:val="232E39"/>
                <w:sz w:val="17"/>
              </w:rPr>
              <w:t>Ngân hàng Nexus Demo (giả lập)</w:t>
            </w:r>
          </w:p>
        </w:tc>
        <w:tc>
          <w:tcPr>
            <w:tcW w:type="dxa" w:w="1587"/>
            <w:tcMar>
              <w:top w:w="85" w:type="dxa"/>
              <w:start w:w="105" w:type="dxa"/>
              <w:bottom w:w="90" w:type="dxa"/>
              <w:end w:w="105" w:type="dxa"/>
            </w:tcMar>
            <w:vAlign w:val="center"/>
            <w:shd w:fill="E7EFF1"/>
          </w:tcPr>
          <w:p>
            <w:pPr>
              <w:spacing w:after="0"/>
            </w:pPr>
            <w:r>
              <w:rPr>
                <w:rFonts w:ascii="Aptos" w:hAnsi="Aptos" w:eastAsia="Aptos"/>
                <w:b/>
                <w:color w:val="15334C"/>
                <w:sz w:val="17"/>
              </w:rPr>
              <w:t>Đơn vị soạn</w:t>
            </w:r>
          </w:p>
        </w:tc>
        <w:tc>
          <w:tcPr>
            <w:tcW w:type="dxa" w:w="3657"/>
            <w:tcMar>
              <w:top w:w="85" w:type="dxa"/>
              <w:start w:w="105" w:type="dxa"/>
              <w:bottom w:w="90" w:type="dxa"/>
              <w:end w:w="105" w:type="dxa"/>
            </w:tcMar>
            <w:vAlign w:val="center"/>
          </w:tcPr>
          <w:p>
            <w:pPr>
              <w:spacing w:after="0"/>
            </w:pPr>
            <w:r>
              <w:rPr>
                <w:rFonts w:ascii="Aptos" w:hAnsi="Aptos" w:eastAsia="Aptos"/>
                <w:b w:val="0"/>
                <w:color w:val="232E39"/>
                <w:sz w:val="17"/>
              </w:rPr>
              <w:t>Nexus – Project 07</w:t>
            </w:r>
          </w:p>
        </w:tc>
      </w:tr>
    </w:tbl>
    <w:p>
      <w:pPr>
        <w:spacing w:before="200" w:after="140"/>
      </w:pPr>
      <w:r>
        <w:rPr>
          <w:rFonts w:ascii="Aptos" w:hAnsi="Aptos" w:eastAsia="Aptos"/>
          <w:b/>
          <w:color w:val="126F77"/>
          <w:sz w:val="17"/>
        </w:rPr>
        <w:t xml:space="preserve">TÌNH TRẠNG: </w:t>
      </w:r>
      <w:r>
        <w:rPr>
          <w:rFonts w:ascii="Aptos" w:hAnsi="Aptos" w:eastAsia="Aptos"/>
          <w:b/>
          <w:color w:val="15334C"/>
          <w:sz w:val="17"/>
        </w:rPr>
        <w:t>VĂN BẢN GIẢ LẬP CHO ĐÀO TẠO / KIỂM THỬ – KHÔNG CÓ HIỆU LỰC TẠI NGÂN HÀNG THẬT</w:t>
      </w:r>
    </w:p>
    <w:p>
      <w:r>
        <w:t>Quy định các cấp có quyền phê duyệt theo số tiền, chi nhánh, thời điểm và ủy quyền. Hạn mức là con số mô phỏng được xây dựng để duy trì tương thích với kiểm thử phép kiểm tra thẩm quyền tự động của Project 07 (tự động hóa tối đa 2 tỷ đồng).</w:t>
      </w:r>
    </w:p>
    <w:p>
      <w:pPr>
        <w:spacing w:after="140"/>
      </w:pPr>
      <w:r>
        <w:rPr>
          <w:rFonts w:ascii="Aptos" w:hAnsi="Aptos" w:eastAsia="Aptos"/>
          <w:b/>
          <w:color w:val="126F77"/>
          <w:sz w:val="18"/>
        </w:rPr>
        <w:t xml:space="preserve">Lưu ý thẩm quyền ban hành: </w:t>
      </w:r>
      <w:r>
        <w:rPr>
          <w:rFonts w:ascii="Aptos" w:hAnsi="Aptos" w:eastAsia="Aptos"/>
          <w:b w:val="0"/>
          <w:color w:val="5F6E79"/>
          <w:sz w:val="18"/>
        </w:rPr>
        <w:t>HĐQT Công ty Kiểm toán Nexus phê duyệt sử dụng bộ tiêu chí giả lập phục vụ Project 07, không thay mặt HĐQT của bất kỳ tổ chức tín dụng thực tế nào ban hành chính sách cho vay.</w:t>
      </w:r>
    </w:p>
    <w:p>
      <w:pPr>
        <w:pStyle w:val="Heading1"/>
      </w:pPr>
      <w:r>
        <w:t>CHƯƠNG I – QUY ĐỊNH CẤP DUYỆT</w:t>
      </w:r>
    </w:p>
    <w:p>
      <w:pPr>
        <w:pStyle w:val="Heading2"/>
        <w:spacing w:before="180"/>
      </w:pPr>
      <w:r>
        <w:rPr>
          <w:rFonts w:ascii="Aptos" w:hAnsi="Aptos" w:eastAsia="Aptos"/>
          <w:b/>
          <w:color w:val="15334C"/>
          <w:sz w:val="21"/>
        </w:rPr>
        <w:t>Điều 1. Phạm vi, đơn vị tiền tệ và xác minh hiệu lực</w:t>
      </w:r>
    </w:p>
    <w:p>
      <w:pPr>
        <w:keepNext/>
        <w:spacing w:after="80"/>
      </w:pPr>
      <w:r>
        <w:rPr>
          <w:rFonts w:ascii="Aptos" w:hAnsi="Aptos" w:eastAsia="Aptos"/>
          <w:b/>
          <w:color w:val="126F77"/>
          <w:sz w:val="17"/>
        </w:rPr>
        <w:t xml:space="preserve">Mã kiểm soát: </w:t>
      </w:r>
      <w:r>
        <w:rPr>
          <w:rFonts w:ascii="Aptos" w:hAnsi="Aptos" w:eastAsia="Aptos"/>
          <w:b/>
          <w:color w:val="126F77"/>
          <w:sz w:val="17"/>
        </w:rPr>
        <w:t>AU-01</w:t>
      </w:r>
    </w:p>
    <w:p>
      <w:pPr>
        <w:spacing w:after="100"/>
      </w:pPr>
      <w:r>
        <w:t>1. Chỉ xác nhận phê duyệt đúng thẩm quyền nếu amount_vnd là số nguyên dương, currency = VND, người duyệt có bản ghi quyền tại approval_time và giới hạn quyền cùng cấp/chi nhánh phù hợp. Đối với ngành hạn chế hoặc ngoại lệ DTI/DSCR theo POL-CREDIT-01, còn cần cấp Hội sở chấp thuận tăng cường, kể cả khoản nằm trong hạn mức chi nhánh; phép kiểm tra thẩm quyền tự động hiện chưa bao phủ yêu cầu tăng cường này.</w:t>
      </w:r>
    </w:p>
    <w:p>
      <w:pPr>
        <w:spacing w:after="100"/>
      </w:pPr>
      <w:r>
        <w:rPr>
          <w:rFonts w:ascii="Aptos" w:hAnsi="Aptos" w:eastAsia="Aptos"/>
          <w:b w:val="0"/>
          <w:color w:val="232E39"/>
          <w:sz w:val="19"/>
        </w:rPr>
        <w:t>2. Bảng nhân sự có employee_id, role, branch_id, authority_limit_vnd, valid_from, valid_to; khoảng hiệu lực được hiểu là valid_from ≤ approval_time &lt; valid_to. Nếu valid_to để trống theo chính sách lưu trữ, coi là không xác định cho đến khi có quy ước duyệt riêng.</w:t>
      </w:r>
    </w:p>
    <w:p>
      <w:pPr>
        <w:pStyle w:val="Heading2"/>
        <w:spacing w:before="180"/>
      </w:pPr>
      <w:r>
        <w:rPr>
          <w:rFonts w:ascii="Aptos" w:hAnsi="Aptos" w:eastAsia="Aptos"/>
          <w:b/>
          <w:color w:val="15334C"/>
          <w:sz w:val="21"/>
        </w:rPr>
        <w:t>Điều 2. Thẩm quyền Trưởng phòng tín dụng</w:t>
      </w:r>
    </w:p>
    <w:p>
      <w:pPr>
        <w:keepNext/>
        <w:spacing w:after="80"/>
      </w:pPr>
      <w:r>
        <w:rPr>
          <w:rFonts w:ascii="Aptos" w:hAnsi="Aptos" w:eastAsia="Aptos"/>
          <w:b/>
          <w:color w:val="126F77"/>
          <w:sz w:val="17"/>
        </w:rPr>
        <w:t xml:space="preserve">Mã kiểm soát: </w:t>
      </w:r>
      <w:r>
        <w:rPr>
          <w:rFonts w:ascii="Aptos" w:hAnsi="Aptos" w:eastAsia="Aptos"/>
          <w:b/>
          <w:color w:val="126F77"/>
          <w:sz w:val="17"/>
        </w:rPr>
        <w:t>AU-02</w:t>
      </w:r>
    </w:p>
    <w:p>
      <w:pPr>
        <w:spacing w:after="100"/>
      </w:pPr>
      <w:r>
        <w:rPr>
          <w:rFonts w:ascii="Aptos" w:hAnsi="Aptos" w:eastAsia="Aptos"/>
          <w:b w:val="0"/>
          <w:color w:val="232E39"/>
          <w:sz w:val="19"/>
        </w:rPr>
        <w:t>1. Trưởng phòng tín dụng (role = CREDIT_MANAGER) được phê duyệt các khoản đến và bằng 500.000.000 VND nếu còn hiệu lực phân quyền và cùng chi nhánh với khoản vay.</w:t>
      </w:r>
    </w:p>
    <w:p>
      <w:pPr>
        <w:spacing w:after="100"/>
      </w:pPr>
      <w:r>
        <w:rPr>
          <w:rFonts w:ascii="Aptos" w:hAnsi="Aptos" w:eastAsia="Aptos"/>
          <w:b w:val="0"/>
          <w:color w:val="232E39"/>
          <w:sz w:val="19"/>
        </w:rPr>
        <w:t>2. Khoản đúng 500.000.000 VND thuộc ngưỡng này; khoản 500.000.001 VND vượt ngưỡng. Nếu người duyệt được phân quyền hạn mức thấp hơn theo bảng nhân sự, áp dụng hạn mức thấp hơn.</w:t>
      </w:r>
    </w:p>
    <w:p>
      <w:pPr>
        <w:pStyle w:val="Heading2"/>
        <w:spacing w:before="180"/>
      </w:pPr>
      <w:r>
        <w:rPr>
          <w:rFonts w:ascii="Aptos" w:hAnsi="Aptos" w:eastAsia="Aptos"/>
          <w:b/>
          <w:color w:val="15334C"/>
          <w:sz w:val="21"/>
        </w:rPr>
        <w:t>Điều 3. Thẩm quyền Giám đốc chi nhánh</w:t>
      </w:r>
    </w:p>
    <w:p>
      <w:pPr>
        <w:keepNext/>
        <w:spacing w:after="80"/>
      </w:pPr>
      <w:r>
        <w:rPr>
          <w:rFonts w:ascii="Aptos" w:hAnsi="Aptos" w:eastAsia="Aptos"/>
          <w:b/>
          <w:color w:val="126F77"/>
          <w:sz w:val="17"/>
        </w:rPr>
        <w:t xml:space="preserve">Mã kiểm soát: </w:t>
      </w:r>
      <w:r>
        <w:rPr>
          <w:rFonts w:ascii="Aptos" w:hAnsi="Aptos" w:eastAsia="Aptos"/>
          <w:b/>
          <w:color w:val="126F77"/>
          <w:sz w:val="17"/>
        </w:rPr>
        <w:t>AU-03</w:t>
      </w:r>
    </w:p>
    <w:p>
      <w:pPr>
        <w:spacing w:after="100"/>
      </w:pPr>
      <w:r>
        <w:rPr>
          <w:rFonts w:ascii="Aptos" w:hAnsi="Aptos" w:eastAsia="Aptos"/>
          <w:b w:val="0"/>
          <w:color w:val="232E39"/>
          <w:sz w:val="19"/>
        </w:rPr>
        <w:t>1. Giám đốc chi nhánh (role = BRANCH_DIRECTOR) phê duyệt các khoản trên 500.000.000 VND đến và bằng 2.000.000.000 VND trong phạm vi chi nhánh và thời gian hiệu lực quyền.</w:t>
      </w:r>
    </w:p>
    <w:p>
      <w:pPr>
        <w:spacing w:after="100"/>
      </w:pPr>
      <w:r>
        <w:rPr>
          <w:rFonts w:ascii="Aptos" w:hAnsi="Aptos" w:eastAsia="Aptos"/>
          <w:b w:val="0"/>
          <w:color w:val="232E39"/>
          <w:sz w:val="19"/>
        </w:rPr>
        <w:t>2. Giám đốc chi nhánh có thể duyệt khoản đến và bằng 500.000.000 VND chỉ nếu quyền cấp thấp hơn được ghi nhận rõ bằng allow_lower_tier = true trong bảng phân quyền. Nếu trường này chưa có hoặc trống, chuyển kiểm tra thủ công, không tự suy luận.</w:t>
      </w:r>
    </w:p>
    <w:p>
      <w:pPr>
        <w:pStyle w:val="Heading2"/>
        <w:spacing w:before="180"/>
      </w:pPr>
      <w:r>
        <w:rPr>
          <w:rFonts w:ascii="Aptos" w:hAnsi="Aptos" w:eastAsia="Aptos"/>
          <w:b/>
          <w:color w:val="15334C"/>
          <w:sz w:val="21"/>
        </w:rPr>
        <w:t>Điều 4. Thẩm quyền Hội đồng tín dụng cấp Hội sở</w:t>
      </w:r>
    </w:p>
    <w:p>
      <w:pPr>
        <w:keepNext/>
        <w:spacing w:after="80"/>
      </w:pPr>
      <w:r>
        <w:rPr>
          <w:rFonts w:ascii="Aptos" w:hAnsi="Aptos" w:eastAsia="Aptos"/>
          <w:b/>
          <w:color w:val="126F77"/>
          <w:sz w:val="17"/>
        </w:rPr>
        <w:t xml:space="preserve">Mã kiểm soát: </w:t>
      </w:r>
      <w:r>
        <w:rPr>
          <w:rFonts w:ascii="Aptos" w:hAnsi="Aptos" w:eastAsia="Aptos"/>
          <w:b/>
          <w:color w:val="126F77"/>
          <w:sz w:val="17"/>
        </w:rPr>
        <w:t>AU-04</w:t>
      </w:r>
    </w:p>
    <w:p>
      <w:pPr>
        <w:spacing w:after="100"/>
      </w:pPr>
      <w:r>
        <w:rPr>
          <w:rFonts w:ascii="Aptos" w:hAnsi="Aptos" w:eastAsia="Aptos"/>
          <w:b w:val="0"/>
          <w:color w:val="232E39"/>
          <w:sz w:val="19"/>
        </w:rPr>
        <w:t>1. Hội đồng tín dụng cấp Hội sở (role = HQ_CREDIT_COMMITTEE) xem xét khoản trên 2.000.000.000 VND đến và bằng 5.000.000.000 VND; phải có biên bản họp, danh sách người tham gia, kết quả biểu quyết và quyết định hợp lệ.</w:t>
      </w:r>
    </w:p>
    <w:p>
      <w:pPr>
        <w:spacing w:after="100"/>
      </w:pPr>
      <w:r>
        <w:t>2. Hệ thống kiểm tra tự động trong phạm vi minh họa chỉ hỗ trợ các khoản ≤2 tỷ; khoản thuộc điều này ghi ngoài phạm vi tự động cho phép kiểm tra thẩm quyền tự động và chuyển auditor xác minh hồ sơ tập thể. Không được dùng một approver_id đơn lẻ để khẳng định đã có đủ biểu quyết.</w:t>
      </w:r>
    </w:p>
    <w:p>
      <w:pPr>
        <w:pStyle w:val="Heading2"/>
        <w:spacing w:before="180"/>
      </w:pPr>
      <w:r>
        <w:rPr>
          <w:rFonts w:ascii="Aptos" w:hAnsi="Aptos" w:eastAsia="Aptos"/>
          <w:b/>
          <w:color w:val="15334C"/>
          <w:sz w:val="21"/>
        </w:rPr>
        <w:t>Điều 5. Thẩm quyền HĐQT ngân hàng mô phỏng và khoản vượt trần</w:t>
      </w:r>
    </w:p>
    <w:p>
      <w:pPr>
        <w:keepNext/>
        <w:spacing w:after="80"/>
      </w:pPr>
      <w:r>
        <w:rPr>
          <w:rFonts w:ascii="Aptos" w:hAnsi="Aptos" w:eastAsia="Aptos"/>
          <w:b/>
          <w:color w:val="126F77"/>
          <w:sz w:val="17"/>
        </w:rPr>
        <w:t xml:space="preserve">Mã kiểm soát: </w:t>
      </w:r>
      <w:r>
        <w:rPr>
          <w:rFonts w:ascii="Aptos" w:hAnsi="Aptos" w:eastAsia="Aptos"/>
          <w:b/>
          <w:color w:val="126F77"/>
          <w:sz w:val="17"/>
        </w:rPr>
        <w:t>AU-05</w:t>
      </w:r>
    </w:p>
    <w:p>
      <w:pPr>
        <w:spacing w:after="100"/>
      </w:pPr>
      <w:r>
        <w:rPr>
          <w:rFonts w:ascii="Aptos" w:hAnsi="Aptos" w:eastAsia="Aptos"/>
          <w:b w:val="0"/>
          <w:color w:val="232E39"/>
          <w:sz w:val="19"/>
        </w:rPr>
        <w:t>1. HĐQT của Ngân hàng Nexus Demo (thực thể giả lập, không phải HĐQT Công ty Kiểm toán Nexus) xem xét khoản trên 5.000.000.000 VND đến và bằng 10.000.000.000 VND, trên cơ sở tờ trình và quyết nghị hợp lệ.</w:t>
      </w:r>
    </w:p>
    <w:p>
      <w:pPr>
        <w:spacing w:after="100"/>
      </w:pPr>
      <w:r>
        <w:rPr>
          <w:rFonts w:ascii="Aptos" w:hAnsi="Aptos" w:eastAsia="Aptos"/>
          <w:b w:val="0"/>
          <w:color w:val="232E39"/>
          <w:sz w:val="19"/>
        </w:rPr>
        <w:t>2. Khoản trên 10.000.000.000 VND vượt trần ma trận giả lập, không được kết luận PASS chỉ vì có mã người duyệt; phải dừng quy trình và yêu cầu quy định bổ sung/kiểm tra thủ công. Các giới hạn cấp tín dụng pháp định thực tế được kiểm tra riêng và có thể nghiêm ngặt hơn.</w:t>
      </w:r>
    </w:p>
    <w:p>
      <w:pPr>
        <w:pStyle w:val="Heading1"/>
      </w:pPr>
      <w:r>
        <w:t>CHƯƠNG II – ỦY QUYỀN, XUNG ĐỘT VÀ LƯU VẾT</w:t>
      </w:r>
    </w:p>
    <w:p>
      <w:pPr>
        <w:pStyle w:val="Heading2"/>
        <w:spacing w:before="180"/>
      </w:pPr>
      <w:r>
        <w:rPr>
          <w:rFonts w:ascii="Aptos" w:hAnsi="Aptos" w:eastAsia="Aptos"/>
          <w:b/>
          <w:color w:val="15334C"/>
          <w:sz w:val="21"/>
        </w:rPr>
        <w:t>Điều 6. Ủy quyền phê duyệt</w:t>
      </w:r>
    </w:p>
    <w:p>
      <w:pPr>
        <w:keepNext/>
        <w:spacing w:after="80"/>
      </w:pPr>
      <w:r>
        <w:rPr>
          <w:rFonts w:ascii="Aptos" w:hAnsi="Aptos" w:eastAsia="Aptos"/>
          <w:b/>
          <w:color w:val="126F77"/>
          <w:sz w:val="17"/>
        </w:rPr>
        <w:t xml:space="preserve">Mã kiểm soát: </w:t>
      </w:r>
      <w:r>
        <w:rPr>
          <w:rFonts w:ascii="Aptos" w:hAnsi="Aptos" w:eastAsia="Aptos"/>
          <w:b/>
          <w:color w:val="126F77"/>
          <w:sz w:val="17"/>
        </w:rPr>
        <w:t>AU-06</w:t>
      </w:r>
    </w:p>
    <w:p>
      <w:pPr>
        <w:spacing w:after="100"/>
      </w:pPr>
      <w:r>
        <w:rPr>
          <w:rFonts w:ascii="Aptos" w:hAnsi="Aptos" w:eastAsia="Aptos"/>
          <w:b w:val="0"/>
          <w:color w:val="232E39"/>
          <w:sz w:val="19"/>
        </w:rPr>
        <w:t>1. Ủy quyền chỉ có giá trị khi có delegation_doc_id, người ủy quyền, người được ủy quyền, hạn mức, phạm vi, thời điểm bắt đầu/kết thúc và bằng chứng phê chuẩn. Không chấp nhận ủy quyền hồi tố hoặc ủy quyền tiếp nếu chính sách không quy định.</w:t>
      </w:r>
    </w:p>
    <w:p>
      <w:pPr>
        <w:spacing w:after="100"/>
      </w:pPr>
      <w:r>
        <w:t>2. Khi căn cứ phân quyền không tồn tại hoặc không xác định được hiệu lực tại approval_time, phép kiểm tra thẩm quyền tự động trả chưa đủ thông tin; nếu bảng phân quyền có hai bản cùng hiệu lực mâu thuẫn thì BLOCKED.</w:t>
      </w:r>
    </w:p>
    <w:p>
      <w:pPr>
        <w:pStyle w:val="Heading2"/>
        <w:spacing w:before="180"/>
      </w:pPr>
      <w:r>
        <w:rPr>
          <w:rFonts w:ascii="Aptos" w:hAnsi="Aptos" w:eastAsia="Aptos"/>
          <w:b/>
          <w:color w:val="15334C"/>
          <w:sz w:val="21"/>
        </w:rPr>
        <w:t>Điều 7. Phạm vi chi nhánh và phân tách nhiệm vụ</w:t>
      </w:r>
    </w:p>
    <w:p>
      <w:pPr>
        <w:keepNext/>
        <w:spacing w:after="80"/>
      </w:pPr>
      <w:r>
        <w:rPr>
          <w:rFonts w:ascii="Aptos" w:hAnsi="Aptos" w:eastAsia="Aptos"/>
          <w:b/>
          <w:color w:val="126F77"/>
          <w:sz w:val="17"/>
        </w:rPr>
        <w:t xml:space="preserve">Mã kiểm soát: </w:t>
      </w:r>
      <w:r>
        <w:rPr>
          <w:rFonts w:ascii="Aptos" w:hAnsi="Aptos" w:eastAsia="Aptos"/>
          <w:b/>
          <w:color w:val="126F77"/>
          <w:sz w:val="17"/>
        </w:rPr>
        <w:t>AU-07</w:t>
      </w:r>
    </w:p>
    <w:p>
      <w:pPr>
        <w:spacing w:after="100"/>
      </w:pPr>
      <w:r>
        <w:rPr>
          <w:rFonts w:ascii="Aptos" w:hAnsi="Aptos" w:eastAsia="Aptos"/>
          <w:b w:val="0"/>
          <w:color w:val="232E39"/>
          <w:sz w:val="19"/>
        </w:rPr>
        <w:t>1. Quyền cấp chi nhánh chỉ áp dụng với hồ sơ branch_id tương ứng. Quyền Hội sở không mặc nhiên làm mất yêu cầu chứng minh biên bản/quyết nghị tập thể.</w:t>
      </w:r>
    </w:p>
    <w:p>
      <w:pPr>
        <w:spacing w:after="100"/>
      </w:pPr>
      <w:r>
        <w:t>2. Người lập hồ sơ không được đồng thời là người duyệt khoản đã phê duyệt. Nếu maker_id = approver_id thì phép kiểm tra phân tách nhiệm vụ ghi sai lệch có căn cứ, kể cả người đó còn đủ hạn mức số tiền.</w:t>
      </w:r>
    </w:p>
    <w:p>
      <w:pPr>
        <w:pStyle w:val="Heading2"/>
        <w:spacing w:before="180"/>
      </w:pPr>
      <w:r>
        <w:rPr>
          <w:rFonts w:ascii="Aptos" w:hAnsi="Aptos" w:eastAsia="Aptos"/>
          <w:b/>
          <w:color w:val="15334C"/>
          <w:sz w:val="21"/>
        </w:rPr>
        <w:t>Điều 8. Ghi nhận kết quả thẩm quyền và kiểm tra thay đổi</w:t>
      </w:r>
    </w:p>
    <w:p>
      <w:pPr>
        <w:keepNext/>
        <w:spacing w:after="80"/>
      </w:pPr>
      <w:r>
        <w:rPr>
          <w:rFonts w:ascii="Aptos" w:hAnsi="Aptos" w:eastAsia="Aptos"/>
          <w:b/>
          <w:color w:val="126F77"/>
          <w:sz w:val="17"/>
        </w:rPr>
        <w:t xml:space="preserve">Mã kiểm soát: </w:t>
      </w:r>
      <w:r>
        <w:rPr>
          <w:rFonts w:ascii="Aptos" w:hAnsi="Aptos" w:eastAsia="Aptos"/>
          <w:b/>
          <w:color w:val="126F77"/>
          <w:sz w:val="17"/>
        </w:rPr>
        <w:t>AU-08</w:t>
      </w:r>
    </w:p>
    <w:p>
      <w:pPr>
        <w:spacing w:after="100"/>
      </w:pPr>
      <w:r>
        <w:rPr>
          <w:rFonts w:ascii="Aptos" w:hAnsi="Aptos" w:eastAsia="Aptos"/>
          <w:b w:val="0"/>
          <w:color w:val="232E39"/>
          <w:sz w:val="19"/>
        </w:rPr>
        <w:t>1. Mỗi đánh giá quyền gắn dataset_id, row_id, approval_time, bản ghi quyền, policy_version, test_id và nguồn chứng cứ. Quyền phải tra theo thời điểm phê duyệt, không theo vai trò hiện tại.</w:t>
      </w:r>
    </w:p>
    <w:p>
      <w:pPr>
        <w:spacing w:after="100"/>
      </w:pPr>
      <w:r>
        <w:t>2. Khi ma trận quyền thay đổi, tạo phiên bản mới, lưu lịch sử và chạy/duyệt lại các kết quả liên quan. Các khoản còn thiếu dữ liệu hoặc trên 2 tỷ không được đưa vào mẫu PASS của phép kiểm tra thẩm quyền tự động tự động.</w:t>
      </w:r>
    </w:p>
    <w:p>
      <w:pPr>
        <w:pStyle w:val="Heading1"/>
      </w:pPr>
      <w:r>
        <w:t>BẢNG HẠN MỨC PHÊ DUYỆT GIẢ LẬP</w:t>
      </w:r>
    </w:p>
    <w:tbl>
      <w:tblPr>
        <w:tblW w:type="auto" w:w="0"/>
        <w:jc w:val="center"/>
        <w:tblLayout w:type="fixed"/>
        <w:tblLook w:firstColumn="1" w:firstRow="1" w:lastColumn="0" w:lastRow="0" w:noHBand="0" w:noVBand="1" w:val="04A0"/>
      </w:tblPr>
      <w:tblGrid>
        <w:gridCol w:w="2608"/>
        <w:gridCol w:w="2494"/>
        <w:gridCol w:w="1729"/>
        <w:gridCol w:w="2778"/>
      </w:tblGrid>
      <w:tr>
        <w:trPr>
          <w:tblHeader w:val="true"/>
          <w:cantSplit/>
        </w:trPr>
        <w:tc>
          <w:tcPr>
            <w:tcW w:type="dxa" w:w="2431"/>
            <w:shd w:fill="E0EAED"/>
            <w:tcMar>
              <w:top w:w="85" w:type="dxa"/>
              <w:start w:w="105" w:type="dxa"/>
              <w:bottom w:w="90" w:type="dxa"/>
              <w:end w:w="105" w:type="dxa"/>
            </w:tcMar>
          </w:tcPr>
          <w:p>
            <w:pPr>
              <w:spacing w:after="0"/>
            </w:pPr>
            <w:r>
              <w:rPr>
                <w:rFonts w:ascii="Aptos" w:hAnsi="Aptos" w:eastAsia="Aptos"/>
                <w:b/>
                <w:color w:val="15334C"/>
                <w:sz w:val="17"/>
              </w:rPr>
              <w:t>Khoảng giá trị khoản vay (VND)</w:t>
            </w:r>
          </w:p>
        </w:tc>
        <w:tc>
          <w:tcPr>
            <w:tcW w:type="dxa" w:w="2431"/>
            <w:shd w:fill="E0EAED"/>
            <w:tcMar>
              <w:top w:w="85" w:type="dxa"/>
              <w:start w:w="105" w:type="dxa"/>
              <w:bottom w:w="90" w:type="dxa"/>
              <w:end w:w="105" w:type="dxa"/>
            </w:tcMar>
          </w:tcPr>
          <w:p>
            <w:pPr>
              <w:spacing w:after="0"/>
            </w:pPr>
            <w:r>
              <w:rPr>
                <w:rFonts w:ascii="Aptos" w:hAnsi="Aptos" w:eastAsia="Aptos"/>
                <w:b/>
                <w:color w:val="15334C"/>
                <w:sz w:val="17"/>
              </w:rPr>
              <w:t>Cấp quyết định mô phỏng</w:t>
            </w:r>
          </w:p>
        </w:tc>
        <w:tc>
          <w:tcPr>
            <w:tcW w:type="dxa" w:w="2431"/>
            <w:shd w:fill="E0EAED"/>
            <w:tcMar>
              <w:top w:w="85" w:type="dxa"/>
              <w:start w:w="105" w:type="dxa"/>
              <w:bottom w:w="90" w:type="dxa"/>
              <w:end w:w="105" w:type="dxa"/>
            </w:tcMar>
          </w:tcPr>
          <w:p>
            <w:r>
              <w:t>Yêu cầu xác minh</w:t>
            </w:r>
          </w:p>
        </w:tc>
        <w:tc>
          <w:tcPr>
            <w:tcW w:type="dxa" w:w="2431"/>
            <w:shd w:fill="E0EAED"/>
            <w:tcMar>
              <w:top w:w="85" w:type="dxa"/>
              <w:start w:w="105" w:type="dxa"/>
              <w:bottom w:w="90" w:type="dxa"/>
              <w:end w:w="105" w:type="dxa"/>
            </w:tcMar>
          </w:tcPr>
          <w:p>
            <w:pPr>
              <w:spacing w:after="0"/>
            </w:pPr>
            <w:r>
              <w:rPr>
                <w:rFonts w:ascii="Aptos" w:hAnsi="Aptos" w:eastAsia="Aptos"/>
                <w:b/>
                <w:color w:val="15334C"/>
                <w:sz w:val="17"/>
              </w:rPr>
              <w:t>Căn cứ bắt buộc</w:t>
            </w:r>
          </w:p>
        </w:tc>
      </w:tr>
      <w:tr>
        <w:trPr>
          <w:cantSplit/>
        </w:trPr>
        <w:tc>
          <w:tcPr>
            <w:tcW w:type="dxa" w:w="2608"/>
            <w:tcMar>
              <w:top w:w="85" w:type="dxa"/>
              <w:start w:w="105" w:type="dxa"/>
              <w:bottom w:w="90" w:type="dxa"/>
              <w:end w:w="105" w:type="dxa"/>
            </w:tcMar>
          </w:tcPr>
          <w:p>
            <w:pPr>
              <w:spacing w:after="0"/>
            </w:pPr>
            <w:r>
              <w:rPr>
                <w:rFonts w:ascii="Aptos" w:hAnsi="Aptos" w:eastAsia="Aptos"/>
                <w:b/>
                <w:color w:val="232E39"/>
                <w:sz w:val="16"/>
              </w:rPr>
              <w:t>0 &lt; A ≤ 500.000.000</w:t>
            </w:r>
          </w:p>
        </w:tc>
        <w:tc>
          <w:tcPr>
            <w:tcW w:type="dxa" w:w="2494"/>
            <w:tcMar>
              <w:top w:w="85" w:type="dxa"/>
              <w:start w:w="105" w:type="dxa"/>
              <w:bottom w:w="90" w:type="dxa"/>
              <w:end w:w="105" w:type="dxa"/>
            </w:tcMar>
          </w:tcPr>
          <w:p>
            <w:pPr>
              <w:spacing w:after="0"/>
            </w:pPr>
            <w:r>
              <w:rPr>
                <w:rFonts w:ascii="Aptos" w:hAnsi="Aptos" w:eastAsia="Aptos"/>
                <w:b w:val="0"/>
                <w:color w:val="232E39"/>
                <w:sz w:val="16"/>
              </w:rPr>
              <w:t>Trưởng phòng tín dụng</w:t>
            </w:r>
          </w:p>
        </w:tc>
        <w:tc>
          <w:tcPr>
            <w:tcW w:type="dxa" w:w="1729"/>
            <w:tcMar>
              <w:top w:w="85" w:type="dxa"/>
              <w:start w:w="105" w:type="dxa"/>
              <w:bottom w:w="90" w:type="dxa"/>
              <w:end w:w="105" w:type="dxa"/>
            </w:tcMar>
          </w:tcPr>
          <w:p>
            <w:r>
              <w:t>Đối chiếu người duyệt, hạn mức và hiệu lực</w:t>
            </w:r>
          </w:p>
        </w:tc>
        <w:tc>
          <w:tcPr>
            <w:tcW w:type="dxa" w:w="2778"/>
            <w:tcMar>
              <w:top w:w="85" w:type="dxa"/>
              <w:start w:w="105" w:type="dxa"/>
              <w:bottom w:w="90" w:type="dxa"/>
              <w:end w:w="105" w:type="dxa"/>
            </w:tcMar>
          </w:tcPr>
          <w:p>
            <w:pPr>
              <w:spacing w:after="0"/>
            </w:pPr>
            <w:r>
              <w:rPr>
                <w:rFonts w:ascii="Aptos" w:hAnsi="Aptos" w:eastAsia="Aptos"/>
                <w:b w:val="0"/>
                <w:color w:val="232E39"/>
                <w:sz w:val="16"/>
              </w:rPr>
              <w:t>employee authority + branch_id</w:t>
            </w:r>
          </w:p>
        </w:tc>
      </w:tr>
      <w:tr>
        <w:trPr>
          <w:cantSplit/>
        </w:trPr>
        <w:tc>
          <w:tcPr>
            <w:tcW w:type="dxa" w:w="2608"/>
            <w:tcMar>
              <w:top w:w="85" w:type="dxa"/>
              <w:start w:w="105" w:type="dxa"/>
              <w:bottom w:w="90" w:type="dxa"/>
              <w:end w:w="105" w:type="dxa"/>
            </w:tcMar>
            <w:shd w:fill="F5F8F8"/>
          </w:tcPr>
          <w:p>
            <w:pPr>
              <w:spacing w:after="0"/>
            </w:pPr>
            <w:r>
              <w:rPr>
                <w:rFonts w:ascii="Aptos" w:hAnsi="Aptos" w:eastAsia="Aptos"/>
                <w:b/>
                <w:color w:val="232E39"/>
                <w:sz w:val="16"/>
              </w:rPr>
              <w:t>500.000.000 &lt; A ≤ 2.000.000.000</w:t>
            </w:r>
          </w:p>
        </w:tc>
        <w:tc>
          <w:tcPr>
            <w:tcW w:type="dxa" w:w="2494"/>
            <w:tcMar>
              <w:top w:w="85" w:type="dxa"/>
              <w:start w:w="105" w:type="dxa"/>
              <w:bottom w:w="90" w:type="dxa"/>
              <w:end w:w="105" w:type="dxa"/>
            </w:tcMar>
            <w:shd w:fill="F5F8F8"/>
          </w:tcPr>
          <w:p>
            <w:pPr>
              <w:spacing w:after="0"/>
            </w:pPr>
            <w:r>
              <w:rPr>
                <w:rFonts w:ascii="Aptos" w:hAnsi="Aptos" w:eastAsia="Aptos"/>
                <w:b w:val="0"/>
                <w:color w:val="232E39"/>
                <w:sz w:val="16"/>
              </w:rPr>
              <w:t>Giám đốc chi nhánh</w:t>
            </w:r>
          </w:p>
        </w:tc>
        <w:tc>
          <w:tcPr>
            <w:tcW w:type="dxa" w:w="1729"/>
            <w:tcMar>
              <w:top w:w="85" w:type="dxa"/>
              <w:start w:w="105" w:type="dxa"/>
              <w:bottom w:w="90" w:type="dxa"/>
              <w:end w:w="105" w:type="dxa"/>
            </w:tcMar>
            <w:shd w:fill="F5F8F8"/>
          </w:tcPr>
          <w:p>
            <w:r>
              <w:t>Đối chiếu người duyệt, hạn mức và hiệu lực</w:t>
            </w:r>
          </w:p>
        </w:tc>
        <w:tc>
          <w:tcPr>
            <w:tcW w:type="dxa" w:w="2778"/>
            <w:tcMar>
              <w:top w:w="85" w:type="dxa"/>
              <w:start w:w="105" w:type="dxa"/>
              <w:bottom w:w="90" w:type="dxa"/>
              <w:end w:w="105" w:type="dxa"/>
            </w:tcMar>
            <w:shd w:fill="F5F8F8"/>
          </w:tcPr>
          <w:p>
            <w:pPr>
              <w:spacing w:after="0"/>
            </w:pPr>
            <w:r>
              <w:rPr>
                <w:rFonts w:ascii="Aptos" w:hAnsi="Aptos" w:eastAsia="Aptos"/>
                <w:b w:val="0"/>
                <w:color w:val="232E39"/>
                <w:sz w:val="16"/>
              </w:rPr>
              <w:t>employee authority + branch_id</w:t>
            </w:r>
          </w:p>
        </w:tc>
      </w:tr>
      <w:tr>
        <w:trPr>
          <w:cantSplit/>
        </w:trPr>
        <w:tc>
          <w:tcPr>
            <w:tcW w:type="dxa" w:w="2608"/>
            <w:tcMar>
              <w:top w:w="85" w:type="dxa"/>
              <w:start w:w="105" w:type="dxa"/>
              <w:bottom w:w="90" w:type="dxa"/>
              <w:end w:w="105" w:type="dxa"/>
            </w:tcMar>
          </w:tcPr>
          <w:p>
            <w:pPr>
              <w:spacing w:after="0"/>
            </w:pPr>
            <w:r>
              <w:rPr>
                <w:rFonts w:ascii="Aptos" w:hAnsi="Aptos" w:eastAsia="Aptos"/>
                <w:b/>
                <w:color w:val="232E39"/>
                <w:sz w:val="16"/>
              </w:rPr>
              <w:t>2.000.000.000 &lt; A ≤ 5.000.000.000</w:t>
            </w:r>
          </w:p>
        </w:tc>
        <w:tc>
          <w:tcPr>
            <w:tcW w:type="dxa" w:w="2494"/>
            <w:tcMar>
              <w:top w:w="85" w:type="dxa"/>
              <w:start w:w="105" w:type="dxa"/>
              <w:bottom w:w="90" w:type="dxa"/>
              <w:end w:w="105" w:type="dxa"/>
            </w:tcMar>
          </w:tcPr>
          <w:p>
            <w:pPr>
              <w:spacing w:after="0"/>
            </w:pPr>
            <w:r>
              <w:rPr>
                <w:rFonts w:ascii="Aptos" w:hAnsi="Aptos" w:eastAsia="Aptos"/>
                <w:b w:val="0"/>
                <w:color w:val="232E39"/>
                <w:sz w:val="16"/>
              </w:rPr>
              <w:t>Hội đồng tín dụng Hội sở</w:t>
            </w:r>
          </w:p>
        </w:tc>
        <w:tc>
          <w:tcPr>
            <w:tcW w:type="dxa" w:w="1729"/>
            <w:tcMar>
              <w:top w:w="85" w:type="dxa"/>
              <w:start w:w="105" w:type="dxa"/>
              <w:bottom w:w="90" w:type="dxa"/>
              <w:end w:w="105" w:type="dxa"/>
            </w:tcMar>
          </w:tcPr>
          <w:p>
            <w:r>
              <w:t>Yêu cầu kiểm tra thủ công với chứng từ cấp phê duyệt</w:t>
            </w:r>
          </w:p>
        </w:tc>
        <w:tc>
          <w:tcPr>
            <w:tcW w:type="dxa" w:w="2778"/>
            <w:tcMar>
              <w:top w:w="85" w:type="dxa"/>
              <w:start w:w="105" w:type="dxa"/>
              <w:bottom w:w="90" w:type="dxa"/>
              <w:end w:w="105" w:type="dxa"/>
            </w:tcMar>
          </w:tcPr>
          <w:p>
            <w:pPr>
              <w:spacing w:after="0"/>
            </w:pPr>
            <w:r>
              <w:rPr>
                <w:rFonts w:ascii="Aptos" w:hAnsi="Aptos" w:eastAsia="Aptos"/>
                <w:b w:val="0"/>
                <w:color w:val="232E39"/>
                <w:sz w:val="16"/>
              </w:rPr>
              <w:t>biên bản Hội đồng và quyết định</w:t>
            </w:r>
          </w:p>
        </w:tc>
      </w:tr>
      <w:tr>
        <w:trPr>
          <w:cantSplit/>
        </w:trPr>
        <w:tc>
          <w:tcPr>
            <w:tcW w:type="dxa" w:w="2608"/>
            <w:tcMar>
              <w:top w:w="85" w:type="dxa"/>
              <w:start w:w="105" w:type="dxa"/>
              <w:bottom w:w="90" w:type="dxa"/>
              <w:end w:w="105" w:type="dxa"/>
            </w:tcMar>
            <w:shd w:fill="F5F8F8"/>
          </w:tcPr>
          <w:p>
            <w:pPr>
              <w:spacing w:after="0"/>
            </w:pPr>
            <w:r>
              <w:rPr>
                <w:rFonts w:ascii="Aptos" w:hAnsi="Aptos" w:eastAsia="Aptos"/>
                <w:b/>
                <w:color w:val="232E39"/>
                <w:sz w:val="16"/>
              </w:rPr>
              <w:t>5.000.000.000 &lt; A ≤ 10.000.000.000</w:t>
            </w:r>
          </w:p>
        </w:tc>
        <w:tc>
          <w:tcPr>
            <w:tcW w:type="dxa" w:w="2494"/>
            <w:tcMar>
              <w:top w:w="85" w:type="dxa"/>
              <w:start w:w="105" w:type="dxa"/>
              <w:bottom w:w="90" w:type="dxa"/>
              <w:end w:w="105" w:type="dxa"/>
            </w:tcMar>
            <w:shd w:fill="F5F8F8"/>
          </w:tcPr>
          <w:p>
            <w:pPr>
              <w:spacing w:after="0"/>
            </w:pPr>
            <w:r>
              <w:rPr>
                <w:rFonts w:ascii="Aptos" w:hAnsi="Aptos" w:eastAsia="Aptos"/>
                <w:b w:val="0"/>
                <w:color w:val="232E39"/>
                <w:sz w:val="16"/>
              </w:rPr>
              <w:t>HĐQT ngân hàng mô phỏng</w:t>
            </w:r>
          </w:p>
        </w:tc>
        <w:tc>
          <w:tcPr>
            <w:tcW w:type="dxa" w:w="1729"/>
            <w:tcMar>
              <w:top w:w="85" w:type="dxa"/>
              <w:start w:w="105" w:type="dxa"/>
              <w:bottom w:w="90" w:type="dxa"/>
              <w:end w:w="105" w:type="dxa"/>
            </w:tcMar>
            <w:shd w:fill="F5F8F8"/>
          </w:tcPr>
          <w:p>
            <w:r>
              <w:t>Yêu cầu kiểm tra thủ công với chứng từ cấp phê duyệt</w:t>
            </w:r>
          </w:p>
        </w:tc>
        <w:tc>
          <w:tcPr>
            <w:tcW w:type="dxa" w:w="2778"/>
            <w:tcMar>
              <w:top w:w="85" w:type="dxa"/>
              <w:start w:w="105" w:type="dxa"/>
              <w:bottom w:w="90" w:type="dxa"/>
              <w:end w:w="105" w:type="dxa"/>
            </w:tcMar>
            <w:shd w:fill="F5F8F8"/>
          </w:tcPr>
          <w:p>
            <w:pPr>
              <w:spacing w:after="0"/>
            </w:pPr>
            <w:r>
              <w:rPr>
                <w:rFonts w:ascii="Aptos" w:hAnsi="Aptos" w:eastAsia="Aptos"/>
                <w:b w:val="0"/>
                <w:color w:val="232E39"/>
                <w:sz w:val="16"/>
              </w:rPr>
              <w:t>quyết nghị tập thể</w:t>
            </w:r>
          </w:p>
        </w:tc>
      </w:tr>
      <w:tr>
        <w:trPr>
          <w:cantSplit/>
        </w:trPr>
        <w:tc>
          <w:tcPr>
            <w:tcW w:type="dxa" w:w="2608"/>
            <w:tcMar>
              <w:top w:w="85" w:type="dxa"/>
              <w:start w:w="105" w:type="dxa"/>
              <w:bottom w:w="90" w:type="dxa"/>
              <w:end w:w="105" w:type="dxa"/>
            </w:tcMar>
          </w:tcPr>
          <w:p>
            <w:pPr>
              <w:spacing w:after="0"/>
            </w:pPr>
            <w:r>
              <w:rPr>
                <w:rFonts w:ascii="Aptos" w:hAnsi="Aptos" w:eastAsia="Aptos"/>
                <w:b/>
                <w:color w:val="232E39"/>
                <w:sz w:val="16"/>
              </w:rPr>
              <w:t>A &gt; 10.000.000.000</w:t>
            </w:r>
          </w:p>
        </w:tc>
        <w:tc>
          <w:tcPr>
            <w:tcW w:type="dxa" w:w="2494"/>
            <w:tcMar>
              <w:top w:w="85" w:type="dxa"/>
              <w:start w:w="105" w:type="dxa"/>
              <w:bottom w:w="90" w:type="dxa"/>
              <w:end w:w="105" w:type="dxa"/>
            </w:tcMar>
          </w:tcPr>
          <w:p>
            <w:pPr>
              <w:spacing w:after="0"/>
            </w:pPr>
            <w:r>
              <w:rPr>
                <w:rFonts w:ascii="Aptos" w:hAnsi="Aptos" w:eastAsia="Aptos"/>
                <w:b w:val="0"/>
                <w:color w:val="232E39"/>
                <w:sz w:val="16"/>
              </w:rPr>
              <w:t>Không có cấp theo ma trận này</w:t>
            </w:r>
          </w:p>
        </w:tc>
        <w:tc>
          <w:tcPr>
            <w:tcW w:type="dxa" w:w="1729"/>
            <w:tcMar>
              <w:top w:w="85" w:type="dxa"/>
              <w:start w:w="105" w:type="dxa"/>
              <w:bottom w:w="90" w:type="dxa"/>
              <w:end w:w="105" w:type="dxa"/>
            </w:tcMar>
          </w:tcPr>
          <w:p>
            <w:r>
              <w:t>Yêu cầu kiểm tra thủ công với chứng từ cấp phê duyệt</w:t>
            </w:r>
          </w:p>
        </w:tc>
        <w:tc>
          <w:tcPr>
            <w:tcW w:type="dxa" w:w="2778"/>
            <w:tcMar>
              <w:top w:w="85" w:type="dxa"/>
              <w:start w:w="105" w:type="dxa"/>
              <w:bottom w:w="90" w:type="dxa"/>
              <w:end w:w="105" w:type="dxa"/>
            </w:tcMar>
          </w:tcPr>
          <w:p>
            <w:pPr>
              <w:spacing w:after="0"/>
            </w:pPr>
            <w:r>
              <w:rPr>
                <w:rFonts w:ascii="Aptos" w:hAnsi="Aptos" w:eastAsia="Aptos"/>
                <w:b w:val="0"/>
                <w:color w:val="232E39"/>
                <w:sz w:val="16"/>
              </w:rPr>
              <w:t>quy định bổ sung/duyệt đặc biệt</w:t>
            </w:r>
          </w:p>
        </w:tc>
      </w:tr>
    </w:tbl>
    <w:p>
      <w:pPr>
        <w:spacing w:before="120"/>
      </w:pPr>
      <w:r>
        <w:t>Diễn giải ranh giới:  A = 500 triệu thuộc cấp Trưởng phòng; A = 2 tỷ thuộc cấp Giám đốc; A &gt; 2 tỷ là ngoài phạm vi tự động của phép kiểm tra thẩm quyền tự động. Giám đốc duyệt khoản thấp hơn chỉ khi bảng quyền ghi allow_lower_tier = true. Không có dữ liệu quyền phù hợp là chưa đủ thông tin, không phải tự động sai lệch có căn cứ.</w:t>
      </w:r>
    </w:p>
    <w:p>
      <w:pPr>
        <w:pStyle w:val="Heading1"/>
      </w:pPr>
      <w:r>
        <w:t>GHI CHÚ QUẢN TRỊ TÀI LIỆU</w:t>
      </w:r>
    </w:p>
    <w:p>
      <w:r>
        <w:rPr>
          <w:rFonts w:ascii="Aptos" w:hAnsi="Aptos" w:eastAsia="Aptos"/>
          <w:b w:val="0"/>
          <w:color w:val="5F6E79"/>
          <w:sz w:val="17"/>
        </w:rPr>
        <w:t>Nguồn tham khảo về cấu trúc khung kiểm soát: Thông tư 39/2016/TT-NHNN (và văn bản sửa đổi liên quan) về hoạt động cho vay; Thông tư 83/2025/TT-NHNN về hệ thống kiểm soát nội bộ. Không có điều khoản hay hạn mức giả lập nào trong tài liệu này được trình bày là trích dẫn pháp luật. Khi kiểm toán hồ sơ thực tế phải đối chiếu văn bản pháp luật và chính sách ngân hàng có hiệu lực tại thời điểm phát sinh.</w:t>
      </w:r>
    </w:p>
    <w:p>
      <w:r>
        <w:rPr>
          <w:rFonts w:ascii="Aptos" w:hAnsi="Aptos" w:eastAsia="Aptos"/>
          <w:b/>
          <w:color w:val="126F77"/>
          <w:sz w:val="17"/>
        </w:rPr>
        <w:t>Trạng thái phê duyệt kịch bản: DỰ THẢO ĐÃ SOẠN ĐỂ MÔ PHỎNG – chờ nhóm Project 07 rà soát nội dung nghiệp vụ trước khi đưa vào bộ dữ liệu đánh giá.</w:t>
      </w:r>
    </w:p>
    <w:sectPr w:rsidR="00FC693F" w:rsidRPr="0006063C" w:rsidSect="00034616">
      <w:headerReference w:type="default" r:id="rId9"/>
      <w:footerReference w:type="default" r:id="rId10"/>
      <w:pgSz w:w="11906" w:h="16838"/>
      <w:pgMar w:top="1020" w:right="1020" w:bottom="1020" w:left="1162" w:header="425"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val="0"/>
        <w:color w:val="5F6E79"/>
        <w:sz w:val="16"/>
      </w:rPr>
      <w:t xml:space="preserve">POL-AUTH-01  |  v1.1  |  Tài liệu giả lập  •  Trang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eastAsia="Aptos"/>
        <w:b/>
        <w:color w:val="126F77"/>
        <w:sz w:val="16"/>
      </w:rPr>
      <w:t>NEXUS  /  PROJECT 07   •   CHÍNH SÁCH MÔ PHỎNG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ptos" w:hAnsi="Aptos"/>
      <w:color w:val="232E3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w:hAnsi="Aptos"/>
      <w:b/>
      <w:bCs/>
      <w:color w:val="15334C"/>
      <w:sz w:val="23"/>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5334C"/>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5334C"/>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Tài liệu đầu vào LLM cho kiểm toán phê duyệt khoản vay: POL-AUTH-01</dc:subject>
  <dc:creator>Nexus | Project 07 (tài liệu giả lập)</dc:creator>
  <cp:keywords/>
  <dc:description>generated by python-docx</dc:description>
  <cp:lastModifiedBy/>
  <cp:revision>1</cp:revision>
  <dcterms:created xsi:type="dcterms:W3CDTF">2013-12-23T23:15:00Z</dcterms:created>
  <dcterms:modified xsi:type="dcterms:W3CDTF">2013-12-23T23:15:00Z</dcterms:modified>
  <cp:category/>
</cp:coreProperties>
</file>