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24D"/>
          <w:sz w:val="60"/>
        </w:rPr>
        <w:t>Caderno executivo do piloto MAPES</w:t>
      </w:r>
    </w:p>
    <w:p>
      <w:pPr>
        <w:jc w:val="center"/>
      </w:pPr>
      <w:r>
        <w:rPr>
          <w:color w:val="5E6A71"/>
          <w:sz w:val="28"/>
        </w:rPr>
        <w:t>Hipóteses, métricas e critérios de decisão</w:t>
      </w:r>
    </w:p>
    <w:p>
      <w:pPr>
        <w:jc w:val="center"/>
      </w:pPr>
      <w:r>
        <w:rPr>
          <w:color w:val="5E6A71"/>
          <w:sz w:val="19"/>
        </w:rPr>
        <w:t>Projeto MAPES | 2 de agosto de 2026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454"/>
            <w:shd w:fill="EAF0F4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ExecutiveQuote"/>
            </w:pPr>
            <w:r>
              <w:t>O piloto deve vender uma segunda decisão: ampliar, revisar ou interromper. Não deve pressupor adoção institucional antes dos resultados.</w:t>
            </w:r>
          </w:p>
        </w:tc>
      </w:tr>
    </w:tbl>
    <w:p/>
    <w:p>
      <w:pPr>
        <w:pStyle w:val="Heading1"/>
      </w:pPr>
      <w:r>
        <w:t>Escopo recomendado</w:t>
      </w:r>
    </w:p>
    <w:p>
      <w:r>
        <w:t>Duas a quatro disciplinas, professores voluntários, um responsável acadêmico e uma oferta claramente delimitada. O processo usa linha de base e acompanha qualidade, viabilidade, reutilização e escala.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11639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ilo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163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Hipóteses e evidências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3744"/>
        <w:gridCol w:w="2880"/>
      </w:tblGrid>
      <w:tr>
        <w:trPr>
          <w:tblHeader w:val="true"/>
        </w:trPr>
        <w:tc>
          <w:tcPr>
            <w:tcW w:type="dxa" w:w="3485"/>
            <w:shd w:fill="17324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Hipótese</w:t>
            </w:r>
          </w:p>
        </w:tc>
        <w:tc>
          <w:tcPr>
            <w:tcW w:type="dxa" w:w="3485"/>
            <w:shd w:fill="17324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Evidência mínima</w:t>
            </w:r>
          </w:p>
        </w:tc>
        <w:tc>
          <w:tcPr>
            <w:tcW w:type="dxa" w:w="3485"/>
            <w:shd w:fill="17324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Continuidade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Planejamento mais coerente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Comparação de objetivos, tarefas, materiais e avaliação antes/depois.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Melhoria identificável.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Aprendizagem mais complexa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Produtos ou respostas que exijam aplicação, análise e transferência.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Evidência além da recuperação.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Menos retrabalho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Registro de tempo por tipo de tarefa e revisões.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Redução após investimento inicial.</w:t>
            </w:r>
          </w:p>
        </w:tc>
      </w:tr>
      <w:tr>
        <w:tc>
          <w:tcPr>
            <w:tcW w:type="dxa" w:w="3168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Reutilização</w:t>
            </w:r>
          </w:p>
        </w:tc>
        <w:tc>
          <w:tcPr>
            <w:tcW w:type="dxa" w:w="3744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Nova oferta, atualização ou adoção por outro docente.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  <w:vAlign w:val="center"/>
          </w:tcPr>
          <w:p>
            <w:r>
              <w:t>Menor esforço sem perda essencial.</w:t>
            </w:r>
          </w:p>
        </w:tc>
      </w:tr>
    </w:tbl>
    <w:p>
      <w:pPr>
        <w:pStyle w:val="Heading1"/>
      </w:pPr>
      <w:r>
        <w:t>Linha de base</w:t>
      </w:r>
    </w:p>
    <w:p>
      <w:r>
        <w:t>Registrar versão atual do plano e dos materiais, objetivos, avaliações, tempo de preparação, dificuldades percebidas, indicadores acadêmicos disponíveis e materiais reutilizáveis.</w:t>
      </w:r>
    </w:p>
    <w:p>
      <w:pPr>
        <w:pStyle w:val="Heading1"/>
      </w:pPr>
      <w:r>
        <w:t>Qualidade</w:t>
      </w:r>
    </w:p>
    <w:p>
      <w:r>
        <w:t>Alinhamento objetivo-atividade-avaliação; clareza dos materiais; autenticidade das tarefas; qualidade das justificativas dos estudantes; uso do feedback.</w:t>
      </w:r>
    </w:p>
    <w:p>
      <w:pPr>
        <w:pStyle w:val="Heading1"/>
      </w:pPr>
      <w:r>
        <w:t>Viabilidade</w:t>
      </w:r>
    </w:p>
    <w:p>
      <w:r>
        <w:t>Horas de formação, planejamento, produção e revisão; dificuldades de uso; apoio necessário; efeitos indesejados, inclusive burocratização.</w:t>
      </w:r>
    </w:p>
    <w:p>
      <w:pPr>
        <w:pStyle w:val="Heading1"/>
      </w:pPr>
      <w:r>
        <w:t>Reutilização e escala</w:t>
      </w:r>
    </w:p>
    <w:p>
      <w:r>
        <w:t>Materiais reaproveitados, tempo de atualização, adoção por outro docente, consistência entre turmas e dependência dos autores iniciais.</w:t>
      </w:r>
    </w:p>
    <w:p>
      <w:pPr>
        <w:pStyle w:val="Heading1"/>
      </w:pPr>
      <w:r>
        <w:t>Resultados exploratórios</w:t>
      </w:r>
    </w:p>
    <w:p>
      <w:r>
        <w:t>Permanência, satisfação, avaliações docentes, Enade, custos e receita podem ser acompanhados, mas não são critérios primários e não devem ser atribuídos ao MAPES sem desenho adequado.</w:t>
      </w:r>
    </w:p>
    <w:p>
      <w:pPr>
        <w:pStyle w:val="Heading1"/>
      </w:pPr>
      <w:r>
        <w:t>Decisão ao final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227"/>
            <w:shd w:fill="17324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Decisão</w:t>
            </w:r>
          </w:p>
        </w:tc>
        <w:tc>
          <w:tcPr>
            <w:tcW w:type="dxa" w:w="5227"/>
            <w:shd w:fill="17324D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</w:rPr>
              <w:t>Condição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Interromper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Ausência de ganho pedagógico ou carga desproporcional.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Revisar e repetir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Mecanismo promissor, com problemas de implementação.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Ampliar o piloto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Qualidade observável, viabilidade aceitável e perspectiva de reutilização.</w:t>
            </w:r>
          </w:p>
        </w:tc>
      </w:tr>
      <w:tr>
        <w:tc>
          <w:tcPr>
            <w:tcW w:type="dxa" w:w="244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Preparar escala</w:t>
            </w:r>
          </w:p>
        </w:tc>
        <w:tc>
          <w:tcPr>
            <w:tcW w:type="dxa" w:w="720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Resultados repetidos, adoção por outros docentes e suporte institucional definido.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A71"/>
        <w:sz w:val="16"/>
      </w:rPr>
      <w:t>MAPES - Valor Institucional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D7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D6B5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40" w:after="120"/>
    </w:pPr>
    <w:rPr>
      <w:rFonts w:asciiTheme="majorHAnsi" w:eastAsiaTheme="majorEastAsia" w:hAnsiTheme="majorHAnsi" w:cstheme="majorBidi" w:ascii="Aptos" w:hAnsi="Aptos"/>
      <w:b/>
      <w:i/>
      <w:iCs/>
      <w:color w:val="5E6A7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xecutiveQuote">
    <w:name w:val="Executive Quote"/>
    <w:pPr>
      <w:spacing w:before="200" w:after="200"/>
      <w:ind w:left="360" w:right="360"/>
    </w:pPr>
    <w:rPr>
      <w:rFonts w:ascii="Aptos" w:hAnsi="Aptos"/>
      <w:b/>
      <w:color w:val="17324D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