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60"/>
        </w:rPr>
        <w:t>Nota regulatória e de evidências</w:t>
      </w:r>
    </w:p>
    <w:p>
      <w:pPr>
        <w:jc w:val="center"/>
      </w:pPr>
      <w:r>
        <w:rPr>
          <w:color w:val="5E6A71"/>
          <w:sz w:val="28"/>
        </w:rPr>
        <w:t>Anexo ao MAPES - Valor Institucional</w:t>
      </w:r>
    </w:p>
    <w:p>
      <w:pPr>
        <w:jc w:val="center"/>
      </w:pPr>
      <w:r>
        <w:rPr>
          <w:color w:val="5E6A71"/>
          <w:sz w:val="19"/>
        </w:rPr>
        <w:t>Projeto MAPES | 2 de agosto de 2026</w:t>
      </w:r>
    </w:p>
    <w:p/>
    <w:p>
      <w:pPr>
        <w:pStyle w:val="Heading1"/>
      </w:pPr>
      <w:r>
        <w:t>Avaliação da educação superior</w:t>
      </w:r>
    </w:p>
    <w:p>
      <w:r>
        <w:t>O Inep informa que os Instrumentos de Avaliação de Cursos de Graduação subsidiam autorização, reconhecimento e renovação de reconhecimento e verificam três dimensões: organização didático-pedagógica, corpo docente e tutorial, e infraestrutura. O MAPES se relaciona principalmente com a primeira dimensão. A contribuição deve ser apresentada como produção e organização de evidências pedagógicas, não como atendimento automático a indicadores. O reconhecimento utiliza a avaliação externa in loco como referencial básico; o MAPES não substitui o processo regulatório.</w:t>
      </w:r>
    </w:p>
    <w:p>
      <w:pPr>
        <w:pStyle w:val="Heading1"/>
      </w:pPr>
      <w:r>
        <w:t>Enade</w:t>
      </w:r>
    </w:p>
    <w:p>
      <w:r>
        <w:t>O Enade avalia o rendimento dos concluintes em conteúdos, competências e habilidades previstos nas diretrizes curriculares. Não há base para afirmar que o MAPES melhora resultados no exame. Essa relação depende do curso, da implementação e de evidência empírica.</w:t>
      </w:r>
    </w:p>
    <w:p>
      <w:pPr>
        <w:pStyle w:val="Heading1"/>
      </w:pPr>
      <w:r>
        <w:t>NR-1</w:t>
      </w:r>
    </w:p>
    <w:p>
      <w:r>
        <w:t>A redação vigente desde 26 de maio de 2026 inclui fatores de risco psicossociais relacionados ao trabalho no Gerenciamento de Riscos Ocupacionais. A Fundacentro orienta considerar a organização e a gestão real do trabalho. O MAPES não é ferramenta de conformidade com a NR-1. Uma eventual redução de retrabalho ou urgência pode ser observada no piloto e, quando pertinente, integrada às políticas de SST.</w:t>
      </w:r>
    </w:p>
    <w:p>
      <w:pPr>
        <w:pStyle w:val="Heading1"/>
      </w:pPr>
      <w:r>
        <w:t>Trabalho docente e IA</w:t>
      </w:r>
    </w:p>
    <w:p>
      <w:r>
        <w:t>A literatura sobre carga docente mostra que o trabalho acadêmico inclui preparação, ensino, pesquisa, serviço e administração. Estudos associam estresse ocupacional a burnout em docentes do ensino superior. Esses achados justificam medir tempo e experiência, sem converter o MAPES em intervenção de saúde ocupacional. A UNESCO recomenda abordagem centrada no ser humano para IA na educação, com agência docente, competência para avaliação crítica, proteção de dados e validação pedagógica.</w:t>
      </w:r>
    </w:p>
    <w:p>
      <w:pPr>
        <w:pStyle w:val="Heading1"/>
      </w:pPr>
      <w:r>
        <w:t>Fontes principais</w:t>
      </w:r>
    </w:p>
    <w:p>
      <w:r>
        <w:t>Ministério do Trabalho e Emprego, NR-1; Fundacentro, Diretrizes para aplicar a NR-1 com a inclusão dos riscos psicossociais, 2026; Inep, Avaliação in loco, Instrumentos de avaliação e Enade; UNESCO, Guidance for generative AI in education and research, 2023/2026; UNESCO, AI competency framework for teachers, 2024; Griffith e Altinay, 2020; Shi, Omar e Ismail, 2025.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71"/>
        <w:sz w:val="16"/>
      </w:rPr>
      <w:t>MAPES - Valor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6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/>
      <w:i/>
      <w:iCs/>
      <w:color w:val="5E6A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200" w:after="200"/>
      <w:ind w:left="360" w:right="360"/>
    </w:pPr>
    <w:rPr>
      <w:rFonts w:ascii="Aptos" w:hAnsi="Aptos"/>
      <w:b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