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9955" w14:textId="7B0504B0" w:rsidR="00A37AD0" w:rsidRPr="00D01E65" w:rsidRDefault="00D01E65">
      <w:pPr>
        <w:rPr>
          <w:sz w:val="32"/>
          <w:szCs w:val="32"/>
        </w:rPr>
      </w:pPr>
      <w:r w:rsidRPr="00D01E65">
        <w:rPr>
          <w:rFonts w:ascii="Times New Roman" w:eastAsia="Times New Roman" w:hAnsi="Times New Roman" w:cs="Times New Roman"/>
          <w:b/>
          <w:bCs/>
          <w:kern w:val="0"/>
          <w:sz w:val="36"/>
          <w:szCs w:val="36"/>
          <w:lang w:eastAsia="pt-BR"/>
          <w14:ligatures w14:val="none"/>
        </w:rPr>
        <w:t>MAPES — Método de Aprendizagem por Estruturação Sistêmica</w:t>
      </w:r>
    </w:p>
    <w:p w14:paraId="1C93AFAE" w14:textId="45869D2E" w:rsidR="00D01E65" w:rsidRPr="00D01E65" w:rsidRDefault="00D01E65">
      <w:pPr>
        <w:rPr>
          <w:b/>
          <w:bCs/>
          <w:sz w:val="28"/>
          <w:szCs w:val="28"/>
        </w:rPr>
      </w:pPr>
      <w:r w:rsidRPr="00D01E65">
        <w:rPr>
          <w:b/>
          <w:bCs/>
          <w:sz w:val="28"/>
          <w:szCs w:val="28"/>
        </w:rPr>
        <w:t>Prof. Claudio de Moura Castro</w:t>
      </w:r>
      <w:r>
        <w:rPr>
          <w:b/>
          <w:bCs/>
          <w:sz w:val="28"/>
          <w:szCs w:val="28"/>
        </w:rPr>
        <w:br/>
      </w:r>
      <w:r w:rsidRPr="00D01E65">
        <w:rPr>
          <w:b/>
          <w:bCs/>
          <w:sz w:val="28"/>
          <w:szCs w:val="28"/>
        </w:rPr>
        <w:t>Dr. Ricardo Guimaraes</w:t>
      </w:r>
    </w:p>
    <w:p w14:paraId="411DB578" w14:textId="77777777" w:rsidR="00D01E65" w:rsidRPr="00D01E65" w:rsidRDefault="00D01E65" w:rsidP="00D01E65">
      <w:pPr>
        <w:spacing w:before="100" w:beforeAutospacing="1" w:after="100" w:afterAutospacing="1" w:line="240" w:lineRule="auto"/>
        <w:outlineLvl w:val="0"/>
        <w:rPr>
          <w:rFonts w:ascii="Times New Roman" w:eastAsia="Times New Roman" w:hAnsi="Times New Roman" w:cs="Times New Roman"/>
          <w:b/>
          <w:bCs/>
          <w:kern w:val="36"/>
          <w:sz w:val="36"/>
          <w:szCs w:val="36"/>
          <w:lang w:eastAsia="pt-BR"/>
          <w14:ligatures w14:val="none"/>
        </w:rPr>
      </w:pPr>
      <w:r w:rsidRPr="00D01E65">
        <w:rPr>
          <w:rFonts w:ascii="Times New Roman" w:eastAsia="Times New Roman" w:hAnsi="Times New Roman" w:cs="Times New Roman"/>
          <w:b/>
          <w:bCs/>
          <w:kern w:val="36"/>
          <w:sz w:val="36"/>
          <w:szCs w:val="36"/>
          <w:lang w:eastAsia="pt-BR"/>
          <w14:ligatures w14:val="none"/>
        </w:rPr>
        <w:t>Informação não é conhecimento: aprender é organizar</w:t>
      </w:r>
    </w:p>
    <w:p w14:paraId="2BC7959C"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Como o MAPES — Método de Aprendizagem por Estruturação Sistêmica — responde à era da sobrecarga</w:t>
      </w:r>
    </w:p>
    <w:p w14:paraId="22C3536C"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Nunca tivemos tanta informação ao alcance da mão, e nunca soubemos tão pouco o que fazer com ela. O problema da educação deixou de ser a escassez de dados. Passou a ser a ausência de arquitetura.</w:t>
      </w:r>
    </w:p>
    <w:p w14:paraId="3A64103B"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Há uma cena que descreve esse impasse melhor do que qualquer diagnóstico. Um galpão colossal, lotado de peças de carro novas em folha: o motor, os freios, milhares de parafusos, os painéis de vidro, os fios de todas as cores. Está tudo lá. Então alguém tranca a porta por fora, joga a chave pela janela e diz: pronto, agora construa o carro. Faltou um detalhe — o manual, a planta, o desenho de como as milhares de peças conversam entre si.</w:t>
      </w:r>
    </w:p>
    <w:p w14:paraId="2BCF718A"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Essa cena, aparentemente absurda, é o retrato de como boa parte do ensino tem operado nas últimas décadas. Temos abundância de peças. Temos escassez de planta. E é desse ponto que parte o MAPES, o Método de Aprendizagem por Estruturação Sistêmica.</w:t>
      </w:r>
    </w:p>
    <w:p w14:paraId="50438742" w14:textId="77777777" w:rsidR="00D01E65" w:rsidRPr="00D01E65" w:rsidRDefault="00D01E65" w:rsidP="00D01E6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01E65">
        <w:rPr>
          <w:rFonts w:ascii="Times New Roman" w:eastAsia="Times New Roman" w:hAnsi="Times New Roman" w:cs="Times New Roman"/>
          <w:b/>
          <w:bCs/>
          <w:kern w:val="0"/>
          <w:sz w:val="36"/>
          <w:szCs w:val="36"/>
          <w:lang w:eastAsia="pt-BR"/>
          <w14:ligatures w14:val="none"/>
        </w:rPr>
        <w:t>O que quebrou no ensino</w:t>
      </w:r>
    </w:p>
    <w:p w14:paraId="49A8DDCC"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modelo que herdamos foi desenhado para uma era de escassez. Quando o conhecimento era difícil de alcançar, o simples acesso já era uma vitória, e fazia sentido organizar o ensino em silos: a biologia numa aula, a matemática na outra, a história na terceira, cada disciplina num compartimento estanque. O desafio era levar a informação até o aluno, e o modelo cumpria essa tarefa.</w:t>
      </w:r>
    </w:p>
    <w:p w14:paraId="6E51A762"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mundo virou. Hoje qualquer estudante com um celular alcança, em minutos, mais dados brutos do que gerações inteiras reuniriam em semanas de biblioteca. A inteligência artificial multiplicou essa montanha. O gargalo mudou de lugar: não é mais a falta de informação, é a desorganização dela.</w:t>
      </w:r>
    </w:p>
    <w:p w14:paraId="4D8F575B"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E o aluno criado na abundância de estímulos tem pouca tolerância ao conteúdo descontextualizado. Quando recebe uma peça solta, sem entender onde ela se encaixa, o cérebro já sobrecarregado tende a descartá-la. A memória não retém com facilidade aquilo que não se prende a uma estrutura maior. Informação sem sistema é frágil, e some.</w:t>
      </w:r>
    </w:p>
    <w:p w14:paraId="0F172889"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O resultado é conhecido de qualquer professor: redundância entre disciplinas, memorização de rótulos para a prova de sexta, esquecimento na segunda-feira. </w:t>
      </w:r>
      <w:r w:rsidRPr="00D01E65">
        <w:rPr>
          <w:rFonts w:ascii="Times New Roman" w:eastAsia="Times New Roman" w:hAnsi="Times New Roman" w:cs="Times New Roman"/>
          <w:kern w:val="0"/>
          <w:sz w:val="24"/>
          <w:szCs w:val="24"/>
          <w:lang w:eastAsia="pt-BR"/>
          <w14:ligatures w14:val="none"/>
        </w:rPr>
        <w:lastRenderedPageBreak/>
        <w:t>Frustração, ansiedade, evasão. Sem o mapa, cada aluno precisa reconstruir sozinho a arquitetura do que estuda. Alguns conseguem, por intuição ou esforço desproporcional. A maioria se perde.</w:t>
      </w:r>
    </w:p>
    <w:p w14:paraId="067AC785" w14:textId="77777777" w:rsidR="00D01E65" w:rsidRPr="00D01E65" w:rsidRDefault="00D01E65" w:rsidP="00D01E6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01E65">
        <w:rPr>
          <w:rFonts w:ascii="Times New Roman" w:eastAsia="Times New Roman" w:hAnsi="Times New Roman" w:cs="Times New Roman"/>
          <w:b/>
          <w:bCs/>
          <w:kern w:val="0"/>
          <w:sz w:val="36"/>
          <w:szCs w:val="36"/>
          <w:lang w:eastAsia="pt-BR"/>
          <w14:ligatures w14:val="none"/>
        </w:rPr>
        <w:t>A resposta: estruturar o conhecimento como sistema</w:t>
      </w:r>
    </w:p>
    <w:p w14:paraId="2F44F230"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MAPES nasceu de uma pergunta prática: como ensinar conteúdo complexo a alunos de formações diferentes, sem reduzir a complexidade e sem abandonar o aluno diante dela?</w:t>
      </w:r>
    </w:p>
    <w:p w14:paraId="030BF01C"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A resposta é estruturar o conhecimento como sistema. Em vez de apresentar uma matéria como uma sequência de tópicos isolados, o método ensina o aluno a navegar por um mapa funcional. Ele não recebe apenas partes: recebe relações. Não recebe apenas nomes: recebe funções. Não recebe apenas definições: recebe caminhos para pensar.</w:t>
      </w:r>
    </w:p>
    <w:p w14:paraId="7C071F63"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método se apoia em quatro pilares.</w:t>
      </w:r>
    </w:p>
    <w:p w14:paraId="384C022B"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1. Blueprint — a planta antes do tijolo</w:t>
      </w:r>
    </w:p>
    <w:p w14:paraId="56FBF713"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O primeiro pilar é a topologia do conhecimento: o </w:t>
      </w:r>
      <w:proofErr w:type="spellStart"/>
      <w:r w:rsidRPr="00D01E65">
        <w:rPr>
          <w:rFonts w:ascii="Times New Roman" w:eastAsia="Times New Roman" w:hAnsi="Times New Roman" w:cs="Times New Roman"/>
          <w:i/>
          <w:iCs/>
          <w:kern w:val="0"/>
          <w:sz w:val="24"/>
          <w:szCs w:val="24"/>
          <w:lang w:eastAsia="pt-BR"/>
          <w14:ligatures w14:val="none"/>
        </w:rPr>
        <w:t>blueprint</w:t>
      </w:r>
      <w:proofErr w:type="spellEnd"/>
      <w:r w:rsidRPr="00D01E65">
        <w:rPr>
          <w:rFonts w:ascii="Times New Roman" w:eastAsia="Times New Roman" w:hAnsi="Times New Roman" w:cs="Times New Roman"/>
          <w:kern w:val="0"/>
          <w:sz w:val="24"/>
          <w:szCs w:val="24"/>
          <w:lang w:eastAsia="pt-BR"/>
          <w14:ligatures w14:val="none"/>
        </w:rPr>
        <w:t>. Antes de colocar tijolo sobre tijolo torcendo para a parede sair reta, o aluno precisa ver a planta inteira do edifício.</w:t>
      </w:r>
    </w:p>
    <w:p w14:paraId="1B426A5F"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Antes de mergulhar em uma equação ou na complexidade de um órgão, ele precisa saber onde está dentro daquele universo, quais são as grandes áreas do assunto, qual é o terreno que pisa. O </w:t>
      </w:r>
      <w:proofErr w:type="spellStart"/>
      <w:r w:rsidRPr="00D01E65">
        <w:rPr>
          <w:rFonts w:ascii="Times New Roman" w:eastAsia="Times New Roman" w:hAnsi="Times New Roman" w:cs="Times New Roman"/>
          <w:kern w:val="0"/>
          <w:sz w:val="24"/>
          <w:szCs w:val="24"/>
          <w:lang w:eastAsia="pt-BR"/>
          <w14:ligatures w14:val="none"/>
        </w:rPr>
        <w:t>blueprint</w:t>
      </w:r>
      <w:proofErr w:type="spellEnd"/>
      <w:r w:rsidRPr="00D01E65">
        <w:rPr>
          <w:rFonts w:ascii="Times New Roman" w:eastAsia="Times New Roman" w:hAnsi="Times New Roman" w:cs="Times New Roman"/>
          <w:kern w:val="0"/>
          <w:sz w:val="24"/>
          <w:szCs w:val="24"/>
          <w:lang w:eastAsia="pt-BR"/>
          <w14:ligatures w14:val="none"/>
        </w:rPr>
        <w:t xml:space="preserve"> não mostra cada parafuso do avião; mostra as grandes categorias — aqui ficam os motores, ali a cabine, adiante as asas.</w:t>
      </w:r>
    </w:p>
    <w:p w14:paraId="5DF78983"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Quando a mente entende os contornos do problema, a ansiedade cede. Saber o tamanho daquilo que se ignora é mais reconfortante do que despencar num abismo de informação sem fundo à vista. O </w:t>
      </w:r>
      <w:proofErr w:type="spellStart"/>
      <w:r w:rsidRPr="00D01E65">
        <w:rPr>
          <w:rFonts w:ascii="Times New Roman" w:eastAsia="Times New Roman" w:hAnsi="Times New Roman" w:cs="Times New Roman"/>
          <w:kern w:val="0"/>
          <w:sz w:val="24"/>
          <w:szCs w:val="24"/>
          <w:lang w:eastAsia="pt-BR"/>
          <w14:ligatures w14:val="none"/>
        </w:rPr>
        <w:t>blueprint</w:t>
      </w:r>
      <w:proofErr w:type="spellEnd"/>
      <w:r w:rsidRPr="00D01E65">
        <w:rPr>
          <w:rFonts w:ascii="Times New Roman" w:eastAsia="Times New Roman" w:hAnsi="Times New Roman" w:cs="Times New Roman"/>
          <w:kern w:val="0"/>
          <w:sz w:val="24"/>
          <w:szCs w:val="24"/>
          <w:lang w:eastAsia="pt-BR"/>
          <w14:ligatures w14:val="none"/>
        </w:rPr>
        <w:t xml:space="preserve"> entrega ao cérebro as caixas vazias, para que ele saiba onde guardar os tijolos que virão.</w:t>
      </w:r>
    </w:p>
    <w:p w14:paraId="7C635FF8"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2. Teleonomia — a função como âncora</w:t>
      </w:r>
    </w:p>
    <w:p w14:paraId="0B65B731"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segundo pilar é a teleonomia, nome técnico para algo simples e vital: a função. O foco sai da anatomia pura, que é estática, e vai para a utilidade dinâmica. O aluno não pergunta apenas "o que é isto?", mas "para que serve?", "que papel cumpre?", "o que acontece quando falha?".</w:t>
      </w:r>
    </w:p>
    <w:p w14:paraId="58317D49"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É difícil se interessar por uma estrutura só porque ela existe. Decorar o nome dos ossos é penoso. Mas quando entendemos a consequência da falha — a fratura, a luxação, o movimento bloqueado —, a atenção é capturada de imediato. No MAPES, a função vem primeiro; os detalhes anatômicos e fisiológicos vêm depois, para preencher um significado que já foi aberto. Aprender com propósito é aprender com retenção.</w:t>
      </w:r>
    </w:p>
    <w:p w14:paraId="7DA032FB"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3. Taxonomia acelerada — da memória à criação</w:t>
      </w:r>
    </w:p>
    <w:p w14:paraId="05D0C2BF"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lastRenderedPageBreak/>
        <w:t>O terceiro pilar acelera a subida na taxonomia de Bloom. Bloom organizou a aprendizagem em uma pirâmide: na base, lembrar, o velho decoreba; no topo, avaliar e criar. O ensino tradicional prende o aluno na base durante anos.</w:t>
      </w:r>
    </w:p>
    <w:p w14:paraId="34CBBABB"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MAPES propõe tirá-lo da base o quanto antes e lançá-lo nos níveis superiores. Em vez de gastar o semestre decorando conceitos, o estudante é levado a fazer engenharia reversa de problemas reais desde cedo. A profundidade vem da aplicação, não da repetição. O método não pula a base — transforma a base em trampolim.</w:t>
      </w:r>
    </w:p>
    <w:p w14:paraId="06C76B42"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4. Ancoragem contextual — a porta de entrada certa</w:t>
      </w:r>
    </w:p>
    <w:p w14:paraId="2B6A75DB"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quarto pilar é a ancoragem contextual: a porta de entrada. A ciência por trás de um conceito não muda, mas a porta pela qual convidamos alguém a entrar precisa mudar conforme quem entra. O cérebro só assimila o novo quando consegue ancorá-lo em algo que já domina.</w:t>
      </w:r>
    </w:p>
    <w:p w14:paraId="2E3812D9"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Para ensinar o sistema visual humano, a entrada muda com o interlocutor. Para o engenheiro, fala-se de óptica, sensores, ruído de sinal, processamento de dados. Para o advogado, de nexo causal, dano, perícia, responsabilidade. Para o economista, de custo biológico, risco, alocação de energia. Para o médico, de sintoma, diagnóstico, adaptação, tratamento. No fim da aula, a ciência da visão é rigorosamente a mesma para todos. Nada foi simplificado. Mas a primeira conexão se tornou irresistível. É a diferença entre obrigar alguém a aprender um idioma do zero e traduzir o conceito, já na entrada, para a língua nativa dele.</w:t>
      </w:r>
    </w:p>
    <w:p w14:paraId="3837E2D4" w14:textId="77777777" w:rsidR="00D01E65" w:rsidRPr="00D01E65" w:rsidRDefault="00D01E65" w:rsidP="00D01E6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01E65">
        <w:rPr>
          <w:rFonts w:ascii="Times New Roman" w:eastAsia="Times New Roman" w:hAnsi="Times New Roman" w:cs="Times New Roman"/>
          <w:b/>
          <w:bCs/>
          <w:kern w:val="0"/>
          <w:sz w:val="36"/>
          <w:szCs w:val="36"/>
          <w:lang w:eastAsia="pt-BR"/>
          <w14:ligatures w14:val="none"/>
        </w:rPr>
        <w:t>Por que funciona</w:t>
      </w:r>
    </w:p>
    <w:p w14:paraId="5305AA3E"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MAPES ataca três males da educação contemporânea. Contra a fragmentação, converte um amontoado de peças soltas em um sistema conectado. Contra o desperdício cognitivo, entrega o mapa pronto, poupando o cérebro do esforço de reconstruí-lo sozinho — o mesmo princípio que a psicologia cognitiva descreve quando fala em carga cognitiva e esquemas. Contra a desmotivação, mostra utilidade desde o primeiro instante. Aprender deixa de ser uma agressão e passa a ser um reconhecimento.</w:t>
      </w:r>
    </w:p>
    <w:p w14:paraId="1B60F474" w14:textId="77777777" w:rsidR="00D01E65" w:rsidRPr="00D01E65" w:rsidRDefault="00D01E65" w:rsidP="00D01E6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01E65">
        <w:rPr>
          <w:rFonts w:ascii="Times New Roman" w:eastAsia="Times New Roman" w:hAnsi="Times New Roman" w:cs="Times New Roman"/>
          <w:b/>
          <w:bCs/>
          <w:kern w:val="0"/>
          <w:sz w:val="36"/>
          <w:szCs w:val="36"/>
          <w:lang w:eastAsia="pt-BR"/>
          <w14:ligatures w14:val="none"/>
        </w:rPr>
        <w:t>A prova de fogo: a Neurovisão</w:t>
      </w:r>
    </w:p>
    <w:p w14:paraId="718EB724"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A força do MAPES é que ele não ficou na teoria pedagógica. O método foi aplicado ao ensino da Neurovisão — o estudo do sistema visual como uma rede funcional integrada — para alunos de formações diversas.</w:t>
      </w:r>
    </w:p>
    <w:p w14:paraId="0B14D857"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A oftalmologia tradicional reduziu a complexidade da visão ao teste de 20/20, a tabela de letras na parede do consultório. O 20/20 mede uma coisa só: a nitidez estática. Uma fotografia. E a visão, </w:t>
      </w:r>
      <w:proofErr w:type="gramStart"/>
      <w:r w:rsidRPr="00D01E65">
        <w:rPr>
          <w:rFonts w:ascii="Times New Roman" w:eastAsia="Times New Roman" w:hAnsi="Times New Roman" w:cs="Times New Roman"/>
          <w:kern w:val="0"/>
          <w:sz w:val="24"/>
          <w:szCs w:val="24"/>
          <w:lang w:eastAsia="pt-BR"/>
          <w14:ligatures w14:val="none"/>
        </w:rPr>
        <w:t>na vida real</w:t>
      </w:r>
      <w:proofErr w:type="gramEnd"/>
      <w:r w:rsidRPr="00D01E65">
        <w:rPr>
          <w:rFonts w:ascii="Times New Roman" w:eastAsia="Times New Roman" w:hAnsi="Times New Roman" w:cs="Times New Roman"/>
          <w:kern w:val="0"/>
          <w:sz w:val="24"/>
          <w:szCs w:val="24"/>
          <w:lang w:eastAsia="pt-BR"/>
          <w14:ligatures w14:val="none"/>
        </w:rPr>
        <w:t>, é vídeo — dinâmica, sensorial, integrada a movimento, atenção, emoção e equilíbrio.</w:t>
      </w:r>
    </w:p>
    <w:p w14:paraId="39BC499D"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Por isso um paciente com 20/20 pode sentir exaustão depois de dez minutos de leitura, ter enxaqueca sob luz fluorescente, ser uma criança brilhante que foge da página impressa, ser um adulto que se desorganiza diante da tela. O exame de rotina não registra nada disso.</w:t>
      </w:r>
    </w:p>
    <w:p w14:paraId="0760D4DF"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lastRenderedPageBreak/>
        <w:t xml:space="preserve">Aplicado à Neurovisão, o MAPES reorganiza a compreensão do sistema visual em três dimensões simultâneas — a visão de imagem, a visão biológica e a visão sensorial, o que chamamos de </w:t>
      </w:r>
      <w:proofErr w:type="spellStart"/>
      <w:r w:rsidRPr="00D01E65">
        <w:rPr>
          <w:rFonts w:ascii="Times New Roman" w:eastAsia="Times New Roman" w:hAnsi="Times New Roman" w:cs="Times New Roman"/>
          <w:kern w:val="0"/>
          <w:sz w:val="24"/>
          <w:szCs w:val="24"/>
          <w:lang w:eastAsia="pt-BR"/>
          <w14:ligatures w14:val="none"/>
        </w:rPr>
        <w:t>Trílice</w:t>
      </w:r>
      <w:proofErr w:type="spellEnd"/>
      <w:r w:rsidRPr="00D01E65">
        <w:rPr>
          <w:rFonts w:ascii="Times New Roman" w:eastAsia="Times New Roman" w:hAnsi="Times New Roman" w:cs="Times New Roman"/>
          <w:kern w:val="0"/>
          <w:sz w:val="24"/>
          <w:szCs w:val="24"/>
          <w:lang w:eastAsia="pt-BR"/>
          <w14:ligatures w14:val="none"/>
        </w:rPr>
        <w:t xml:space="preserve"> da Visão. Sob essas dimensões, a clínica reconhece domínios funcionais próprios, cada um com seus instrumentos. O que parecia problema de atenção, de ansiedade ou de "falta de esforço" revela-se, muitas vezes, sobrecarga sensorial: uma carga alostática que o cérebro paga para manter a visão estável num mundo visualmente caótico. Essa é a potência do método — ele deixa ver o sistema inteiro onde antes só se viam peças.</w:t>
      </w:r>
    </w:p>
    <w:p w14:paraId="28D31168" w14:textId="77777777" w:rsidR="00D01E65" w:rsidRPr="00D01E65" w:rsidRDefault="00D01E65" w:rsidP="00D01E65">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D01E65">
        <w:rPr>
          <w:rFonts w:ascii="Times New Roman" w:eastAsia="Times New Roman" w:hAnsi="Times New Roman" w:cs="Times New Roman"/>
          <w:b/>
          <w:bCs/>
          <w:kern w:val="0"/>
          <w:sz w:val="36"/>
          <w:szCs w:val="36"/>
          <w:lang w:eastAsia="pt-BR"/>
          <w14:ligatures w14:val="none"/>
        </w:rPr>
        <w:t>O mapa, não a peça</w:t>
      </w:r>
    </w:p>
    <w:p w14:paraId="444F8491"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O MAPES ensina algo que atravessa qualquer disciplina. Informação não é conhecimento. Conhecimento não é apenas memória. Aprender não é receber conteúdo: é organizá-lo.</w:t>
      </w:r>
    </w:p>
    <w:p w14:paraId="399D9AF3"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 xml:space="preserve">Quem aprende assim leva o método para onde for — estuda a fisiologia por sistemas, o direito por funções, a economia por fluxos e decisões. Num mundo em que o conhecimento cresce mais rápido do que nossa capacidade de </w:t>
      </w:r>
      <w:proofErr w:type="gramStart"/>
      <w:r w:rsidRPr="00D01E65">
        <w:rPr>
          <w:rFonts w:ascii="Times New Roman" w:eastAsia="Times New Roman" w:hAnsi="Times New Roman" w:cs="Times New Roman"/>
          <w:kern w:val="0"/>
          <w:sz w:val="24"/>
          <w:szCs w:val="24"/>
          <w:lang w:eastAsia="pt-BR"/>
          <w14:ligatures w14:val="none"/>
        </w:rPr>
        <w:t>absorvê-lo</w:t>
      </w:r>
      <w:proofErr w:type="gramEnd"/>
      <w:r w:rsidRPr="00D01E65">
        <w:rPr>
          <w:rFonts w:ascii="Times New Roman" w:eastAsia="Times New Roman" w:hAnsi="Times New Roman" w:cs="Times New Roman"/>
          <w:kern w:val="0"/>
          <w:sz w:val="24"/>
          <w:szCs w:val="24"/>
          <w:lang w:eastAsia="pt-BR"/>
          <w14:ligatures w14:val="none"/>
        </w:rPr>
        <w:t>, organizar deixou de ser um luxo intelectual e virou uma competência de sobrevivência. O aluno do futuro não será o que sabe tudo. Será o que sabe localizar, conectar e aplicar continuamente.</w:t>
      </w:r>
    </w:p>
    <w:p w14:paraId="6E4E21CF" w14:textId="77777777"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t>Para isso, ele precisa de mapas. O MAPES é uma disciplina mental: um modo de transformar informação em estrutura, estrutura em compreensão e compreensão em uso. Talvez seja essa a maior tarefa da educação — não apenas transmitir o que sabemos, mas ensinar o outro a organizar o que ainda vai precisar aprender.</w:t>
      </w:r>
    </w:p>
    <w:p w14:paraId="4673F19E" w14:textId="77777777" w:rsidR="00D01E65" w:rsidRPr="00D01E65" w:rsidRDefault="00D01E65" w:rsidP="00D01E65">
      <w:pPr>
        <w:spacing w:after="0"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pict w14:anchorId="266FE25A">
          <v:rect id="_x0000_i1033" style="width:0;height:1.5pt" o:hralign="center" o:hrstd="t" o:hr="t" fillcolor="#a0a0a0" stroked="f"/>
        </w:pict>
      </w:r>
    </w:p>
    <w:p w14:paraId="69091822" w14:textId="59F45526" w:rsidR="00D01E65" w:rsidRPr="00D01E65" w:rsidRDefault="00D01E65" w:rsidP="00D01E65">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i/>
          <w:iCs/>
          <w:kern w:val="0"/>
          <w:sz w:val="24"/>
          <w:szCs w:val="24"/>
          <w:lang w:eastAsia="pt-BR"/>
          <w14:ligatures w14:val="none"/>
        </w:rPr>
        <w:t>Este artigo se apoia no método MAPES — Método de Aprendizagem por Estruturação Sistêmica —, desenvolvido no LAPAN (Laboratório de Neurociências Aplicadas à Visão) da UFMG, em diálogo com a reflexão pedagógica do educador Cláudio de Moura Castro.</w:t>
      </w:r>
    </w:p>
    <w:p w14:paraId="1CEFB31C" w14:textId="77777777" w:rsidR="00D01E65" w:rsidRPr="00D01E65" w:rsidRDefault="00D01E65" w:rsidP="00D01E65">
      <w:pPr>
        <w:spacing w:after="0"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kern w:val="0"/>
          <w:sz w:val="24"/>
          <w:szCs w:val="24"/>
          <w:lang w:eastAsia="pt-BR"/>
          <w14:ligatures w14:val="none"/>
        </w:rPr>
        <w:pict w14:anchorId="2D4B6991">
          <v:rect id="_x0000_i1037" style="width:0;height:1.5pt" o:hralign="center" o:hrstd="t" o:hr="t" fillcolor="#a0a0a0" stroked="f"/>
        </w:pict>
      </w:r>
    </w:p>
    <w:p w14:paraId="32B6FC15" w14:textId="77777777" w:rsidR="00D01E65" w:rsidRPr="00D01E65" w:rsidRDefault="00D01E65" w:rsidP="00D01E65">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D01E65">
        <w:rPr>
          <w:rFonts w:ascii="Times New Roman" w:eastAsia="Times New Roman" w:hAnsi="Times New Roman" w:cs="Times New Roman"/>
          <w:b/>
          <w:bCs/>
          <w:kern w:val="0"/>
          <w:sz w:val="27"/>
          <w:szCs w:val="27"/>
          <w:lang w:eastAsia="pt-BR"/>
          <w14:ligatures w14:val="none"/>
        </w:rPr>
        <w:t>Para fundamentar (leituras sugeridas)</w:t>
      </w:r>
    </w:p>
    <w:p w14:paraId="30F19356"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D01E65">
        <w:rPr>
          <w:rFonts w:ascii="Times New Roman" w:eastAsia="Times New Roman" w:hAnsi="Times New Roman" w:cs="Times New Roman"/>
          <w:b/>
          <w:bCs/>
          <w:kern w:val="0"/>
          <w:sz w:val="24"/>
          <w:szCs w:val="24"/>
          <w:lang w:eastAsia="pt-BR"/>
          <w14:ligatures w14:val="none"/>
        </w:rPr>
        <w:t>Ausubel</w:t>
      </w:r>
      <w:proofErr w:type="spellEnd"/>
      <w:r w:rsidRPr="00D01E65">
        <w:rPr>
          <w:rFonts w:ascii="Times New Roman" w:eastAsia="Times New Roman" w:hAnsi="Times New Roman" w:cs="Times New Roman"/>
          <w:b/>
          <w:bCs/>
          <w:kern w:val="0"/>
          <w:sz w:val="24"/>
          <w:szCs w:val="24"/>
          <w:lang w:eastAsia="pt-BR"/>
          <w14:ligatures w14:val="none"/>
        </w:rPr>
        <w:t>, D. P.</w:t>
      </w:r>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Educational</w:t>
      </w:r>
      <w:proofErr w:type="spellEnd"/>
      <w:r w:rsidRPr="00D01E65">
        <w:rPr>
          <w:rFonts w:ascii="Times New Roman" w:eastAsia="Times New Roman" w:hAnsi="Times New Roman" w:cs="Times New Roman"/>
          <w:i/>
          <w:iCs/>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Psychology</w:t>
      </w:r>
      <w:proofErr w:type="spellEnd"/>
      <w:r w:rsidRPr="00D01E65">
        <w:rPr>
          <w:rFonts w:ascii="Times New Roman" w:eastAsia="Times New Roman" w:hAnsi="Times New Roman" w:cs="Times New Roman"/>
          <w:i/>
          <w:iCs/>
          <w:kern w:val="0"/>
          <w:sz w:val="24"/>
          <w:szCs w:val="24"/>
          <w:lang w:eastAsia="pt-BR"/>
          <w14:ligatures w14:val="none"/>
        </w:rPr>
        <w:t xml:space="preserve">: A </w:t>
      </w:r>
      <w:proofErr w:type="spellStart"/>
      <w:r w:rsidRPr="00D01E65">
        <w:rPr>
          <w:rFonts w:ascii="Times New Roman" w:eastAsia="Times New Roman" w:hAnsi="Times New Roman" w:cs="Times New Roman"/>
          <w:i/>
          <w:iCs/>
          <w:kern w:val="0"/>
          <w:sz w:val="24"/>
          <w:szCs w:val="24"/>
          <w:lang w:eastAsia="pt-BR"/>
          <w14:ligatures w14:val="none"/>
        </w:rPr>
        <w:t>Cognitive</w:t>
      </w:r>
      <w:proofErr w:type="spellEnd"/>
      <w:r w:rsidRPr="00D01E65">
        <w:rPr>
          <w:rFonts w:ascii="Times New Roman" w:eastAsia="Times New Roman" w:hAnsi="Times New Roman" w:cs="Times New Roman"/>
          <w:i/>
          <w:iCs/>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View</w:t>
      </w:r>
      <w:proofErr w:type="spellEnd"/>
      <w:r w:rsidRPr="00D01E65">
        <w:rPr>
          <w:rFonts w:ascii="Times New Roman" w:eastAsia="Times New Roman" w:hAnsi="Times New Roman" w:cs="Times New Roman"/>
          <w:kern w:val="0"/>
          <w:sz w:val="24"/>
          <w:szCs w:val="24"/>
          <w:lang w:eastAsia="pt-BR"/>
          <w14:ligatures w14:val="none"/>
        </w:rPr>
        <w:t xml:space="preserve"> (1968) — os "organizadores prévios", base científica do pilar Blueprint.</w:t>
      </w:r>
    </w:p>
    <w:p w14:paraId="3EAE1EB0"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b/>
          <w:bCs/>
          <w:kern w:val="0"/>
          <w:sz w:val="24"/>
          <w:szCs w:val="24"/>
          <w:lang w:eastAsia="pt-BR"/>
          <w14:ligatures w14:val="none"/>
        </w:rPr>
        <w:t xml:space="preserve">Novak, J. D.; </w:t>
      </w:r>
      <w:proofErr w:type="spellStart"/>
      <w:r w:rsidRPr="00D01E65">
        <w:rPr>
          <w:rFonts w:ascii="Times New Roman" w:eastAsia="Times New Roman" w:hAnsi="Times New Roman" w:cs="Times New Roman"/>
          <w:b/>
          <w:bCs/>
          <w:kern w:val="0"/>
          <w:sz w:val="24"/>
          <w:szCs w:val="24"/>
          <w:lang w:eastAsia="pt-BR"/>
          <w14:ligatures w14:val="none"/>
        </w:rPr>
        <w:t>Gowin</w:t>
      </w:r>
      <w:proofErr w:type="spellEnd"/>
      <w:r w:rsidRPr="00D01E65">
        <w:rPr>
          <w:rFonts w:ascii="Times New Roman" w:eastAsia="Times New Roman" w:hAnsi="Times New Roman" w:cs="Times New Roman"/>
          <w:b/>
          <w:bCs/>
          <w:kern w:val="0"/>
          <w:sz w:val="24"/>
          <w:szCs w:val="24"/>
          <w:lang w:eastAsia="pt-BR"/>
          <w14:ligatures w14:val="none"/>
        </w:rPr>
        <w:t>, D. B.</w:t>
      </w:r>
      <w:r w:rsidRPr="00D01E65">
        <w:rPr>
          <w:rFonts w:ascii="Times New Roman" w:eastAsia="Times New Roman" w:hAnsi="Times New Roman" w:cs="Times New Roman"/>
          <w:kern w:val="0"/>
          <w:sz w:val="24"/>
          <w:szCs w:val="24"/>
          <w:lang w:eastAsia="pt-BR"/>
          <w14:ligatures w14:val="none"/>
        </w:rPr>
        <w:t xml:space="preserve"> </w:t>
      </w:r>
      <w:r w:rsidRPr="00D01E65">
        <w:rPr>
          <w:rFonts w:ascii="Times New Roman" w:eastAsia="Times New Roman" w:hAnsi="Times New Roman" w:cs="Times New Roman"/>
          <w:i/>
          <w:iCs/>
          <w:kern w:val="0"/>
          <w:sz w:val="24"/>
          <w:szCs w:val="24"/>
          <w:lang w:eastAsia="pt-BR"/>
          <w14:ligatures w14:val="none"/>
        </w:rPr>
        <w:t xml:space="preserve">Learning </w:t>
      </w:r>
      <w:proofErr w:type="spellStart"/>
      <w:r w:rsidRPr="00D01E65">
        <w:rPr>
          <w:rFonts w:ascii="Times New Roman" w:eastAsia="Times New Roman" w:hAnsi="Times New Roman" w:cs="Times New Roman"/>
          <w:i/>
          <w:iCs/>
          <w:kern w:val="0"/>
          <w:sz w:val="24"/>
          <w:szCs w:val="24"/>
          <w:lang w:eastAsia="pt-BR"/>
          <w14:ligatures w14:val="none"/>
        </w:rPr>
        <w:t>How</w:t>
      </w:r>
      <w:proofErr w:type="spellEnd"/>
      <w:r w:rsidRPr="00D01E65">
        <w:rPr>
          <w:rFonts w:ascii="Times New Roman" w:eastAsia="Times New Roman" w:hAnsi="Times New Roman" w:cs="Times New Roman"/>
          <w:i/>
          <w:iCs/>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to</w:t>
      </w:r>
      <w:proofErr w:type="spellEnd"/>
      <w:r w:rsidRPr="00D01E65">
        <w:rPr>
          <w:rFonts w:ascii="Times New Roman" w:eastAsia="Times New Roman" w:hAnsi="Times New Roman" w:cs="Times New Roman"/>
          <w:i/>
          <w:iCs/>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Learn</w:t>
      </w:r>
      <w:proofErr w:type="spellEnd"/>
      <w:r w:rsidRPr="00D01E65">
        <w:rPr>
          <w:rFonts w:ascii="Times New Roman" w:eastAsia="Times New Roman" w:hAnsi="Times New Roman" w:cs="Times New Roman"/>
          <w:kern w:val="0"/>
          <w:sz w:val="24"/>
          <w:szCs w:val="24"/>
          <w:lang w:eastAsia="pt-BR"/>
          <w14:ligatures w14:val="none"/>
        </w:rPr>
        <w:t xml:space="preserve"> (1984) — mapas conceituais e aprendizagem significativa.</w:t>
      </w:r>
    </w:p>
    <w:p w14:paraId="38DC149D"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D01E65">
        <w:rPr>
          <w:rFonts w:ascii="Times New Roman" w:eastAsia="Times New Roman" w:hAnsi="Times New Roman" w:cs="Times New Roman"/>
          <w:b/>
          <w:bCs/>
          <w:kern w:val="0"/>
          <w:sz w:val="24"/>
          <w:szCs w:val="24"/>
          <w:lang w:eastAsia="pt-BR"/>
          <w14:ligatures w14:val="none"/>
        </w:rPr>
        <w:t>Sweller</w:t>
      </w:r>
      <w:proofErr w:type="spellEnd"/>
      <w:r w:rsidRPr="00D01E65">
        <w:rPr>
          <w:rFonts w:ascii="Times New Roman" w:eastAsia="Times New Roman" w:hAnsi="Times New Roman" w:cs="Times New Roman"/>
          <w:b/>
          <w:bCs/>
          <w:kern w:val="0"/>
          <w:sz w:val="24"/>
          <w:szCs w:val="24"/>
          <w:lang w:eastAsia="pt-BR"/>
          <w14:ligatures w14:val="none"/>
        </w:rPr>
        <w:t>, J.</w:t>
      </w:r>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Cognitive</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Load</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During</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Problem</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Solving</w:t>
      </w:r>
      <w:proofErr w:type="spellEnd"/>
      <w:r w:rsidRPr="00D01E65">
        <w:rPr>
          <w:rFonts w:ascii="Times New Roman" w:eastAsia="Times New Roman" w:hAnsi="Times New Roman" w:cs="Times New Roman"/>
          <w:kern w:val="0"/>
          <w:sz w:val="24"/>
          <w:szCs w:val="24"/>
          <w:lang w:eastAsia="pt-BR"/>
          <w14:ligatures w14:val="none"/>
        </w:rPr>
        <w:t>" (</w:t>
      </w:r>
      <w:proofErr w:type="spellStart"/>
      <w:r w:rsidRPr="00D01E65">
        <w:rPr>
          <w:rFonts w:ascii="Times New Roman" w:eastAsia="Times New Roman" w:hAnsi="Times New Roman" w:cs="Times New Roman"/>
          <w:i/>
          <w:iCs/>
          <w:kern w:val="0"/>
          <w:sz w:val="24"/>
          <w:szCs w:val="24"/>
          <w:lang w:eastAsia="pt-BR"/>
          <w14:ligatures w14:val="none"/>
        </w:rPr>
        <w:t>Cognitive</w:t>
      </w:r>
      <w:proofErr w:type="spellEnd"/>
      <w:r w:rsidRPr="00D01E65">
        <w:rPr>
          <w:rFonts w:ascii="Times New Roman" w:eastAsia="Times New Roman" w:hAnsi="Times New Roman" w:cs="Times New Roman"/>
          <w:i/>
          <w:iCs/>
          <w:kern w:val="0"/>
          <w:sz w:val="24"/>
          <w:szCs w:val="24"/>
          <w:lang w:eastAsia="pt-BR"/>
          <w14:ligatures w14:val="none"/>
        </w:rPr>
        <w:t xml:space="preserve"> Science</w:t>
      </w:r>
      <w:r w:rsidRPr="00D01E65">
        <w:rPr>
          <w:rFonts w:ascii="Times New Roman" w:eastAsia="Times New Roman" w:hAnsi="Times New Roman" w:cs="Times New Roman"/>
          <w:kern w:val="0"/>
          <w:sz w:val="24"/>
          <w:szCs w:val="24"/>
          <w:lang w:eastAsia="pt-BR"/>
          <w14:ligatures w14:val="none"/>
        </w:rPr>
        <w:t xml:space="preserve">, 1988) — </w:t>
      </w:r>
      <w:proofErr w:type="gramStart"/>
      <w:r w:rsidRPr="00D01E65">
        <w:rPr>
          <w:rFonts w:ascii="Times New Roman" w:eastAsia="Times New Roman" w:hAnsi="Times New Roman" w:cs="Times New Roman"/>
          <w:kern w:val="0"/>
          <w:sz w:val="24"/>
          <w:szCs w:val="24"/>
          <w:lang w:eastAsia="pt-BR"/>
          <w14:ligatures w14:val="none"/>
        </w:rPr>
        <w:t>por que</w:t>
      </w:r>
      <w:proofErr w:type="gramEnd"/>
      <w:r w:rsidRPr="00D01E65">
        <w:rPr>
          <w:rFonts w:ascii="Times New Roman" w:eastAsia="Times New Roman" w:hAnsi="Times New Roman" w:cs="Times New Roman"/>
          <w:kern w:val="0"/>
          <w:sz w:val="24"/>
          <w:szCs w:val="24"/>
          <w:lang w:eastAsia="pt-BR"/>
          <w14:ligatures w14:val="none"/>
        </w:rPr>
        <w:t xml:space="preserve"> o cérebro descarta o que não se conecta a um esquema.</w:t>
      </w:r>
    </w:p>
    <w:p w14:paraId="6E0F9A3B"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proofErr w:type="spellStart"/>
      <w:r w:rsidRPr="00D01E65">
        <w:rPr>
          <w:rFonts w:ascii="Times New Roman" w:eastAsia="Times New Roman" w:hAnsi="Times New Roman" w:cs="Times New Roman"/>
          <w:b/>
          <w:bCs/>
          <w:kern w:val="0"/>
          <w:sz w:val="24"/>
          <w:szCs w:val="24"/>
          <w:lang w:eastAsia="pt-BR"/>
          <w14:ligatures w14:val="none"/>
        </w:rPr>
        <w:t>Bransford</w:t>
      </w:r>
      <w:proofErr w:type="spellEnd"/>
      <w:r w:rsidRPr="00D01E65">
        <w:rPr>
          <w:rFonts w:ascii="Times New Roman" w:eastAsia="Times New Roman" w:hAnsi="Times New Roman" w:cs="Times New Roman"/>
          <w:b/>
          <w:bCs/>
          <w:kern w:val="0"/>
          <w:sz w:val="24"/>
          <w:szCs w:val="24"/>
          <w:lang w:eastAsia="pt-BR"/>
          <w14:ligatures w14:val="none"/>
        </w:rPr>
        <w:t xml:space="preserve">, J.; Brown, A.; </w:t>
      </w:r>
      <w:proofErr w:type="spellStart"/>
      <w:r w:rsidRPr="00D01E65">
        <w:rPr>
          <w:rFonts w:ascii="Times New Roman" w:eastAsia="Times New Roman" w:hAnsi="Times New Roman" w:cs="Times New Roman"/>
          <w:b/>
          <w:bCs/>
          <w:kern w:val="0"/>
          <w:sz w:val="24"/>
          <w:szCs w:val="24"/>
          <w:lang w:eastAsia="pt-BR"/>
          <w14:ligatures w14:val="none"/>
        </w:rPr>
        <w:t>Cocking</w:t>
      </w:r>
      <w:proofErr w:type="spellEnd"/>
      <w:r w:rsidRPr="00D01E65">
        <w:rPr>
          <w:rFonts w:ascii="Times New Roman" w:eastAsia="Times New Roman" w:hAnsi="Times New Roman" w:cs="Times New Roman"/>
          <w:b/>
          <w:bCs/>
          <w:kern w:val="0"/>
          <w:sz w:val="24"/>
          <w:szCs w:val="24"/>
          <w:lang w:eastAsia="pt-BR"/>
          <w14:ligatures w14:val="none"/>
        </w:rPr>
        <w:t>, R.</w:t>
      </w:r>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i/>
          <w:iCs/>
          <w:kern w:val="0"/>
          <w:sz w:val="24"/>
          <w:szCs w:val="24"/>
          <w:lang w:eastAsia="pt-BR"/>
          <w14:ligatures w14:val="none"/>
        </w:rPr>
        <w:t>How</w:t>
      </w:r>
      <w:proofErr w:type="spellEnd"/>
      <w:r w:rsidRPr="00D01E65">
        <w:rPr>
          <w:rFonts w:ascii="Times New Roman" w:eastAsia="Times New Roman" w:hAnsi="Times New Roman" w:cs="Times New Roman"/>
          <w:i/>
          <w:iCs/>
          <w:kern w:val="0"/>
          <w:sz w:val="24"/>
          <w:szCs w:val="24"/>
          <w:lang w:eastAsia="pt-BR"/>
          <w14:ligatures w14:val="none"/>
        </w:rPr>
        <w:t xml:space="preserve"> People </w:t>
      </w:r>
      <w:proofErr w:type="spellStart"/>
      <w:r w:rsidRPr="00D01E65">
        <w:rPr>
          <w:rFonts w:ascii="Times New Roman" w:eastAsia="Times New Roman" w:hAnsi="Times New Roman" w:cs="Times New Roman"/>
          <w:i/>
          <w:iCs/>
          <w:kern w:val="0"/>
          <w:sz w:val="24"/>
          <w:szCs w:val="24"/>
          <w:lang w:eastAsia="pt-BR"/>
          <w14:ligatures w14:val="none"/>
        </w:rPr>
        <w:t>Learn</w:t>
      </w:r>
      <w:proofErr w:type="spellEnd"/>
      <w:r w:rsidRPr="00D01E65">
        <w:rPr>
          <w:rFonts w:ascii="Times New Roman" w:eastAsia="Times New Roman" w:hAnsi="Times New Roman" w:cs="Times New Roman"/>
          <w:kern w:val="0"/>
          <w:sz w:val="24"/>
          <w:szCs w:val="24"/>
          <w:lang w:eastAsia="pt-BR"/>
          <w14:ligatures w14:val="none"/>
        </w:rPr>
        <w:t xml:space="preserve"> (National Research </w:t>
      </w:r>
      <w:proofErr w:type="spellStart"/>
      <w:r w:rsidRPr="00D01E65">
        <w:rPr>
          <w:rFonts w:ascii="Times New Roman" w:eastAsia="Times New Roman" w:hAnsi="Times New Roman" w:cs="Times New Roman"/>
          <w:kern w:val="0"/>
          <w:sz w:val="24"/>
          <w:szCs w:val="24"/>
          <w:lang w:eastAsia="pt-BR"/>
          <w14:ligatures w14:val="none"/>
        </w:rPr>
        <w:t>Council</w:t>
      </w:r>
      <w:proofErr w:type="spellEnd"/>
      <w:r w:rsidRPr="00D01E65">
        <w:rPr>
          <w:rFonts w:ascii="Times New Roman" w:eastAsia="Times New Roman" w:hAnsi="Times New Roman" w:cs="Times New Roman"/>
          <w:kern w:val="0"/>
          <w:sz w:val="24"/>
          <w:szCs w:val="24"/>
          <w:lang w:eastAsia="pt-BR"/>
          <w14:ligatures w14:val="none"/>
        </w:rPr>
        <w:t>, 2000) — como especialistas organizam conhecimento em estruturas.</w:t>
      </w:r>
    </w:p>
    <w:p w14:paraId="679CC969"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01E65">
        <w:rPr>
          <w:rFonts w:ascii="Times New Roman" w:eastAsia="Times New Roman" w:hAnsi="Times New Roman" w:cs="Times New Roman"/>
          <w:b/>
          <w:bCs/>
          <w:kern w:val="0"/>
          <w:sz w:val="24"/>
          <w:szCs w:val="24"/>
          <w:lang w:val="en-US" w:eastAsia="pt-BR"/>
          <w14:ligatures w14:val="none"/>
        </w:rPr>
        <w:t xml:space="preserve">Chi, M.; </w:t>
      </w:r>
      <w:proofErr w:type="spellStart"/>
      <w:r w:rsidRPr="00D01E65">
        <w:rPr>
          <w:rFonts w:ascii="Times New Roman" w:eastAsia="Times New Roman" w:hAnsi="Times New Roman" w:cs="Times New Roman"/>
          <w:b/>
          <w:bCs/>
          <w:kern w:val="0"/>
          <w:sz w:val="24"/>
          <w:szCs w:val="24"/>
          <w:lang w:val="en-US" w:eastAsia="pt-BR"/>
          <w14:ligatures w14:val="none"/>
        </w:rPr>
        <w:t>Feltovich</w:t>
      </w:r>
      <w:proofErr w:type="spellEnd"/>
      <w:r w:rsidRPr="00D01E65">
        <w:rPr>
          <w:rFonts w:ascii="Times New Roman" w:eastAsia="Times New Roman" w:hAnsi="Times New Roman" w:cs="Times New Roman"/>
          <w:b/>
          <w:bCs/>
          <w:kern w:val="0"/>
          <w:sz w:val="24"/>
          <w:szCs w:val="24"/>
          <w:lang w:val="en-US" w:eastAsia="pt-BR"/>
          <w14:ligatures w14:val="none"/>
        </w:rPr>
        <w:t>, P.; Glaser, R.</w:t>
      </w:r>
      <w:r w:rsidRPr="00D01E65">
        <w:rPr>
          <w:rFonts w:ascii="Times New Roman" w:eastAsia="Times New Roman" w:hAnsi="Times New Roman" w:cs="Times New Roman"/>
          <w:kern w:val="0"/>
          <w:sz w:val="24"/>
          <w:szCs w:val="24"/>
          <w:lang w:val="en-US" w:eastAsia="pt-BR"/>
          <w14:ligatures w14:val="none"/>
        </w:rPr>
        <w:t xml:space="preserve"> "Categorization and Representation of Physics Problems by Experts and Novices" (</w:t>
      </w:r>
      <w:r w:rsidRPr="00D01E65">
        <w:rPr>
          <w:rFonts w:ascii="Times New Roman" w:eastAsia="Times New Roman" w:hAnsi="Times New Roman" w:cs="Times New Roman"/>
          <w:i/>
          <w:iCs/>
          <w:kern w:val="0"/>
          <w:sz w:val="24"/>
          <w:szCs w:val="24"/>
          <w:lang w:val="en-US" w:eastAsia="pt-BR"/>
          <w14:ligatures w14:val="none"/>
        </w:rPr>
        <w:t>Cognitive Science</w:t>
      </w:r>
      <w:r w:rsidRPr="00D01E65">
        <w:rPr>
          <w:rFonts w:ascii="Times New Roman" w:eastAsia="Times New Roman" w:hAnsi="Times New Roman" w:cs="Times New Roman"/>
          <w:kern w:val="0"/>
          <w:sz w:val="24"/>
          <w:szCs w:val="24"/>
          <w:lang w:val="en-US" w:eastAsia="pt-BR"/>
          <w14:ligatures w14:val="none"/>
        </w:rPr>
        <w:t xml:space="preserve">, 1981) — a </w:t>
      </w:r>
      <w:proofErr w:type="spellStart"/>
      <w:r w:rsidRPr="00D01E65">
        <w:rPr>
          <w:rFonts w:ascii="Times New Roman" w:eastAsia="Times New Roman" w:hAnsi="Times New Roman" w:cs="Times New Roman"/>
          <w:kern w:val="0"/>
          <w:sz w:val="24"/>
          <w:szCs w:val="24"/>
          <w:lang w:val="en-US" w:eastAsia="pt-BR"/>
          <w14:ligatures w14:val="none"/>
        </w:rPr>
        <w:t>diferença</w:t>
      </w:r>
      <w:proofErr w:type="spellEnd"/>
      <w:r w:rsidRPr="00D01E65">
        <w:rPr>
          <w:rFonts w:ascii="Times New Roman" w:eastAsia="Times New Roman" w:hAnsi="Times New Roman" w:cs="Times New Roman"/>
          <w:kern w:val="0"/>
          <w:sz w:val="24"/>
          <w:szCs w:val="24"/>
          <w:lang w:val="en-US" w:eastAsia="pt-BR"/>
          <w14:ligatures w14:val="none"/>
        </w:rPr>
        <w:t xml:space="preserve"> entre </w:t>
      </w:r>
      <w:proofErr w:type="spellStart"/>
      <w:r w:rsidRPr="00D01E65">
        <w:rPr>
          <w:rFonts w:ascii="Times New Roman" w:eastAsia="Times New Roman" w:hAnsi="Times New Roman" w:cs="Times New Roman"/>
          <w:kern w:val="0"/>
          <w:sz w:val="24"/>
          <w:szCs w:val="24"/>
          <w:lang w:val="en-US" w:eastAsia="pt-BR"/>
          <w14:ligatures w14:val="none"/>
        </w:rPr>
        <w:t>ver</w:t>
      </w:r>
      <w:proofErr w:type="spellEnd"/>
      <w:r w:rsidRPr="00D01E65">
        <w:rPr>
          <w:rFonts w:ascii="Times New Roman" w:eastAsia="Times New Roman" w:hAnsi="Times New Roman" w:cs="Times New Roman"/>
          <w:kern w:val="0"/>
          <w:sz w:val="24"/>
          <w:szCs w:val="24"/>
          <w:lang w:val="en-US" w:eastAsia="pt-BR"/>
          <w14:ligatures w14:val="none"/>
        </w:rPr>
        <w:t xml:space="preserve"> </w:t>
      </w:r>
      <w:proofErr w:type="spellStart"/>
      <w:r w:rsidRPr="00D01E65">
        <w:rPr>
          <w:rFonts w:ascii="Times New Roman" w:eastAsia="Times New Roman" w:hAnsi="Times New Roman" w:cs="Times New Roman"/>
          <w:kern w:val="0"/>
          <w:sz w:val="24"/>
          <w:szCs w:val="24"/>
          <w:lang w:val="en-US" w:eastAsia="pt-BR"/>
          <w14:ligatures w14:val="none"/>
        </w:rPr>
        <w:t>peças</w:t>
      </w:r>
      <w:proofErr w:type="spellEnd"/>
      <w:r w:rsidRPr="00D01E65">
        <w:rPr>
          <w:rFonts w:ascii="Times New Roman" w:eastAsia="Times New Roman" w:hAnsi="Times New Roman" w:cs="Times New Roman"/>
          <w:kern w:val="0"/>
          <w:sz w:val="24"/>
          <w:szCs w:val="24"/>
          <w:lang w:val="en-US" w:eastAsia="pt-BR"/>
          <w14:ligatures w14:val="none"/>
        </w:rPr>
        <w:t xml:space="preserve"> e </w:t>
      </w:r>
      <w:proofErr w:type="spellStart"/>
      <w:r w:rsidRPr="00D01E65">
        <w:rPr>
          <w:rFonts w:ascii="Times New Roman" w:eastAsia="Times New Roman" w:hAnsi="Times New Roman" w:cs="Times New Roman"/>
          <w:kern w:val="0"/>
          <w:sz w:val="24"/>
          <w:szCs w:val="24"/>
          <w:lang w:val="en-US" w:eastAsia="pt-BR"/>
          <w14:ligatures w14:val="none"/>
        </w:rPr>
        <w:t>ver</w:t>
      </w:r>
      <w:proofErr w:type="spellEnd"/>
      <w:r w:rsidRPr="00D01E65">
        <w:rPr>
          <w:rFonts w:ascii="Times New Roman" w:eastAsia="Times New Roman" w:hAnsi="Times New Roman" w:cs="Times New Roman"/>
          <w:kern w:val="0"/>
          <w:sz w:val="24"/>
          <w:szCs w:val="24"/>
          <w:lang w:val="en-US" w:eastAsia="pt-BR"/>
          <w14:ligatures w14:val="none"/>
        </w:rPr>
        <w:t xml:space="preserve"> </w:t>
      </w:r>
      <w:proofErr w:type="spellStart"/>
      <w:r w:rsidRPr="00D01E65">
        <w:rPr>
          <w:rFonts w:ascii="Times New Roman" w:eastAsia="Times New Roman" w:hAnsi="Times New Roman" w:cs="Times New Roman"/>
          <w:kern w:val="0"/>
          <w:sz w:val="24"/>
          <w:szCs w:val="24"/>
          <w:lang w:val="en-US" w:eastAsia="pt-BR"/>
          <w14:ligatures w14:val="none"/>
        </w:rPr>
        <w:t>sistemas</w:t>
      </w:r>
      <w:proofErr w:type="spellEnd"/>
      <w:r w:rsidRPr="00D01E65">
        <w:rPr>
          <w:rFonts w:ascii="Times New Roman" w:eastAsia="Times New Roman" w:hAnsi="Times New Roman" w:cs="Times New Roman"/>
          <w:kern w:val="0"/>
          <w:sz w:val="24"/>
          <w:szCs w:val="24"/>
          <w:lang w:val="en-US" w:eastAsia="pt-BR"/>
          <w14:ligatures w14:val="none"/>
        </w:rPr>
        <w:t>.</w:t>
      </w:r>
    </w:p>
    <w:p w14:paraId="04E7A447"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01E65">
        <w:rPr>
          <w:rFonts w:ascii="Times New Roman" w:eastAsia="Times New Roman" w:hAnsi="Times New Roman" w:cs="Times New Roman"/>
          <w:b/>
          <w:bCs/>
          <w:kern w:val="0"/>
          <w:sz w:val="24"/>
          <w:szCs w:val="24"/>
          <w:lang w:val="en-US" w:eastAsia="pt-BR"/>
          <w14:ligatures w14:val="none"/>
        </w:rPr>
        <w:lastRenderedPageBreak/>
        <w:t>Anderson, L.; Krathwohl, D.</w:t>
      </w:r>
      <w:r w:rsidRPr="00D01E65">
        <w:rPr>
          <w:rFonts w:ascii="Times New Roman" w:eastAsia="Times New Roman" w:hAnsi="Times New Roman" w:cs="Times New Roman"/>
          <w:kern w:val="0"/>
          <w:sz w:val="24"/>
          <w:szCs w:val="24"/>
          <w:lang w:val="en-US" w:eastAsia="pt-BR"/>
          <w14:ligatures w14:val="none"/>
        </w:rPr>
        <w:t xml:space="preserve"> </w:t>
      </w:r>
      <w:r w:rsidRPr="00D01E65">
        <w:rPr>
          <w:rFonts w:ascii="Times New Roman" w:eastAsia="Times New Roman" w:hAnsi="Times New Roman" w:cs="Times New Roman"/>
          <w:i/>
          <w:iCs/>
          <w:kern w:val="0"/>
          <w:sz w:val="24"/>
          <w:szCs w:val="24"/>
          <w:lang w:val="en-US" w:eastAsia="pt-BR"/>
          <w14:ligatures w14:val="none"/>
        </w:rPr>
        <w:t>A Taxonomy for Learning, Teaching, and Assessing</w:t>
      </w:r>
      <w:r w:rsidRPr="00D01E65">
        <w:rPr>
          <w:rFonts w:ascii="Times New Roman" w:eastAsia="Times New Roman" w:hAnsi="Times New Roman" w:cs="Times New Roman"/>
          <w:kern w:val="0"/>
          <w:sz w:val="24"/>
          <w:szCs w:val="24"/>
          <w:lang w:val="en-US" w:eastAsia="pt-BR"/>
          <w14:ligatures w14:val="none"/>
        </w:rPr>
        <w:t xml:space="preserve"> (2001) — a </w:t>
      </w:r>
      <w:proofErr w:type="spellStart"/>
      <w:r w:rsidRPr="00D01E65">
        <w:rPr>
          <w:rFonts w:ascii="Times New Roman" w:eastAsia="Times New Roman" w:hAnsi="Times New Roman" w:cs="Times New Roman"/>
          <w:kern w:val="0"/>
          <w:sz w:val="24"/>
          <w:szCs w:val="24"/>
          <w:lang w:val="en-US" w:eastAsia="pt-BR"/>
          <w14:ligatures w14:val="none"/>
        </w:rPr>
        <w:t>revisão</w:t>
      </w:r>
      <w:proofErr w:type="spellEnd"/>
      <w:r w:rsidRPr="00D01E65">
        <w:rPr>
          <w:rFonts w:ascii="Times New Roman" w:eastAsia="Times New Roman" w:hAnsi="Times New Roman" w:cs="Times New Roman"/>
          <w:kern w:val="0"/>
          <w:sz w:val="24"/>
          <w:szCs w:val="24"/>
          <w:lang w:val="en-US" w:eastAsia="pt-BR"/>
          <w14:ligatures w14:val="none"/>
        </w:rPr>
        <w:t xml:space="preserve"> da </w:t>
      </w:r>
      <w:proofErr w:type="spellStart"/>
      <w:r w:rsidRPr="00D01E65">
        <w:rPr>
          <w:rFonts w:ascii="Times New Roman" w:eastAsia="Times New Roman" w:hAnsi="Times New Roman" w:cs="Times New Roman"/>
          <w:kern w:val="0"/>
          <w:sz w:val="24"/>
          <w:szCs w:val="24"/>
          <w:lang w:val="en-US" w:eastAsia="pt-BR"/>
          <w14:ligatures w14:val="none"/>
        </w:rPr>
        <w:t>taxonomia</w:t>
      </w:r>
      <w:proofErr w:type="spellEnd"/>
      <w:r w:rsidRPr="00D01E65">
        <w:rPr>
          <w:rFonts w:ascii="Times New Roman" w:eastAsia="Times New Roman" w:hAnsi="Times New Roman" w:cs="Times New Roman"/>
          <w:kern w:val="0"/>
          <w:sz w:val="24"/>
          <w:szCs w:val="24"/>
          <w:lang w:val="en-US" w:eastAsia="pt-BR"/>
          <w14:ligatures w14:val="none"/>
        </w:rPr>
        <w:t xml:space="preserve"> de Bloom.</w:t>
      </w:r>
    </w:p>
    <w:p w14:paraId="4595F72F"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pt-BR"/>
          <w14:ligatures w14:val="none"/>
        </w:rPr>
      </w:pPr>
      <w:r w:rsidRPr="00D01E65">
        <w:rPr>
          <w:rFonts w:ascii="Times New Roman" w:eastAsia="Times New Roman" w:hAnsi="Times New Roman" w:cs="Times New Roman"/>
          <w:b/>
          <w:bCs/>
          <w:kern w:val="0"/>
          <w:sz w:val="24"/>
          <w:szCs w:val="24"/>
          <w:lang w:val="en-US" w:eastAsia="pt-BR"/>
          <w14:ligatures w14:val="none"/>
        </w:rPr>
        <w:t>Bjork, R.; Bjork, E.</w:t>
      </w:r>
      <w:r w:rsidRPr="00D01E65">
        <w:rPr>
          <w:rFonts w:ascii="Times New Roman" w:eastAsia="Times New Roman" w:hAnsi="Times New Roman" w:cs="Times New Roman"/>
          <w:kern w:val="0"/>
          <w:sz w:val="24"/>
          <w:szCs w:val="24"/>
          <w:lang w:val="en-US" w:eastAsia="pt-BR"/>
          <w14:ligatures w14:val="none"/>
        </w:rPr>
        <w:t xml:space="preserve"> "Making Things Hard on Yourself, but in a Good Way" (2011) — as "</w:t>
      </w:r>
      <w:proofErr w:type="spellStart"/>
      <w:r w:rsidRPr="00D01E65">
        <w:rPr>
          <w:rFonts w:ascii="Times New Roman" w:eastAsia="Times New Roman" w:hAnsi="Times New Roman" w:cs="Times New Roman"/>
          <w:kern w:val="0"/>
          <w:sz w:val="24"/>
          <w:szCs w:val="24"/>
          <w:lang w:val="en-US" w:eastAsia="pt-BR"/>
          <w14:ligatures w14:val="none"/>
        </w:rPr>
        <w:t>dificuldades</w:t>
      </w:r>
      <w:proofErr w:type="spellEnd"/>
      <w:r w:rsidRPr="00D01E65">
        <w:rPr>
          <w:rFonts w:ascii="Times New Roman" w:eastAsia="Times New Roman" w:hAnsi="Times New Roman" w:cs="Times New Roman"/>
          <w:kern w:val="0"/>
          <w:sz w:val="24"/>
          <w:szCs w:val="24"/>
          <w:lang w:val="en-US" w:eastAsia="pt-BR"/>
          <w14:ligatures w14:val="none"/>
        </w:rPr>
        <w:t xml:space="preserve"> </w:t>
      </w:r>
      <w:proofErr w:type="spellStart"/>
      <w:r w:rsidRPr="00D01E65">
        <w:rPr>
          <w:rFonts w:ascii="Times New Roman" w:eastAsia="Times New Roman" w:hAnsi="Times New Roman" w:cs="Times New Roman"/>
          <w:kern w:val="0"/>
          <w:sz w:val="24"/>
          <w:szCs w:val="24"/>
          <w:lang w:val="en-US" w:eastAsia="pt-BR"/>
          <w14:ligatures w14:val="none"/>
        </w:rPr>
        <w:t>desejáveis</w:t>
      </w:r>
      <w:proofErr w:type="spellEnd"/>
      <w:r w:rsidRPr="00D01E65">
        <w:rPr>
          <w:rFonts w:ascii="Times New Roman" w:eastAsia="Times New Roman" w:hAnsi="Times New Roman" w:cs="Times New Roman"/>
          <w:kern w:val="0"/>
          <w:sz w:val="24"/>
          <w:szCs w:val="24"/>
          <w:lang w:val="en-US" w:eastAsia="pt-BR"/>
          <w14:ligatures w14:val="none"/>
        </w:rPr>
        <w:t xml:space="preserve">" e a base </w:t>
      </w:r>
      <w:proofErr w:type="spellStart"/>
      <w:r w:rsidRPr="00D01E65">
        <w:rPr>
          <w:rFonts w:ascii="Times New Roman" w:eastAsia="Times New Roman" w:hAnsi="Times New Roman" w:cs="Times New Roman"/>
          <w:kern w:val="0"/>
          <w:sz w:val="24"/>
          <w:szCs w:val="24"/>
          <w:lang w:val="en-US" w:eastAsia="pt-BR"/>
          <w14:ligatures w14:val="none"/>
        </w:rPr>
        <w:t>como</w:t>
      </w:r>
      <w:proofErr w:type="spellEnd"/>
      <w:r w:rsidRPr="00D01E65">
        <w:rPr>
          <w:rFonts w:ascii="Times New Roman" w:eastAsia="Times New Roman" w:hAnsi="Times New Roman" w:cs="Times New Roman"/>
          <w:kern w:val="0"/>
          <w:sz w:val="24"/>
          <w:szCs w:val="24"/>
          <w:lang w:val="en-US" w:eastAsia="pt-BR"/>
          <w14:ligatures w14:val="none"/>
        </w:rPr>
        <w:t xml:space="preserve"> </w:t>
      </w:r>
      <w:proofErr w:type="spellStart"/>
      <w:r w:rsidRPr="00D01E65">
        <w:rPr>
          <w:rFonts w:ascii="Times New Roman" w:eastAsia="Times New Roman" w:hAnsi="Times New Roman" w:cs="Times New Roman"/>
          <w:kern w:val="0"/>
          <w:sz w:val="24"/>
          <w:szCs w:val="24"/>
          <w:lang w:val="en-US" w:eastAsia="pt-BR"/>
          <w14:ligatures w14:val="none"/>
        </w:rPr>
        <w:t>trampolim</w:t>
      </w:r>
      <w:proofErr w:type="spellEnd"/>
      <w:r w:rsidRPr="00D01E65">
        <w:rPr>
          <w:rFonts w:ascii="Times New Roman" w:eastAsia="Times New Roman" w:hAnsi="Times New Roman" w:cs="Times New Roman"/>
          <w:kern w:val="0"/>
          <w:sz w:val="24"/>
          <w:szCs w:val="24"/>
          <w:lang w:val="en-US" w:eastAsia="pt-BR"/>
          <w14:ligatures w14:val="none"/>
        </w:rPr>
        <w:t>.</w:t>
      </w:r>
    </w:p>
    <w:p w14:paraId="2538932D" w14:textId="77777777" w:rsidR="00D01E65" w:rsidRPr="00D01E65" w:rsidRDefault="00D01E65" w:rsidP="00D01E65">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D01E65">
        <w:rPr>
          <w:rFonts w:ascii="Times New Roman" w:eastAsia="Times New Roman" w:hAnsi="Times New Roman" w:cs="Times New Roman"/>
          <w:b/>
          <w:bCs/>
          <w:kern w:val="0"/>
          <w:sz w:val="24"/>
          <w:szCs w:val="24"/>
          <w:lang w:eastAsia="pt-BR"/>
          <w14:ligatures w14:val="none"/>
        </w:rPr>
        <w:t>Mayr, E.</w:t>
      </w:r>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Teleological</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and</w:t>
      </w:r>
      <w:proofErr w:type="spellEnd"/>
      <w:r w:rsidRPr="00D01E65">
        <w:rPr>
          <w:rFonts w:ascii="Times New Roman" w:eastAsia="Times New Roman" w:hAnsi="Times New Roman" w:cs="Times New Roman"/>
          <w:kern w:val="0"/>
          <w:sz w:val="24"/>
          <w:szCs w:val="24"/>
          <w:lang w:eastAsia="pt-BR"/>
          <w14:ligatures w14:val="none"/>
        </w:rPr>
        <w:t xml:space="preserve"> </w:t>
      </w:r>
      <w:proofErr w:type="spellStart"/>
      <w:r w:rsidRPr="00D01E65">
        <w:rPr>
          <w:rFonts w:ascii="Times New Roman" w:eastAsia="Times New Roman" w:hAnsi="Times New Roman" w:cs="Times New Roman"/>
          <w:kern w:val="0"/>
          <w:sz w:val="24"/>
          <w:szCs w:val="24"/>
          <w:lang w:eastAsia="pt-BR"/>
          <w14:ligatures w14:val="none"/>
        </w:rPr>
        <w:t>Teleonomic</w:t>
      </w:r>
      <w:proofErr w:type="spellEnd"/>
      <w:r w:rsidRPr="00D01E65">
        <w:rPr>
          <w:rFonts w:ascii="Times New Roman" w:eastAsia="Times New Roman" w:hAnsi="Times New Roman" w:cs="Times New Roman"/>
          <w:kern w:val="0"/>
          <w:sz w:val="24"/>
          <w:szCs w:val="24"/>
          <w:lang w:eastAsia="pt-BR"/>
          <w14:ligatures w14:val="none"/>
        </w:rPr>
        <w:t xml:space="preserve">: A New </w:t>
      </w:r>
      <w:proofErr w:type="spellStart"/>
      <w:r w:rsidRPr="00D01E65">
        <w:rPr>
          <w:rFonts w:ascii="Times New Roman" w:eastAsia="Times New Roman" w:hAnsi="Times New Roman" w:cs="Times New Roman"/>
          <w:kern w:val="0"/>
          <w:sz w:val="24"/>
          <w:szCs w:val="24"/>
          <w:lang w:eastAsia="pt-BR"/>
          <w14:ligatures w14:val="none"/>
        </w:rPr>
        <w:t>Analysis</w:t>
      </w:r>
      <w:proofErr w:type="spellEnd"/>
      <w:r w:rsidRPr="00D01E65">
        <w:rPr>
          <w:rFonts w:ascii="Times New Roman" w:eastAsia="Times New Roman" w:hAnsi="Times New Roman" w:cs="Times New Roman"/>
          <w:kern w:val="0"/>
          <w:sz w:val="24"/>
          <w:szCs w:val="24"/>
          <w:lang w:eastAsia="pt-BR"/>
          <w14:ligatures w14:val="none"/>
        </w:rPr>
        <w:t xml:space="preserve">" (1974); </w:t>
      </w:r>
      <w:proofErr w:type="spellStart"/>
      <w:r w:rsidRPr="00D01E65">
        <w:rPr>
          <w:rFonts w:ascii="Times New Roman" w:eastAsia="Times New Roman" w:hAnsi="Times New Roman" w:cs="Times New Roman"/>
          <w:b/>
          <w:bCs/>
          <w:kern w:val="0"/>
          <w:sz w:val="24"/>
          <w:szCs w:val="24"/>
          <w:lang w:eastAsia="pt-BR"/>
          <w14:ligatures w14:val="none"/>
        </w:rPr>
        <w:t>Pittendrigh</w:t>
      </w:r>
      <w:proofErr w:type="spellEnd"/>
      <w:r w:rsidRPr="00D01E65">
        <w:rPr>
          <w:rFonts w:ascii="Times New Roman" w:eastAsia="Times New Roman" w:hAnsi="Times New Roman" w:cs="Times New Roman"/>
          <w:b/>
          <w:bCs/>
          <w:kern w:val="0"/>
          <w:sz w:val="24"/>
          <w:szCs w:val="24"/>
          <w:lang w:eastAsia="pt-BR"/>
          <w14:ligatures w14:val="none"/>
        </w:rPr>
        <w:t>, C.</w:t>
      </w:r>
      <w:r w:rsidRPr="00D01E65">
        <w:rPr>
          <w:rFonts w:ascii="Times New Roman" w:eastAsia="Times New Roman" w:hAnsi="Times New Roman" w:cs="Times New Roman"/>
          <w:kern w:val="0"/>
          <w:sz w:val="24"/>
          <w:szCs w:val="24"/>
          <w:lang w:eastAsia="pt-BR"/>
          <w14:ligatures w14:val="none"/>
        </w:rPr>
        <w:t xml:space="preserve"> (1958) — a distinção entre teleonomia e teleologia.</w:t>
      </w:r>
    </w:p>
    <w:p w14:paraId="5F5D2558" w14:textId="77777777" w:rsidR="00D01E65" w:rsidRDefault="00D01E65"/>
    <w:sectPr w:rsidR="00D01E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994"/>
    <w:multiLevelType w:val="multilevel"/>
    <w:tmpl w:val="2EA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109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65"/>
    <w:rsid w:val="005C5E66"/>
    <w:rsid w:val="006641A9"/>
    <w:rsid w:val="00A37AD0"/>
    <w:rsid w:val="00D01E65"/>
    <w:rsid w:val="00F92E35"/>
    <w:rsid w:val="00FC4B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92E5"/>
  <w15:chartTrackingRefBased/>
  <w15:docId w15:val="{8C581082-222D-4883-9F18-F8E535F6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01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D01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D01E6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D01E6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D01E6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D01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01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01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01E6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1E6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D01E6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D01E6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D01E6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D01E6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D01E6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01E6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01E6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01E65"/>
    <w:rPr>
      <w:rFonts w:eastAsiaTheme="majorEastAsia" w:cstheme="majorBidi"/>
      <w:color w:val="272727" w:themeColor="text1" w:themeTint="D8"/>
    </w:rPr>
  </w:style>
  <w:style w:type="paragraph" w:styleId="Ttulo">
    <w:name w:val="Title"/>
    <w:basedOn w:val="Normal"/>
    <w:next w:val="Normal"/>
    <w:link w:val="TtuloChar"/>
    <w:uiPriority w:val="10"/>
    <w:qFormat/>
    <w:rsid w:val="00D01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01E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01E6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01E6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01E65"/>
    <w:pPr>
      <w:spacing w:before="160"/>
      <w:jc w:val="center"/>
    </w:pPr>
    <w:rPr>
      <w:i/>
      <w:iCs/>
      <w:color w:val="404040" w:themeColor="text1" w:themeTint="BF"/>
    </w:rPr>
  </w:style>
  <w:style w:type="character" w:customStyle="1" w:styleId="CitaoChar">
    <w:name w:val="Citação Char"/>
    <w:basedOn w:val="Fontepargpadro"/>
    <w:link w:val="Citao"/>
    <w:uiPriority w:val="29"/>
    <w:rsid w:val="00D01E65"/>
    <w:rPr>
      <w:i/>
      <w:iCs/>
      <w:color w:val="404040" w:themeColor="text1" w:themeTint="BF"/>
    </w:rPr>
  </w:style>
  <w:style w:type="paragraph" w:styleId="PargrafodaLista">
    <w:name w:val="List Paragraph"/>
    <w:basedOn w:val="Normal"/>
    <w:uiPriority w:val="34"/>
    <w:qFormat/>
    <w:rsid w:val="00D01E65"/>
    <w:pPr>
      <w:ind w:left="720"/>
      <w:contextualSpacing/>
    </w:pPr>
  </w:style>
  <w:style w:type="character" w:styleId="nfaseIntensa">
    <w:name w:val="Intense Emphasis"/>
    <w:basedOn w:val="Fontepargpadro"/>
    <w:uiPriority w:val="21"/>
    <w:qFormat/>
    <w:rsid w:val="00D01E65"/>
    <w:rPr>
      <w:i/>
      <w:iCs/>
      <w:color w:val="2F5496" w:themeColor="accent1" w:themeShade="BF"/>
    </w:rPr>
  </w:style>
  <w:style w:type="paragraph" w:styleId="CitaoIntensa">
    <w:name w:val="Intense Quote"/>
    <w:basedOn w:val="Normal"/>
    <w:next w:val="Normal"/>
    <w:link w:val="CitaoIntensaChar"/>
    <w:uiPriority w:val="30"/>
    <w:qFormat/>
    <w:rsid w:val="00D01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D01E65"/>
    <w:rPr>
      <w:i/>
      <w:iCs/>
      <w:color w:val="2F5496" w:themeColor="accent1" w:themeShade="BF"/>
    </w:rPr>
  </w:style>
  <w:style w:type="character" w:styleId="RefernciaIntensa">
    <w:name w:val="Intense Reference"/>
    <w:basedOn w:val="Fontepargpadro"/>
    <w:uiPriority w:val="32"/>
    <w:qFormat/>
    <w:rsid w:val="00D01E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1698</Words>
  <Characters>8715</Characters>
  <Application>Microsoft Office Word</Application>
  <DocSecurity>0</DocSecurity>
  <Lines>161</Lines>
  <Paragraphs>57</Paragraphs>
  <ScaleCrop>false</ScaleCrop>
  <Company/>
  <LinksUpToDate>false</LinksUpToDate>
  <CharactersWithSpaces>10356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Guimaraes</dc:creator>
  <cp:keywords/>
  <dc:description/>
  <cp:lastModifiedBy>Ricardo Guimaraes</cp:lastModifiedBy>
  <cp:revision>4</cp:revision>
  <dcterms:created xsi:type="dcterms:W3CDTF">2026-07-03T23:00:00Z</dcterms:created>
  <dcterms:modified xsi:type="dcterms:W3CDTF">2026-07-03T23:08:00Z</dcterms:modified>
</cp:coreProperties>
</file>