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1915" w14:textId="77777777" w:rsidR="00066325" w:rsidRPr="00010041" w:rsidRDefault="00000000">
      <w:pPr>
        <w:spacing w:before="400" w:after="100"/>
        <w:rPr>
          <w:sz w:val="24"/>
          <w:szCs w:val="24"/>
        </w:rPr>
      </w:pPr>
      <w:r w:rsidRPr="00010041">
        <w:rPr>
          <w:b/>
          <w:bCs/>
          <w:color w:val="2E4057"/>
          <w:sz w:val="72"/>
          <w:szCs w:val="72"/>
        </w:rPr>
        <w:t>VELCRO</w:t>
      </w:r>
    </w:p>
    <w:p w14:paraId="3F721CB6" w14:textId="77777777" w:rsidR="00066325" w:rsidRPr="00010041" w:rsidRDefault="00000000">
      <w:pPr>
        <w:spacing w:after="200"/>
        <w:rPr>
          <w:b/>
          <w:bCs/>
          <w:sz w:val="28"/>
          <w:szCs w:val="28"/>
        </w:rPr>
      </w:pPr>
      <w:proofErr w:type="spellStart"/>
      <w:r w:rsidRPr="00010041">
        <w:rPr>
          <w:b/>
          <w:bCs/>
          <w:i/>
          <w:iCs/>
          <w:color w:val="555555"/>
          <w:sz w:val="32"/>
          <w:szCs w:val="32"/>
        </w:rPr>
        <w:t>Blueprint</w:t>
      </w:r>
      <w:proofErr w:type="spellEnd"/>
      <w:r w:rsidRPr="00010041">
        <w:rPr>
          <w:b/>
          <w:bCs/>
          <w:i/>
          <w:iCs/>
          <w:color w:val="555555"/>
          <w:sz w:val="32"/>
          <w:szCs w:val="32"/>
        </w:rPr>
        <w:t xml:space="preserve"> Funcional, Raciocínio por Falha e Engenharia Reversa como resposta à crise de integração no ensino superior</w:t>
      </w:r>
    </w:p>
    <w:p w14:paraId="17C4431E" w14:textId="77777777" w:rsidR="00066325" w:rsidRPr="00010041" w:rsidRDefault="00000000">
      <w:pPr>
        <w:spacing w:before="60" w:after="400"/>
        <w:rPr>
          <w:b/>
          <w:bCs/>
          <w:sz w:val="24"/>
          <w:szCs w:val="24"/>
        </w:rPr>
      </w:pPr>
      <w:r w:rsidRPr="00010041">
        <w:rPr>
          <w:b/>
          <w:bCs/>
          <w:color w:val="777777"/>
          <w:sz w:val="24"/>
          <w:szCs w:val="24"/>
        </w:rPr>
        <w:t>Um modelo pedagógico para a formação de raciocínio investigativo em sistemas complexos</w:t>
      </w:r>
    </w:p>
    <w:p w14:paraId="5F4F96EF" w14:textId="77777777" w:rsidR="00066325" w:rsidRDefault="00066325">
      <w:pPr>
        <w:pBdr>
          <w:bottom w:val="single" w:sz="4" w:space="1" w:color="CCCCCC"/>
        </w:pBdr>
        <w:spacing w:before="200" w:after="200"/>
      </w:pPr>
    </w:p>
    <w:p w14:paraId="0B5E4224" w14:textId="77777777" w:rsidR="00066325" w:rsidRDefault="00000000">
      <w:pPr>
        <w:spacing w:before="200" w:after="80"/>
      </w:pPr>
      <w:r>
        <w:rPr>
          <w:b/>
          <w:bCs/>
          <w:color w:val="2E4057"/>
        </w:rPr>
        <w:t>Resumo</w:t>
      </w:r>
    </w:p>
    <w:p w14:paraId="3A1C2776" w14:textId="77777777" w:rsidR="00066325" w:rsidRDefault="00000000">
      <w:pPr>
        <w:spacing w:before="120" w:after="120" w:line="300" w:lineRule="auto"/>
        <w:ind w:left="720" w:right="720"/>
        <w:jc w:val="both"/>
      </w:pPr>
      <w:r>
        <w:rPr>
          <w:i/>
          <w:iCs/>
        </w:rPr>
        <w:t xml:space="preserve">O ensino de sistemas complexos na graduação vive uma crise silenciosa: muito conteúdo, pouca compreensão; muito detalhe, pouco raciocínio. As disciplinas são ensinadas como blocos isolados, mas a realidade — clínica, técnica, organizacional — exige integração. Este texto propõe o modelo VELCRO (Visão Estratégica de Learning baseada em Conexões, Raciocínio por Omissão e falha funcional), que organiza o aprendizado em três camadas complementares: um </w:t>
      </w:r>
      <w:proofErr w:type="spellStart"/>
      <w:r>
        <w:rPr>
          <w:i/>
          <w:iCs/>
        </w:rPr>
        <w:t>Blueprint</w:t>
      </w:r>
      <w:proofErr w:type="spellEnd"/>
      <w:r>
        <w:rPr>
          <w:i/>
          <w:iCs/>
        </w:rPr>
        <w:t xml:space="preserve"> Funcional como arquitetura do conhecimento; um Raciocínio por Falha Funcional (RFF) como método de análise; e a Engenharia Reversa como prática investigativa. O modelo parte de uma premissa epistemológica precisa: sistemas complexos só podem ser verdadeiramente compreendidos quando o estudante entende o que um sistema faz, por que existe e o que acontece quando falha. VELCRO desloca o foco da memorização de estruturas para a compreensão de funções — formando profissionais investigativos, não reativos. Discute-se sua fundamentação teórica, aplicabilidade na área médica e potencial de generalização para engenharias, computação, gestão e ciências cognitivas.</w:t>
      </w:r>
    </w:p>
    <w:p w14:paraId="65229F2D" w14:textId="77777777" w:rsidR="00066325" w:rsidRDefault="00066325">
      <w:pPr>
        <w:pBdr>
          <w:bottom w:val="single" w:sz="4" w:space="1" w:color="CCCCCC"/>
        </w:pBdr>
        <w:spacing w:before="200" w:after="200"/>
      </w:pPr>
    </w:p>
    <w:p w14:paraId="7C415BDC" w14:textId="77777777" w:rsidR="00066325" w:rsidRPr="00010041" w:rsidRDefault="00000000">
      <w:pPr>
        <w:pStyle w:val="Ttulo1"/>
        <w:rPr>
          <w:sz w:val="32"/>
          <w:szCs w:val="32"/>
        </w:rPr>
      </w:pPr>
      <w:r w:rsidRPr="00010041">
        <w:rPr>
          <w:sz w:val="32"/>
          <w:szCs w:val="32"/>
        </w:rPr>
        <w:t>1. Premissa: conhecimento como função, não como inventário</w:t>
      </w:r>
    </w:p>
    <w:p w14:paraId="726DF0F1" w14:textId="77777777" w:rsidR="00066325" w:rsidRDefault="00000000">
      <w:pPr>
        <w:spacing w:before="80" w:after="120" w:line="320" w:lineRule="auto"/>
        <w:jc w:val="both"/>
      </w:pPr>
      <w:r>
        <w:t>Existe uma distinção fundamental, frequentemente ignorada na organização dos currículos de graduação, entre saber o que algo é e saber o que algo faz. O primeiro tipo de conhecimento pode ser ensinado como inventário: listas, classificações, nomenclaturas. O segundo só pode ser ensinado como arquitetura: relações, dependências, comportamentos em contexto.</w:t>
      </w:r>
    </w:p>
    <w:p w14:paraId="7EC14EA6" w14:textId="77777777" w:rsidR="00066325" w:rsidRDefault="00000000">
      <w:pPr>
        <w:spacing w:before="80" w:after="120" w:line="320" w:lineRule="auto"/>
        <w:jc w:val="both"/>
      </w:pPr>
      <w:r>
        <w:lastRenderedPageBreak/>
        <w:t>Durante décadas, o ensino superior nas áreas de sistemas complexos — medicina, engenharia, biociências, ciências da computação — privilegiou o primeiro tipo. As disciplinas fundamentais foram organizadas como coleções de partes. O estudante aprendeu a nomear estruturas, a localizar componentes, a reproduzir listas. O que raramente foi ensinado é como essas partes se relacionam, o que fazem em conjunto e, decisivamente, o que acontece quando deixam de funcionar.</w:t>
      </w:r>
    </w:p>
    <w:p w14:paraId="58F3354F" w14:textId="77777777" w:rsidR="00066325" w:rsidRDefault="00000000">
      <w:pPr>
        <w:spacing w:before="80" w:after="120" w:line="320" w:lineRule="auto"/>
        <w:jc w:val="both"/>
      </w:pPr>
      <w:r>
        <w:t>Essa escolha curricular não foi deliberada. Ela refletiu, por décadas, uma necessidade prática: em um mundo de escassez de informação, armazenar e transmitir fatos era o problema central. O professor era o guardião do conhecimento; o estudante, seu depositário.</w:t>
      </w:r>
    </w:p>
    <w:p w14:paraId="0550ED0C" w14:textId="77777777" w:rsidR="00066325" w:rsidRDefault="00000000">
      <w:pPr>
        <w:spacing w:before="80" w:after="120" w:line="320" w:lineRule="auto"/>
        <w:jc w:val="both"/>
      </w:pPr>
      <w:r>
        <w:t>Esse mundo não existe mais. A informação é abundante, acessível e, em parte crescente, processada por sistemas de inteligência artificial com precisão superior à da maioria dos profissionais formados no modelo tradicional. O problema central da educação superior mudou: não é mais armazenar fatos, mas compreender sistemas. Não é mais nomear estruturas, mas raciocinar sobre funções. Não é mais reconhecer partes, mas investigar falhas.</w:t>
      </w:r>
    </w:p>
    <w:p w14:paraId="0CA29491" w14:textId="77777777" w:rsidR="00066325" w:rsidRPr="00010041" w:rsidRDefault="00000000">
      <w:pPr>
        <w:spacing w:before="120" w:after="120" w:line="300" w:lineRule="auto"/>
        <w:ind w:left="720" w:right="720"/>
        <w:jc w:val="both"/>
        <w:rPr>
          <w:b/>
          <w:bCs/>
        </w:rPr>
      </w:pPr>
      <w:r w:rsidRPr="00010041">
        <w:rPr>
          <w:b/>
          <w:bCs/>
          <w:i/>
          <w:iCs/>
        </w:rPr>
        <w:t>O modelo VELCRO é uma resposta a essa mudança. Não é uma reforma curricular. É uma mudança de epistemologia pedagógica.</w:t>
      </w:r>
    </w:p>
    <w:p w14:paraId="542A42C9" w14:textId="77777777" w:rsidR="00066325" w:rsidRDefault="00066325">
      <w:pPr>
        <w:spacing w:before="80" w:after="80"/>
      </w:pPr>
    </w:p>
    <w:p w14:paraId="7450F720" w14:textId="77777777" w:rsidR="00066325" w:rsidRPr="00010041" w:rsidRDefault="00000000">
      <w:pPr>
        <w:pStyle w:val="Ttulo1"/>
        <w:rPr>
          <w:sz w:val="32"/>
          <w:szCs w:val="32"/>
        </w:rPr>
      </w:pPr>
      <w:r w:rsidRPr="00010041">
        <w:rPr>
          <w:sz w:val="32"/>
          <w:szCs w:val="32"/>
        </w:rPr>
        <w:t>2. O diagnóstico: três limitações estruturais do modelo dominante</w:t>
      </w:r>
    </w:p>
    <w:p w14:paraId="61258C38" w14:textId="77777777" w:rsidR="00066325" w:rsidRDefault="00000000">
      <w:pPr>
        <w:spacing w:before="80" w:after="120" w:line="320" w:lineRule="auto"/>
        <w:jc w:val="both"/>
      </w:pPr>
      <w:r>
        <w:t>A literatura especializada em educação médica e ciências cognitivas identifica com consistência três limitações recorrentes nos modelos curriculares ainda dominantes. Elas não são defeitos acidentais, corrigíveis por ajustes superficiais. São consequências lógicas de uma arquitetura educacional concebida para um conjunto de problemas que já não é o nosso.</w:t>
      </w:r>
    </w:p>
    <w:p w14:paraId="78813B73" w14:textId="77777777" w:rsidR="00066325" w:rsidRDefault="00000000">
      <w:pPr>
        <w:pStyle w:val="Ttulo2"/>
      </w:pPr>
      <w:r>
        <w:t>2.1. Fragmentação disciplinar</w:t>
      </w:r>
    </w:p>
    <w:p w14:paraId="10D29554" w14:textId="77777777" w:rsidR="00066325" w:rsidRDefault="00000000">
      <w:pPr>
        <w:spacing w:before="80" w:after="120" w:line="320" w:lineRule="auto"/>
        <w:jc w:val="both"/>
      </w:pPr>
      <w:r>
        <w:t>O conhecimento é organizado em disciplinas estanques, com pouca articulação explícita entre elas. O estudante aprende anatomia em um semestre, fisiologia no seguinte e patologia no terceiro — mas raramente é convocado a integrar esses domínios em um mesmo problema (Davis, 2011). O resultado é previsível: o aluno que nomeia com precisão cada camada da retina pode não ser capaz de explicar por que um paciente com degeneração macular não perde a visão noturna de imediato.</w:t>
      </w:r>
    </w:p>
    <w:p w14:paraId="79B77661" w14:textId="77777777" w:rsidR="00066325" w:rsidRDefault="00000000">
      <w:pPr>
        <w:pStyle w:val="Ttulo2"/>
      </w:pPr>
      <w:r>
        <w:lastRenderedPageBreak/>
        <w:t>2.2. Superficialidade funcional</w:t>
      </w:r>
    </w:p>
    <w:p w14:paraId="0E45504B" w14:textId="77777777" w:rsidR="00066325" w:rsidRDefault="00000000">
      <w:pPr>
        <w:spacing w:before="80" w:after="120" w:line="320" w:lineRule="auto"/>
        <w:jc w:val="both"/>
      </w:pPr>
      <w:r>
        <w:t>As funções dos sistemas biológicos ou tecnológicos são descritas, mas raramente compreendidas como processos dinâmicos sujeitos a falhas, variações e compensações. O aluno aprende "o que é" um órgão, mas não "o que ele faz" em diferentes contextos — e menos ainda "como saber se ele falhou" (</w:t>
      </w:r>
      <w:proofErr w:type="spellStart"/>
      <w:r>
        <w:t>Custers</w:t>
      </w:r>
      <w:proofErr w:type="spellEnd"/>
      <w:r>
        <w:t>, 2010). Essa distinção não é semântica. Ela separa o raciocínio diagnóstico da mera identificação de padrões.</w:t>
      </w:r>
    </w:p>
    <w:p w14:paraId="1425F3D6" w14:textId="77777777" w:rsidR="00066325" w:rsidRDefault="00000000">
      <w:pPr>
        <w:pStyle w:val="Ttulo2"/>
      </w:pPr>
      <w:r>
        <w:t>2.3. Baixa transferibilidade</w:t>
      </w:r>
    </w:p>
    <w:p w14:paraId="0F082120" w14:textId="77777777" w:rsidR="00066325" w:rsidRDefault="00000000">
      <w:pPr>
        <w:spacing w:before="80" w:after="120" w:line="320" w:lineRule="auto"/>
        <w:jc w:val="both"/>
      </w:pPr>
      <w:r>
        <w:t xml:space="preserve">O conhecimento adquirido não se traduz espontaneamente em capacidade de aplicação prática ou raciocínio diagnóstico. O aluno pode obter notas altas em provas de múltipla escolha e ainda assim demonstrar dificuldades significativas diante de um caso clínico ou de um problema técnico não padronizado (Norman, 2009; Kirschner, </w:t>
      </w:r>
      <w:proofErr w:type="spellStart"/>
      <w:r>
        <w:t>Sweller</w:t>
      </w:r>
      <w:proofErr w:type="spellEnd"/>
      <w:r>
        <w:t xml:space="preserve"> &amp; Clark, 2006). Isso acontece porque o conhecimento foi armazenado como lista, não como rede funcional. Ele existe no estudante, mas não pode ser mobilizado.</w:t>
      </w:r>
    </w:p>
    <w:p w14:paraId="78B0E456" w14:textId="77777777" w:rsidR="00066325" w:rsidRPr="00010041" w:rsidRDefault="00000000">
      <w:pPr>
        <w:pStyle w:val="Ttulo1"/>
        <w:rPr>
          <w:sz w:val="32"/>
          <w:szCs w:val="32"/>
        </w:rPr>
      </w:pPr>
      <w:r w:rsidRPr="00010041">
        <w:rPr>
          <w:sz w:val="32"/>
          <w:szCs w:val="32"/>
        </w:rPr>
        <w:t xml:space="preserve">3. </w:t>
      </w:r>
      <w:proofErr w:type="spellStart"/>
      <w:r w:rsidRPr="00010041">
        <w:rPr>
          <w:sz w:val="32"/>
          <w:szCs w:val="32"/>
        </w:rPr>
        <w:t>Blueprint</w:t>
      </w:r>
      <w:proofErr w:type="spellEnd"/>
      <w:r w:rsidRPr="00010041">
        <w:rPr>
          <w:sz w:val="32"/>
          <w:szCs w:val="32"/>
        </w:rPr>
        <w:t>: a diferença entre lista e arquitetura</w:t>
      </w:r>
    </w:p>
    <w:p w14:paraId="3534A144" w14:textId="77777777" w:rsidR="00066325" w:rsidRDefault="00000000">
      <w:pPr>
        <w:spacing w:before="80" w:after="120" w:line="320" w:lineRule="auto"/>
        <w:jc w:val="both"/>
      </w:pPr>
      <w:r>
        <w:t xml:space="preserve">O conceito de </w:t>
      </w:r>
      <w:proofErr w:type="spellStart"/>
      <w:r>
        <w:t>blueprint</w:t>
      </w:r>
      <w:proofErr w:type="spellEnd"/>
      <w:r>
        <w:t xml:space="preserve"> — originalmente da arquitetura e da engenharia — foi incorporado ao vocabulário educacional, mas frequentemente esvaziado do que o torna poderoso. No uso corrente, tornou-se sinônimo de mapa curricular, lista de objetivos ou diagrama de disciplinas. Isso não é suficiente.</w:t>
      </w:r>
    </w:p>
    <w:p w14:paraId="3F1B8871" w14:textId="77777777" w:rsidR="00066325" w:rsidRDefault="00000000">
      <w:pPr>
        <w:spacing w:before="80" w:after="120" w:line="320" w:lineRule="auto"/>
        <w:jc w:val="both"/>
      </w:pPr>
      <w:r>
        <w:t xml:space="preserve">Um </w:t>
      </w:r>
      <w:proofErr w:type="spellStart"/>
      <w:r>
        <w:t>blueprint</w:t>
      </w:r>
      <w:proofErr w:type="spellEnd"/>
      <w:r>
        <w:t xml:space="preserve"> arquitetônico genuíno não apenas mostra onde ficam as paredes. Ele mostra fluxos de circulação, zonas de pressão estrutural, pontos de falha potencial, relações entre sistemas — elétrico, hidráulico, estrutural. Um </w:t>
      </w:r>
      <w:proofErr w:type="spellStart"/>
      <w:r>
        <w:t>blueprint</w:t>
      </w:r>
      <w:proofErr w:type="spellEnd"/>
      <w:r>
        <w:t xml:space="preserve"> é uma arquitetura que gera função. Ele existe para que um engenheiro possa perguntar não apenas "o que está aqui?" mas "o que acontece se isso falhar?"</w:t>
      </w:r>
    </w:p>
    <w:p w14:paraId="1E4E2F9E" w14:textId="77777777" w:rsidR="00066325" w:rsidRDefault="00000000">
      <w:pPr>
        <w:spacing w:before="80" w:after="120" w:line="320" w:lineRule="auto"/>
        <w:jc w:val="both"/>
      </w:pPr>
      <w:r>
        <w:t xml:space="preserve">Do mesmo modo, um </w:t>
      </w:r>
      <w:proofErr w:type="spellStart"/>
      <w:r>
        <w:rPr>
          <w:b/>
          <w:bCs/>
        </w:rPr>
        <w:t>Blueprint</w:t>
      </w:r>
      <w:proofErr w:type="spellEnd"/>
      <w:r>
        <w:rPr>
          <w:b/>
          <w:bCs/>
        </w:rPr>
        <w:t xml:space="preserve"> Educacional Funcional</w:t>
      </w:r>
      <w:r>
        <w:t xml:space="preserve"> não lista o que será ensinado. Ele organiza o conhecimento como um sistema de subsistemas interconectados; identifica relações causais e funcionais entre componentes; mapeia pontos de falha típicos de cada função; e orienta avaliação baseada em raciocínio, não em nomeação.</w:t>
      </w:r>
    </w:p>
    <w:p w14:paraId="38858EB3" w14:textId="77777777" w:rsidR="00066325" w:rsidRDefault="00000000">
      <w:pPr>
        <w:spacing w:before="120" w:after="120" w:line="300" w:lineRule="auto"/>
        <w:ind w:left="720" w:right="720"/>
        <w:jc w:val="both"/>
      </w:pPr>
      <w:r>
        <w:rPr>
          <w:i/>
          <w:iCs/>
        </w:rPr>
        <w:t xml:space="preserve">Currículo é lista. </w:t>
      </w:r>
      <w:proofErr w:type="spellStart"/>
      <w:r>
        <w:rPr>
          <w:i/>
          <w:iCs/>
        </w:rPr>
        <w:t>Blueprint</w:t>
      </w:r>
      <w:proofErr w:type="spellEnd"/>
      <w:r>
        <w:rPr>
          <w:i/>
          <w:iCs/>
        </w:rPr>
        <w:t xml:space="preserve"> é arquitetura. O modelo aqui proposto é o segundo.</w:t>
      </w:r>
    </w:p>
    <w:p w14:paraId="76C03BBF" w14:textId="77777777" w:rsidR="00066325" w:rsidRDefault="00000000">
      <w:pPr>
        <w:spacing w:before="80" w:after="120" w:line="320" w:lineRule="auto"/>
        <w:jc w:val="both"/>
      </w:pPr>
      <w:r>
        <w:t xml:space="preserve">Esse deslocamento tem uma consequência pedagógica imediata. Quando o estudante aprende um sistema a partir de seu </w:t>
      </w:r>
      <w:proofErr w:type="spellStart"/>
      <w:r>
        <w:t>blueprint</w:t>
      </w:r>
      <w:proofErr w:type="spellEnd"/>
      <w:r>
        <w:t xml:space="preserve"> funcional, cada novo componente não é uma peça adicional numa lista crescente. É um nó numa rede com função definida, dependências explícitas e modos de falha conhecidos. O aprendizado não se acumula: se integra.</w:t>
      </w:r>
    </w:p>
    <w:p w14:paraId="51A7A7A4" w14:textId="77777777" w:rsidR="00066325" w:rsidRPr="00010041" w:rsidRDefault="00000000">
      <w:pPr>
        <w:pStyle w:val="Ttulo1"/>
        <w:rPr>
          <w:sz w:val="32"/>
          <w:szCs w:val="32"/>
        </w:rPr>
      </w:pPr>
      <w:r w:rsidRPr="00010041">
        <w:rPr>
          <w:sz w:val="32"/>
          <w:szCs w:val="32"/>
        </w:rPr>
        <w:lastRenderedPageBreak/>
        <w:t>4. O modelo VELCRO: três camadas integradas</w:t>
      </w:r>
    </w:p>
    <w:p w14:paraId="27D7168C" w14:textId="77777777" w:rsidR="00066325" w:rsidRDefault="00000000">
      <w:pPr>
        <w:spacing w:before="80" w:after="120" w:line="320" w:lineRule="auto"/>
        <w:jc w:val="both"/>
      </w:pPr>
      <w:r>
        <w:t>O nome é proposital. VELCRO gruda, conecta camadas diferentes, é difícil de ignorar e fácil de lembrar. A sigla — Visão Estratégica de Learning baseada em Conexões, Raciocínio por Omissão e falha funcional — descreve exatamente o oposto do ensino fragmentado: um modelo que ativa integração, que pensa por omissão e falha, e que forma visão sistêmica.</w:t>
      </w:r>
    </w:p>
    <w:p w14:paraId="0188B5C8" w14:textId="77777777" w:rsidR="00066325" w:rsidRDefault="00000000">
      <w:pPr>
        <w:spacing w:before="80" w:after="120" w:line="320" w:lineRule="auto"/>
        <w:jc w:val="both"/>
      </w:pPr>
      <w:r>
        <w:t>O modelo organiza-se em três camadas que operam de forma complementar e progressiva.</w:t>
      </w:r>
    </w:p>
    <w:p w14:paraId="74B2609E" w14:textId="77777777" w:rsidR="00066325" w:rsidRDefault="00000000">
      <w:pPr>
        <w:pStyle w:val="Ttulo2"/>
      </w:pPr>
      <w:r>
        <w:t xml:space="preserve">4.1. Camada 1: </w:t>
      </w:r>
      <w:proofErr w:type="spellStart"/>
      <w:r>
        <w:t>Blueprint</w:t>
      </w:r>
      <w:proofErr w:type="spellEnd"/>
      <w:r>
        <w:t xml:space="preserve"> Estrutural</w:t>
      </w:r>
    </w:p>
    <w:p w14:paraId="7A31789E" w14:textId="77777777" w:rsidR="00066325" w:rsidRDefault="00000000">
      <w:pPr>
        <w:spacing w:before="80" w:after="120" w:line="320" w:lineRule="auto"/>
        <w:jc w:val="both"/>
      </w:pPr>
      <w:r>
        <w:t>O conhecimento do sistema é organizado não como uma lista de partes, mas como um diagrama de subsistemas funcionais interconectados, com indicação explícita de componentes de cada subsistema, entradas e saídas, relações de dependência e pontos de falha conhecidos.</w:t>
      </w:r>
    </w:p>
    <w:p w14:paraId="56ED4E71" w14:textId="77777777" w:rsidR="00066325" w:rsidRDefault="00000000">
      <w:pPr>
        <w:spacing w:before="80" w:after="120" w:line="320" w:lineRule="auto"/>
        <w:jc w:val="both"/>
      </w:pPr>
      <w:r>
        <w:t>A pergunta que orienta essa camada é simples e radical: Como o sistema é organizado como arquitetura funcional, não como coleção de peças? Essa pergunta, colocada desde o início do aprendizado, muda a relação do estudante com cada estrutura que encontra. Ela deixa de ser um item a ser memorizado e passa a ser um componente com papel funcional, posição na rede e vulnerabilidades específicas.</w:t>
      </w:r>
    </w:p>
    <w:p w14:paraId="68E7276E" w14:textId="77777777" w:rsidR="00066325" w:rsidRDefault="00000000">
      <w:pPr>
        <w:pStyle w:val="Ttulo2"/>
      </w:pPr>
      <w:r>
        <w:t>4.2. Camada 2: Raciocínio por Falha Funcional (RFF)</w:t>
      </w:r>
    </w:p>
    <w:p w14:paraId="06E093C3" w14:textId="77777777" w:rsidR="00066325" w:rsidRDefault="00000000">
      <w:pPr>
        <w:spacing w:before="80" w:after="120" w:line="320" w:lineRule="auto"/>
        <w:jc w:val="both"/>
      </w:pPr>
      <w:r>
        <w:t>O RFF é a camada mais original do modelo. Inspirado em princípios da engenharia reversa, da cognição diagnóstica e do raciocínio clínico (Klein, 1998; Kahneman, 2011), ele desloca o foco do aprendizado da descrição de estruturas para a compreensão do comportamento funcional do sistema em diferentes condições — especialmente em condição de falha.</w:t>
      </w:r>
    </w:p>
    <w:p w14:paraId="7091496C" w14:textId="77777777" w:rsidR="00066325" w:rsidRDefault="00000000">
      <w:pPr>
        <w:spacing w:before="80" w:after="120" w:line="320" w:lineRule="auto"/>
        <w:jc w:val="both"/>
      </w:pPr>
      <w:r>
        <w:t>A premissa do RFF é que falhas são mais informativas do que funcionamentos normais. Um sistema que funciona perfeitamente revela pouco sobre si mesmo. Um sistema que falha de modo específico, em condições específicas, com manifestações específicas, revela sua arquitetura interna de forma que nenhuma descrição nominal consegue igualar.</w:t>
      </w:r>
    </w:p>
    <w:p w14:paraId="10BAAD2C" w14:textId="77777777" w:rsidR="00066325" w:rsidRDefault="00000000">
      <w:pPr>
        <w:spacing w:before="80" w:after="120" w:line="320" w:lineRule="auto"/>
        <w:jc w:val="both"/>
      </w:pPr>
      <w:r>
        <w:t>O RFF estrutura-se em três perguntas permanentes, aplicáveis a qualquer processo de qualquer sistema complexo:</w:t>
      </w:r>
    </w:p>
    <w:p w14:paraId="64922B0D" w14:textId="77777777" w:rsidR="00066325" w:rsidRDefault="00000000">
      <w:pPr>
        <w:pStyle w:val="PargrafodaLista"/>
        <w:numPr>
          <w:ilvl w:val="0"/>
          <w:numId w:val="2"/>
        </w:numPr>
        <w:spacing w:before="60" w:after="60" w:line="300" w:lineRule="auto"/>
      </w:pPr>
      <w:r>
        <w:t>Que processo está sendo estudado?</w:t>
      </w:r>
    </w:p>
    <w:p w14:paraId="568A8928" w14:textId="77777777" w:rsidR="00066325" w:rsidRDefault="00000000">
      <w:pPr>
        <w:pStyle w:val="PargrafodaLista"/>
        <w:numPr>
          <w:ilvl w:val="0"/>
          <w:numId w:val="2"/>
        </w:numPr>
        <w:spacing w:before="60" w:after="60" w:line="300" w:lineRule="auto"/>
      </w:pPr>
      <w:r>
        <w:t>Que função esse processo deveria cumprir em condições ideais?</w:t>
      </w:r>
    </w:p>
    <w:p w14:paraId="1BBCB1E7" w14:textId="77777777" w:rsidR="00066325" w:rsidRDefault="00000000">
      <w:pPr>
        <w:pStyle w:val="PargrafodaLista"/>
        <w:numPr>
          <w:ilvl w:val="0"/>
          <w:numId w:val="2"/>
        </w:numPr>
        <w:spacing w:before="60" w:after="60" w:line="300" w:lineRule="auto"/>
      </w:pPr>
      <w:r>
        <w:t>O que acontece quando essa função falha? Como essa falha se manifesta, como pode ser testada, e como se diferencia de outras falhas?</w:t>
      </w:r>
    </w:p>
    <w:p w14:paraId="3101B3C0" w14:textId="77777777" w:rsidR="00066325" w:rsidRDefault="00066325">
      <w:pPr>
        <w:spacing w:before="80" w:after="80"/>
      </w:pPr>
    </w:p>
    <w:p w14:paraId="29599582" w14:textId="77777777" w:rsidR="00066325" w:rsidRDefault="00000000">
      <w:pPr>
        <w:spacing w:before="80" w:after="120" w:line="320" w:lineRule="auto"/>
        <w:jc w:val="both"/>
      </w:pPr>
      <w:r>
        <w:t>Essas três perguntas não são um roteiro de avaliação. São uma postura cognitiva — uma forma de habitar o conhecimento. Quando internalizadas, transformam a relação do estudante com qualquer novo conteúdo: cada estrutura passa a ter uma função esperada, um modo de falha provável e um teste de verificação possível.</w:t>
      </w:r>
    </w:p>
    <w:p w14:paraId="6CC95E03" w14:textId="77777777" w:rsidR="00066325" w:rsidRDefault="00000000">
      <w:pPr>
        <w:pStyle w:val="Ttulo2"/>
      </w:pPr>
      <w:r>
        <w:t>4.3. Camada 3: Investigação por Engenharia Reversa</w:t>
      </w:r>
    </w:p>
    <w:p w14:paraId="0428855D" w14:textId="77777777" w:rsidR="00066325" w:rsidRDefault="00000000">
      <w:pPr>
        <w:spacing w:before="80" w:after="120" w:line="320" w:lineRule="auto"/>
        <w:jc w:val="both"/>
      </w:pPr>
      <w:r>
        <w:t>A terceira camada operacionaliza o aprendizado por meio da análise de falhas reais ou simuladas. O estudante não começa pelo sistema funcionando: começa por um fenômeno observável — um sintoma, uma disfunção, um comportamento anômalo — e é convidado a trabalhar em direção reversa.</w:t>
      </w:r>
    </w:p>
    <w:p w14:paraId="21910665" w14:textId="77777777" w:rsidR="00066325" w:rsidRDefault="00000000">
      <w:pPr>
        <w:spacing w:before="80" w:after="120" w:line="320" w:lineRule="auto"/>
        <w:jc w:val="both"/>
      </w:pPr>
      <w:r>
        <w:t>O percurso investigativo segue uma lógica precisa: decompor o fenômeno nos processos funcionais que poderiam estar comprometidos; formular hipóteses sobre a localização e a natureza da falha; propor e avaliar intervenções ou testes diagnósticos; integrar o achado à arquitetura geral do sistema.</w:t>
      </w:r>
    </w:p>
    <w:p w14:paraId="53AF20B7" w14:textId="77777777" w:rsidR="00066325" w:rsidRDefault="00000000">
      <w:pPr>
        <w:spacing w:before="80" w:after="120" w:line="320" w:lineRule="auto"/>
        <w:jc w:val="both"/>
      </w:pPr>
      <w:r>
        <w:t>Esse percurso reproduz com fidelidade o raciocínio investigativo próprio da prática profissional — seja ela clínica, técnica ou científica (</w:t>
      </w:r>
      <w:proofErr w:type="spellStart"/>
      <w:r>
        <w:t>Hmelo</w:t>
      </w:r>
      <w:proofErr w:type="spellEnd"/>
      <w:r>
        <w:t xml:space="preserve">-Silver, Duncan &amp; </w:t>
      </w:r>
      <w:proofErr w:type="spellStart"/>
      <w:r>
        <w:t>Chinn</w:t>
      </w:r>
      <w:proofErr w:type="spellEnd"/>
      <w:r>
        <w:t xml:space="preserve">, 2007). O estudante não aprende sobre problemas: aprende a resolver problemas, usando como ferramenta o </w:t>
      </w:r>
      <w:proofErr w:type="spellStart"/>
      <w:r>
        <w:t>blueprint</w:t>
      </w:r>
      <w:proofErr w:type="spellEnd"/>
      <w:r>
        <w:t xml:space="preserve"> que internalizou nas camadas anteriores.</w:t>
      </w:r>
    </w:p>
    <w:p w14:paraId="0086E606" w14:textId="77777777" w:rsidR="00066325" w:rsidRPr="00010041" w:rsidRDefault="00000000">
      <w:pPr>
        <w:spacing w:before="120" w:after="120" w:line="300" w:lineRule="auto"/>
        <w:ind w:left="720" w:right="720"/>
        <w:jc w:val="both"/>
        <w:rPr>
          <w:b/>
          <w:bCs/>
        </w:rPr>
      </w:pPr>
      <w:r w:rsidRPr="00010041">
        <w:rPr>
          <w:b/>
          <w:bCs/>
          <w:i/>
          <w:iCs/>
        </w:rPr>
        <w:t xml:space="preserve">As três camadas formam uma progressão lógica: o </w:t>
      </w:r>
      <w:proofErr w:type="spellStart"/>
      <w:r w:rsidRPr="00010041">
        <w:rPr>
          <w:b/>
          <w:bCs/>
          <w:i/>
          <w:iCs/>
        </w:rPr>
        <w:t>blueprint</w:t>
      </w:r>
      <w:proofErr w:type="spellEnd"/>
      <w:r w:rsidRPr="00010041">
        <w:rPr>
          <w:b/>
          <w:bCs/>
          <w:i/>
          <w:iCs/>
        </w:rPr>
        <w:t xml:space="preserve"> mapeia o território; o RFF ensina a navegar sob adversidade; a engenharia reversa treina a descobrir o território a partir das evidências. Juntas, elas formam um ciclo de aprendizado que não se fecha numa prova — mas num raciocínio.</w:t>
      </w:r>
    </w:p>
    <w:p w14:paraId="523329FA" w14:textId="77777777" w:rsidR="00066325" w:rsidRDefault="00066325">
      <w:pPr>
        <w:spacing w:before="80" w:after="80"/>
      </w:pPr>
    </w:p>
    <w:p w14:paraId="0FDE45B3" w14:textId="77777777" w:rsidR="00066325" w:rsidRPr="00010041" w:rsidRDefault="00000000">
      <w:pPr>
        <w:pStyle w:val="Ttulo1"/>
        <w:rPr>
          <w:sz w:val="32"/>
          <w:szCs w:val="32"/>
        </w:rPr>
      </w:pPr>
      <w:r w:rsidRPr="00010041">
        <w:rPr>
          <w:sz w:val="32"/>
          <w:szCs w:val="32"/>
        </w:rPr>
        <w:t>5. Exemplo aplicado: o olho humano como arquitetura de cinco subsistemas</w:t>
      </w:r>
    </w:p>
    <w:p w14:paraId="5D2495DA" w14:textId="77777777" w:rsidR="00066325" w:rsidRDefault="00000000">
      <w:pPr>
        <w:spacing w:before="80" w:after="120" w:line="320" w:lineRule="auto"/>
        <w:jc w:val="both"/>
      </w:pPr>
      <w:r>
        <w:t>Para tornar a proposta concreta, examina-se o sistema visual humano — objeto paradigmático de ensino fragmentado, e ao mesmo tempo exemplo ideal da potência do modelo VELCRO.</w:t>
      </w:r>
    </w:p>
    <w:p w14:paraId="5F95C461" w14:textId="77777777" w:rsidR="00066325" w:rsidRDefault="00000000">
      <w:pPr>
        <w:spacing w:before="80" w:after="120" w:line="320" w:lineRule="auto"/>
        <w:jc w:val="both"/>
      </w:pPr>
      <w:r>
        <w:t>No ensino convencional, o olho é distribuído por múltiplas disciplinas: embriologia (formação das vesículas ópticas), anatomia (camadas, estruturas, nervos), histologia (tipos celulares), fisiologia (</w:t>
      </w:r>
      <w:proofErr w:type="spellStart"/>
      <w:r>
        <w:t>fototransdução</w:t>
      </w:r>
      <w:proofErr w:type="spellEnd"/>
      <w:r>
        <w:t>, acomodação), oftalmologia (doenças e tratamentos). O estudante aprende cada fragmento em seu semestre específico. O olho, porém, nunca é ensinado como o que é: um sistema integrado que resolve simultaneamente múltiplos problemas funcionais distintos.</w:t>
      </w:r>
    </w:p>
    <w:p w14:paraId="0F9BA491" w14:textId="77777777" w:rsidR="00066325" w:rsidRDefault="00000000">
      <w:pPr>
        <w:pStyle w:val="Ttulo2"/>
      </w:pPr>
      <w:r>
        <w:lastRenderedPageBreak/>
        <w:t>5.1. O olho como cinco subsistemas funcionais sobrepostos</w:t>
      </w:r>
    </w:p>
    <w:p w14:paraId="610514A8" w14:textId="77777777" w:rsidR="00066325" w:rsidRDefault="00066325">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1741"/>
        <w:gridCol w:w="1735"/>
        <w:gridCol w:w="2054"/>
        <w:gridCol w:w="1935"/>
      </w:tblGrid>
      <w:tr w:rsidR="00066325" w14:paraId="18A19D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F663E6" w14:textId="77777777" w:rsidR="00066325" w:rsidRDefault="00000000">
            <w:pPr>
              <w:spacing w:before="60" w:after="60"/>
            </w:pPr>
            <w:r>
              <w:rPr>
                <w:b/>
                <w:bCs/>
                <w:color w:val="FFFFFF"/>
                <w:sz w:val="20"/>
                <w:szCs w:val="20"/>
              </w:rPr>
              <w:t>Subsistema</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63337C" w14:textId="77777777" w:rsidR="00066325" w:rsidRDefault="00000000">
            <w:pPr>
              <w:spacing w:before="60" w:after="60"/>
            </w:pPr>
            <w:r>
              <w:rPr>
                <w:b/>
                <w:bCs/>
                <w:color w:val="FFFFFF"/>
                <w:sz w:val="20"/>
                <w:szCs w:val="20"/>
              </w:rPr>
              <w:t>Função central</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BB2071" w14:textId="77777777" w:rsidR="00066325" w:rsidRDefault="00000000">
            <w:pPr>
              <w:spacing w:before="60" w:after="60"/>
            </w:pPr>
            <w:r>
              <w:rPr>
                <w:b/>
                <w:bCs/>
                <w:color w:val="FFFFFF"/>
                <w:sz w:val="20"/>
                <w:szCs w:val="20"/>
              </w:rPr>
              <w:t>Falhas típicas</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D88DC1" w14:textId="77777777" w:rsidR="00066325" w:rsidRDefault="00000000">
            <w:pPr>
              <w:spacing w:before="60" w:after="60"/>
            </w:pPr>
            <w:r>
              <w:rPr>
                <w:b/>
                <w:bCs/>
                <w:color w:val="FFFFFF"/>
                <w:sz w:val="20"/>
                <w:szCs w:val="20"/>
              </w:rPr>
              <w:t>Teste funcional</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C304F3" w14:textId="77777777" w:rsidR="00066325" w:rsidRDefault="00000000">
            <w:pPr>
              <w:spacing w:before="60" w:after="60"/>
            </w:pPr>
            <w:r>
              <w:rPr>
                <w:b/>
                <w:bCs/>
                <w:color w:val="FFFFFF"/>
                <w:sz w:val="20"/>
                <w:szCs w:val="20"/>
              </w:rPr>
              <w:t>Origem embriológica</w:t>
            </w:r>
          </w:p>
        </w:tc>
      </w:tr>
      <w:tr w:rsidR="00066325" w14:paraId="3D826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35F5B5" w14:textId="77777777" w:rsidR="00066325" w:rsidRDefault="00000000">
            <w:pPr>
              <w:spacing w:before="60" w:after="60" w:line="280" w:lineRule="auto"/>
            </w:pPr>
            <w:r>
              <w:rPr>
                <w:b/>
                <w:bCs/>
                <w:sz w:val="20"/>
                <w:szCs w:val="20"/>
              </w:rPr>
              <w:t>Óptico (lentes)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E697" w14:textId="77777777" w:rsidR="00066325" w:rsidRDefault="00000000">
            <w:pPr>
              <w:spacing w:before="60" w:after="60" w:line="280" w:lineRule="auto"/>
            </w:pPr>
            <w:r>
              <w:rPr>
                <w:sz w:val="20"/>
                <w:szCs w:val="20"/>
              </w:rPr>
              <w:t>Focalizar luz na retina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DED6B" w14:textId="77777777" w:rsidR="00066325" w:rsidRDefault="00000000">
            <w:pPr>
              <w:spacing w:before="60" w:after="60" w:line="280" w:lineRule="auto"/>
            </w:pPr>
            <w:r>
              <w:rPr>
                <w:sz w:val="20"/>
                <w:szCs w:val="20"/>
              </w:rPr>
              <w:t>Miopia, hipermetropia, presbiopia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156A" w14:textId="77777777" w:rsidR="00066325" w:rsidRDefault="00000000">
            <w:pPr>
              <w:spacing w:before="60" w:after="60" w:line="280" w:lineRule="auto"/>
            </w:pPr>
            <w:r>
              <w:rPr>
                <w:sz w:val="20"/>
                <w:szCs w:val="20"/>
              </w:rPr>
              <w:t>Refração, lentes de prova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43A6D" w14:textId="77777777" w:rsidR="00066325" w:rsidRDefault="00000000">
            <w:pPr>
              <w:spacing w:before="60" w:after="60" w:line="280" w:lineRule="auto"/>
            </w:pPr>
            <w:proofErr w:type="spellStart"/>
            <w:r>
              <w:rPr>
                <w:sz w:val="20"/>
                <w:szCs w:val="20"/>
              </w:rPr>
              <w:t>Placóide</w:t>
            </w:r>
            <w:proofErr w:type="spellEnd"/>
            <w:r>
              <w:rPr>
                <w:sz w:val="20"/>
                <w:szCs w:val="20"/>
              </w:rPr>
              <w:t xml:space="preserve"> do cristalino</w:t>
            </w:r>
          </w:p>
        </w:tc>
      </w:tr>
      <w:tr w:rsidR="00066325" w14:paraId="045186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CBB4" w14:textId="77777777" w:rsidR="00066325" w:rsidRDefault="00000000">
            <w:pPr>
              <w:spacing w:before="60" w:after="60" w:line="280" w:lineRule="auto"/>
            </w:pPr>
            <w:r>
              <w:rPr>
                <w:b/>
                <w:bCs/>
                <w:sz w:val="20"/>
                <w:szCs w:val="20"/>
              </w:rPr>
              <w:t>Elétrico (retina)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197D9" w14:textId="77777777" w:rsidR="00066325" w:rsidRDefault="00000000">
            <w:pPr>
              <w:spacing w:before="60" w:after="60" w:line="280" w:lineRule="auto"/>
            </w:pPr>
            <w:r>
              <w:rPr>
                <w:sz w:val="20"/>
                <w:szCs w:val="20"/>
              </w:rPr>
              <w:t>Transdução luz → sinal neural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4969" w14:textId="77777777" w:rsidR="00066325" w:rsidRDefault="00000000">
            <w:pPr>
              <w:spacing w:before="60" w:after="60" w:line="280" w:lineRule="auto"/>
            </w:pPr>
            <w:r>
              <w:rPr>
                <w:sz w:val="20"/>
                <w:szCs w:val="20"/>
              </w:rPr>
              <w:t>Retinose pigmentar, degeneração macular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F1FF" w14:textId="77777777" w:rsidR="00066325" w:rsidRDefault="00000000">
            <w:pPr>
              <w:spacing w:before="60" w:after="60" w:line="280" w:lineRule="auto"/>
            </w:pPr>
            <w:r>
              <w:rPr>
                <w:sz w:val="20"/>
                <w:szCs w:val="20"/>
              </w:rPr>
              <w:t>Eletrorretinograma (ERG)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FADF6" w14:textId="77777777" w:rsidR="00066325" w:rsidRDefault="00000000">
            <w:pPr>
              <w:spacing w:before="60" w:after="60" w:line="280" w:lineRule="auto"/>
            </w:pPr>
            <w:r>
              <w:rPr>
                <w:sz w:val="20"/>
                <w:szCs w:val="20"/>
              </w:rPr>
              <w:t>Vesícula óptica (</w:t>
            </w:r>
            <w:proofErr w:type="spellStart"/>
            <w:r>
              <w:rPr>
                <w:sz w:val="20"/>
                <w:szCs w:val="20"/>
              </w:rPr>
              <w:t>neuroectoderma</w:t>
            </w:r>
            <w:proofErr w:type="spellEnd"/>
            <w:r>
              <w:rPr>
                <w:sz w:val="20"/>
                <w:szCs w:val="20"/>
              </w:rPr>
              <w:t>)</w:t>
            </w:r>
          </w:p>
        </w:tc>
      </w:tr>
      <w:tr w:rsidR="00066325" w14:paraId="013140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6A3439C" w14:textId="77777777" w:rsidR="00066325" w:rsidRDefault="00000000">
            <w:pPr>
              <w:spacing w:before="60" w:after="60" w:line="280" w:lineRule="auto"/>
            </w:pPr>
            <w:r>
              <w:rPr>
                <w:b/>
                <w:bCs/>
                <w:sz w:val="20"/>
                <w:szCs w:val="20"/>
              </w:rPr>
              <w:t>Mecânico (movimentos)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8B99" w14:textId="77777777" w:rsidR="00066325" w:rsidRDefault="00000000">
            <w:pPr>
              <w:spacing w:before="60" w:after="60" w:line="280" w:lineRule="auto"/>
            </w:pPr>
            <w:r>
              <w:rPr>
                <w:sz w:val="20"/>
                <w:szCs w:val="20"/>
              </w:rPr>
              <w:t>Posicionar o olho, estabilizar imagem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90A7A" w14:textId="77777777" w:rsidR="00066325" w:rsidRDefault="00000000">
            <w:pPr>
              <w:spacing w:before="60" w:after="60" w:line="280" w:lineRule="auto"/>
            </w:pPr>
            <w:r>
              <w:rPr>
                <w:sz w:val="20"/>
                <w:szCs w:val="20"/>
              </w:rPr>
              <w:t>Estrabismo, nistagmo, paralisias oculomotoras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D65E" w14:textId="77777777" w:rsidR="00066325" w:rsidRDefault="00000000">
            <w:pPr>
              <w:spacing w:before="60" w:after="60" w:line="280" w:lineRule="auto"/>
            </w:pPr>
            <w:r>
              <w:rPr>
                <w:sz w:val="20"/>
                <w:szCs w:val="20"/>
              </w:rPr>
              <w:t xml:space="preserve">Cover </w:t>
            </w:r>
            <w:proofErr w:type="spellStart"/>
            <w:r>
              <w:rPr>
                <w:sz w:val="20"/>
                <w:szCs w:val="20"/>
              </w:rPr>
              <w:t>test</w:t>
            </w:r>
            <w:proofErr w:type="spellEnd"/>
            <w:r>
              <w:rPr>
                <w:sz w:val="20"/>
                <w:szCs w:val="20"/>
              </w:rPr>
              <w:t>, sacadas, seguimento lento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B987" w14:textId="77777777" w:rsidR="00066325" w:rsidRDefault="00000000">
            <w:pPr>
              <w:spacing w:before="60" w:after="60" w:line="280" w:lineRule="auto"/>
            </w:pPr>
            <w:r>
              <w:rPr>
                <w:sz w:val="20"/>
                <w:szCs w:val="20"/>
              </w:rPr>
              <w:t>Mesênquima periocular</w:t>
            </w:r>
          </w:p>
        </w:tc>
      </w:tr>
      <w:tr w:rsidR="00066325" w14:paraId="25B87B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A4AE" w14:textId="77777777" w:rsidR="00066325" w:rsidRDefault="00000000">
            <w:pPr>
              <w:spacing w:before="60" w:after="60" w:line="280" w:lineRule="auto"/>
            </w:pPr>
            <w:r>
              <w:rPr>
                <w:b/>
                <w:bCs/>
                <w:sz w:val="20"/>
                <w:szCs w:val="20"/>
              </w:rPr>
              <w:t>Hidráulico (pressão)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C88C5" w14:textId="77777777" w:rsidR="00066325" w:rsidRDefault="00000000">
            <w:pPr>
              <w:spacing w:before="60" w:after="60" w:line="280" w:lineRule="auto"/>
            </w:pPr>
            <w:r>
              <w:rPr>
                <w:sz w:val="20"/>
                <w:szCs w:val="20"/>
              </w:rPr>
              <w:t>Manter forma e pressão interna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BF8A" w14:textId="77777777" w:rsidR="00066325" w:rsidRDefault="00000000">
            <w:pPr>
              <w:spacing w:before="60" w:after="60" w:line="280" w:lineRule="auto"/>
            </w:pPr>
            <w:r>
              <w:rPr>
                <w:sz w:val="20"/>
                <w:szCs w:val="20"/>
              </w:rPr>
              <w:t>Glaucoma de ângulo aberto e fechado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E009" w14:textId="77777777" w:rsidR="00066325" w:rsidRDefault="00000000">
            <w:pPr>
              <w:spacing w:before="60" w:after="60" w:line="280" w:lineRule="auto"/>
            </w:pPr>
            <w:r>
              <w:rPr>
                <w:sz w:val="20"/>
                <w:szCs w:val="20"/>
              </w:rPr>
              <w:t>Tonometria, gonioscopia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E7702" w14:textId="77777777" w:rsidR="00066325" w:rsidRDefault="00000000">
            <w:pPr>
              <w:spacing w:before="60" w:after="60" w:line="280" w:lineRule="auto"/>
            </w:pPr>
            <w:r>
              <w:rPr>
                <w:sz w:val="20"/>
                <w:szCs w:val="20"/>
              </w:rPr>
              <w:t>Corpo ciliar e estruturas adjacentes</w:t>
            </w:r>
          </w:p>
        </w:tc>
      </w:tr>
      <w:tr w:rsidR="00066325" w14:paraId="4A5194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609CDC" w14:textId="77777777" w:rsidR="00066325" w:rsidRDefault="00000000">
            <w:pPr>
              <w:spacing w:before="60" w:after="60" w:line="280" w:lineRule="auto"/>
            </w:pPr>
            <w:r>
              <w:rPr>
                <w:b/>
                <w:bCs/>
                <w:sz w:val="20"/>
                <w:szCs w:val="20"/>
              </w:rPr>
              <w:t>Cortical (processamento)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E7F1C" w14:textId="77777777" w:rsidR="00066325" w:rsidRDefault="00000000">
            <w:pPr>
              <w:spacing w:before="60" w:after="60" w:line="280" w:lineRule="auto"/>
            </w:pPr>
            <w:r>
              <w:rPr>
                <w:sz w:val="20"/>
                <w:szCs w:val="20"/>
              </w:rPr>
              <w:t>Processamento e interpretação do sinal visual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F312F" w14:textId="77777777" w:rsidR="00066325" w:rsidRDefault="00000000">
            <w:pPr>
              <w:spacing w:before="60" w:after="60" w:line="280" w:lineRule="auto"/>
            </w:pPr>
            <w:r>
              <w:rPr>
                <w:sz w:val="20"/>
                <w:szCs w:val="20"/>
              </w:rPr>
              <w:t xml:space="preserve">Agnosias, </w:t>
            </w:r>
            <w:proofErr w:type="spellStart"/>
            <w:r>
              <w:rPr>
                <w:sz w:val="20"/>
                <w:szCs w:val="20"/>
              </w:rPr>
              <w:t>neglect</w:t>
            </w:r>
            <w:proofErr w:type="spellEnd"/>
            <w:r>
              <w:rPr>
                <w:sz w:val="20"/>
                <w:szCs w:val="20"/>
              </w:rPr>
              <w:t>, alucinações visuais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B404" w14:textId="77777777" w:rsidR="00066325" w:rsidRDefault="00000000">
            <w:pPr>
              <w:spacing w:before="60" w:after="60" w:line="280" w:lineRule="auto"/>
            </w:pPr>
            <w:r>
              <w:rPr>
                <w:sz w:val="20"/>
                <w:szCs w:val="20"/>
              </w:rPr>
              <w:t>Campo visual, testes cognitivos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CAC10" w14:textId="77777777" w:rsidR="00066325" w:rsidRDefault="00000000">
            <w:pPr>
              <w:spacing w:before="60" w:after="60" w:line="280" w:lineRule="auto"/>
            </w:pPr>
            <w:proofErr w:type="spellStart"/>
            <w:r>
              <w:rPr>
                <w:sz w:val="20"/>
                <w:szCs w:val="20"/>
              </w:rPr>
              <w:t>Prosencéfalo</w:t>
            </w:r>
            <w:proofErr w:type="spellEnd"/>
            <w:r>
              <w:rPr>
                <w:sz w:val="20"/>
                <w:szCs w:val="20"/>
              </w:rPr>
              <w:t xml:space="preserve"> / radiações ópticas</w:t>
            </w:r>
          </w:p>
        </w:tc>
      </w:tr>
    </w:tbl>
    <w:p w14:paraId="36BC4AD9" w14:textId="77777777" w:rsidR="00066325" w:rsidRDefault="00066325">
      <w:pPr>
        <w:spacing w:before="80" w:after="80"/>
      </w:pPr>
    </w:p>
    <w:p w14:paraId="70904311" w14:textId="77777777" w:rsidR="00066325" w:rsidRDefault="00000000">
      <w:pPr>
        <w:spacing w:before="80" w:after="120" w:line="320" w:lineRule="auto"/>
        <w:jc w:val="both"/>
      </w:pPr>
      <w:r>
        <w:t xml:space="preserve">Cada subsistema tem função própria, modos de falha distintos e testes específicos. Mas todos compartilham o mesmo hardware físico. Entender o olho é entender como esses cinco sistemas coexistem, interagem e falham de forma diferenciada — e </w:t>
      </w:r>
      <w:proofErr w:type="gramStart"/>
      <w:r>
        <w:t>por que</w:t>
      </w:r>
      <w:proofErr w:type="gramEnd"/>
      <w:r>
        <w:t xml:space="preserve"> a falha de um não implica necessariamente a falha dos outros.</w:t>
      </w:r>
    </w:p>
    <w:p w14:paraId="6969D404" w14:textId="77777777" w:rsidR="00066325" w:rsidRDefault="00000000">
      <w:pPr>
        <w:pStyle w:val="Ttulo2"/>
      </w:pPr>
      <w:r>
        <w:t>5.2. A diferença entre uma questão tradicional e uma questão RFF</w:t>
      </w:r>
    </w:p>
    <w:p w14:paraId="1BF78C93" w14:textId="77777777" w:rsidR="00066325" w:rsidRDefault="00066325">
      <w:pPr>
        <w:spacing w:before="80" w:after="80"/>
      </w:pPr>
    </w:p>
    <w:p w14:paraId="02D8A532" w14:textId="77777777" w:rsidR="00066325" w:rsidRDefault="00000000">
      <w:pPr>
        <w:spacing w:before="100" w:after="60"/>
      </w:pPr>
      <w:r>
        <w:rPr>
          <w:b/>
          <w:bCs/>
        </w:rPr>
        <w:t>Questão tradicional (modelo fragmentado):</w:t>
      </w:r>
    </w:p>
    <w:p w14:paraId="4C460EB5" w14:textId="77777777" w:rsidR="00066325" w:rsidRDefault="00000000">
      <w:pPr>
        <w:spacing w:before="120" w:after="120" w:line="300" w:lineRule="auto"/>
        <w:ind w:left="720" w:right="720"/>
        <w:jc w:val="both"/>
      </w:pPr>
      <w:r>
        <w:rPr>
          <w:i/>
          <w:iCs/>
        </w:rPr>
        <w:t xml:space="preserve">"Quais são as camadas da retina, </w:t>
      </w:r>
      <w:proofErr w:type="spellStart"/>
      <w:r>
        <w:rPr>
          <w:i/>
          <w:iCs/>
        </w:rPr>
        <w:t>da</w:t>
      </w:r>
      <w:proofErr w:type="spellEnd"/>
      <w:r>
        <w:rPr>
          <w:i/>
          <w:iCs/>
        </w:rPr>
        <w:t xml:space="preserve"> mais interna para a mais externa?"</w:t>
      </w:r>
    </w:p>
    <w:p w14:paraId="36AF21A7" w14:textId="77777777" w:rsidR="00066325" w:rsidRDefault="00000000">
      <w:pPr>
        <w:spacing w:before="40" w:after="120"/>
      </w:pPr>
      <w:r>
        <w:rPr>
          <w:color w:val="888888"/>
        </w:rPr>
        <w:t>O que avalia: memorização de lista.</w:t>
      </w:r>
    </w:p>
    <w:p w14:paraId="77AAE3B9" w14:textId="77777777" w:rsidR="00066325" w:rsidRDefault="00000000">
      <w:pPr>
        <w:spacing w:before="100" w:after="60"/>
      </w:pPr>
      <w:r>
        <w:rPr>
          <w:b/>
          <w:bCs/>
        </w:rPr>
        <w:t>Questão RFF (modelo VELCRO):</w:t>
      </w:r>
    </w:p>
    <w:p w14:paraId="71EF2B29" w14:textId="77777777" w:rsidR="00066325" w:rsidRDefault="00000000">
      <w:pPr>
        <w:spacing w:before="120" w:after="120" w:line="300" w:lineRule="auto"/>
        <w:ind w:left="720" w:right="720"/>
        <w:jc w:val="both"/>
      </w:pPr>
      <w:r>
        <w:rPr>
          <w:i/>
          <w:iCs/>
        </w:rPr>
        <w:t xml:space="preserve">"Um paciente de 65 anos relata perda progressiva da visão noturna há 2 anos, seguida por redução do campo visual periférico. A acuidade visual central está preservada. A eletrorretinografia mostra resposta reduzida de bastonetes. A </w:t>
      </w:r>
      <w:proofErr w:type="spellStart"/>
      <w:r>
        <w:rPr>
          <w:i/>
          <w:iCs/>
        </w:rPr>
        <w:t>retinografia</w:t>
      </w:r>
      <w:proofErr w:type="spellEnd"/>
      <w:r>
        <w:rPr>
          <w:i/>
          <w:iCs/>
        </w:rPr>
        <w:t xml:space="preserve"> revela depósitos de pigmento na </w:t>
      </w:r>
      <w:r>
        <w:rPr>
          <w:i/>
          <w:iCs/>
        </w:rPr>
        <w:lastRenderedPageBreak/>
        <w:t>retina média periférica. Considerando o olho como uma arquitetura de cinco subsistemas funcionais: (1) Qual subsistema está prioritariamente comprometido? Justifique funcionalmente. (2) Que componente histológico provavelmente está em falência? (3) Que duas perguntas na história clínica diferenciariam essa condição de uma falha do sistema óptico? (4) Que exame complementar avaliaria a função do subsistema elétrico de forma mais específica?"</w:t>
      </w:r>
    </w:p>
    <w:p w14:paraId="7F57C6F1" w14:textId="77777777" w:rsidR="00066325" w:rsidRPr="00010041" w:rsidRDefault="00000000">
      <w:pPr>
        <w:spacing w:before="40" w:after="160"/>
        <w:rPr>
          <w:b/>
          <w:bCs/>
        </w:rPr>
      </w:pPr>
      <w:r w:rsidRPr="00010041">
        <w:rPr>
          <w:b/>
          <w:bCs/>
          <w:i/>
          <w:iCs/>
          <w:color w:val="555555"/>
        </w:rPr>
        <w:t>O que avalia: integração de anatomia, histologia, fisiologia, semiologia e raciocínio diagnóstico diferencial.</w:t>
      </w:r>
    </w:p>
    <w:p w14:paraId="6577FFEA" w14:textId="77777777" w:rsidR="00066325" w:rsidRDefault="00000000">
      <w:pPr>
        <w:spacing w:before="80" w:after="120" w:line="320" w:lineRule="auto"/>
        <w:jc w:val="both"/>
      </w:pPr>
      <w:r>
        <w:t>A diferença não é de dificuldade. É de natureza cognitiva. A segunda questão exige que o estudante habite o sistema — não que recite sua lista de partes.</w:t>
      </w:r>
    </w:p>
    <w:p w14:paraId="47A1914B" w14:textId="77777777" w:rsidR="00066325" w:rsidRDefault="00066325">
      <w:pPr>
        <w:spacing w:before="80" w:after="80"/>
      </w:pPr>
    </w:p>
    <w:p w14:paraId="1C4FC98F" w14:textId="77777777" w:rsidR="00066325" w:rsidRPr="00010041" w:rsidRDefault="00000000">
      <w:pPr>
        <w:pStyle w:val="Ttulo1"/>
        <w:rPr>
          <w:sz w:val="32"/>
          <w:szCs w:val="32"/>
        </w:rPr>
      </w:pPr>
      <w:r w:rsidRPr="00010041">
        <w:rPr>
          <w:sz w:val="32"/>
          <w:szCs w:val="32"/>
        </w:rPr>
        <w:t>6. O imperativo da inteligência artificial: o que as máquinas revelam sobre o ensino</w:t>
      </w:r>
    </w:p>
    <w:p w14:paraId="3BF42839" w14:textId="77777777" w:rsidR="00066325" w:rsidRDefault="00000000">
      <w:pPr>
        <w:spacing w:before="80" w:after="120" w:line="320" w:lineRule="auto"/>
        <w:jc w:val="both"/>
      </w:pPr>
      <w:r>
        <w:t>A emergência dos sistemas de inteligência artificial generativa, a partir de 2022, teve um efeito colateral inesperado: ela tornou visível o que sempre foi verdadeiro, mas nunca tão óbvio, sobre o modelo educacional dominante.</w:t>
      </w:r>
    </w:p>
    <w:p w14:paraId="20B7F22B" w14:textId="77777777" w:rsidR="00066325" w:rsidRDefault="00000000">
      <w:pPr>
        <w:spacing w:before="80" w:after="120" w:line="320" w:lineRule="auto"/>
        <w:jc w:val="both"/>
      </w:pPr>
      <w:r>
        <w:t>A IA faz com precisão superior ao da maioria dos graduandos formados no modelo tradicional exatamente aquilo que esse modelo mais valorizava: responde questões de múltipla escolha com alta acurácia, recupera fatos, nomes, estruturas e classificações em frações de segundo, gera textos descritivos sobre qualquer sistema biológico ou técnico, e identifica padrões em grandes volumes de dados.</w:t>
      </w:r>
    </w:p>
    <w:p w14:paraId="4BD21ED5" w14:textId="77777777" w:rsidR="00066325" w:rsidRDefault="00000000">
      <w:pPr>
        <w:spacing w:before="80" w:after="120" w:line="320" w:lineRule="auto"/>
        <w:jc w:val="both"/>
      </w:pPr>
      <w:r>
        <w:t>Isso não é uma ameaça à educação superior. É um diagnóstico. Se a inteligência artificial consegue fazer melhor e mais rápido o que um curso de graduação leva anos para ensinar, a pergunta não é como proteger o currículo dessa concorrência. A pergunta é: o que é que só um ser humano altamente formado pode fazer?</w:t>
      </w:r>
    </w:p>
    <w:p w14:paraId="56F5A898" w14:textId="77777777" w:rsidR="00066325" w:rsidRDefault="00000000">
      <w:pPr>
        <w:spacing w:before="80" w:after="120" w:line="320" w:lineRule="auto"/>
        <w:jc w:val="both"/>
      </w:pPr>
      <w:r>
        <w:t>A resposta, à luz da ciência cognitiva e da experiência clínica e técnica acumulada, é clara: raciocínio funcional integrado em sistemas complexos, sob incerteza e informação incompleta. Esse é o espaço que a IA ainda não ocupa. É também o espaço que o modelo VELCRO se propõe a ensinar.</w:t>
      </w:r>
    </w:p>
    <w:p w14:paraId="2951B98B" w14:textId="77777777" w:rsidR="00066325" w:rsidRDefault="00000000">
      <w:pPr>
        <w:spacing w:before="80" w:after="120" w:line="320" w:lineRule="auto"/>
        <w:jc w:val="both"/>
      </w:pPr>
      <w:r>
        <w:t xml:space="preserve">Os cursos que continuarem ensinando como se ensinava há trinta anos — baseados em memorização de estruturas, nomeação de partes e provas de reconhecimento — </w:t>
      </w:r>
      <w:proofErr w:type="gramStart"/>
      <w:r>
        <w:rPr>
          <w:i/>
          <w:iCs/>
        </w:rPr>
        <w:t>estarão treinando</w:t>
      </w:r>
      <w:proofErr w:type="gramEnd"/>
      <w:r>
        <w:rPr>
          <w:i/>
          <w:iCs/>
        </w:rPr>
        <w:t xml:space="preserve"> alunos para competir com máquinas em tarefas que as máquinas já fazem melhor.</w:t>
      </w:r>
      <w:r>
        <w:t xml:space="preserve"> Os cursos que adotarem o modelo VELCRO </w:t>
      </w:r>
      <w:proofErr w:type="gramStart"/>
      <w:r>
        <w:t>estarão formando</w:t>
      </w:r>
      <w:proofErr w:type="gramEnd"/>
      <w:r>
        <w:t xml:space="preserve"> profissionais para fazer o que a IA não consegue.</w:t>
      </w:r>
    </w:p>
    <w:p w14:paraId="3F47D9AB" w14:textId="77777777" w:rsidR="00066325" w:rsidRDefault="00000000">
      <w:pPr>
        <w:spacing w:before="80" w:after="120" w:line="320" w:lineRule="auto"/>
        <w:jc w:val="both"/>
      </w:pPr>
      <w:r>
        <w:t>Não se trata de uma vantagem competitiva. Trata-se de uma imposição da realidade.</w:t>
      </w:r>
    </w:p>
    <w:p w14:paraId="42765C99" w14:textId="77777777" w:rsidR="00066325" w:rsidRDefault="00066325">
      <w:pPr>
        <w:spacing w:before="80" w:after="80"/>
      </w:pPr>
    </w:p>
    <w:p w14:paraId="3A72AE00" w14:textId="77777777" w:rsidR="00010041" w:rsidRDefault="00010041">
      <w:pPr>
        <w:spacing w:before="80" w:after="80"/>
      </w:pPr>
    </w:p>
    <w:p w14:paraId="51CB2D80" w14:textId="77777777" w:rsidR="00066325" w:rsidRPr="00010041" w:rsidRDefault="00000000">
      <w:pPr>
        <w:pStyle w:val="Ttulo1"/>
        <w:rPr>
          <w:sz w:val="32"/>
          <w:szCs w:val="32"/>
        </w:rPr>
      </w:pPr>
      <w:r w:rsidRPr="00010041">
        <w:rPr>
          <w:sz w:val="32"/>
          <w:szCs w:val="32"/>
        </w:rPr>
        <w:t>7. Perfil do egresso: do profissional reativo ao profissional investigativo</w:t>
      </w:r>
    </w:p>
    <w:p w14:paraId="7A9D721F" w14:textId="77777777" w:rsidR="00066325" w:rsidRDefault="00000000">
      <w:pPr>
        <w:spacing w:before="80" w:after="120" w:line="320" w:lineRule="auto"/>
        <w:jc w:val="both"/>
      </w:pPr>
      <w:r>
        <w:t>O modelo VELCRO não é apenas uma reorganização de conteúdo. É uma proposta de mudança no perfil do egresso.</w:t>
      </w:r>
    </w:p>
    <w:p w14:paraId="052FFB50" w14:textId="77777777" w:rsidR="00066325" w:rsidRDefault="00000000">
      <w:pPr>
        <w:spacing w:before="80" w:after="120" w:line="320" w:lineRule="auto"/>
        <w:jc w:val="both"/>
      </w:pPr>
      <w:r>
        <w:t>O ensino tradicional, mesmo quando bem executado, tende a formar um profissional reativo: aquele que responde a estímulos padronizados com repertórios memorizados. Diante de um problema previsto, esse profissional performa bem. Diante de um problema novo, uma combinação incomum de sinais, uma falha atípica, um contexto não ensinado, ele pode paralisar.</w:t>
      </w:r>
    </w:p>
    <w:p w14:paraId="1CC8DCD8" w14:textId="77777777" w:rsidR="00066325" w:rsidRDefault="00000000">
      <w:pPr>
        <w:spacing w:before="80" w:after="120" w:line="320" w:lineRule="auto"/>
        <w:jc w:val="both"/>
      </w:pPr>
      <w:r>
        <w:t xml:space="preserve">O modelo </w:t>
      </w:r>
      <w:proofErr w:type="spellStart"/>
      <w:r>
        <w:t>Blueprint</w:t>
      </w:r>
      <w:proofErr w:type="spellEnd"/>
      <w:r>
        <w:t xml:space="preserve"> + RFF + Engenharia Reversa forma um profissional investigativo, que:</w:t>
      </w:r>
    </w:p>
    <w:p w14:paraId="60CD0775" w14:textId="77777777" w:rsidR="00066325" w:rsidRDefault="00000000">
      <w:pPr>
        <w:pStyle w:val="PargrafodaLista"/>
        <w:numPr>
          <w:ilvl w:val="0"/>
          <w:numId w:val="2"/>
        </w:numPr>
        <w:spacing w:before="60" w:after="60" w:line="300" w:lineRule="auto"/>
      </w:pPr>
      <w:r>
        <w:t>identifica padrões funcionais por trás de fenômenos observáveis;</w:t>
      </w:r>
    </w:p>
    <w:p w14:paraId="34A40E2A" w14:textId="77777777" w:rsidR="00066325" w:rsidRDefault="00000000">
      <w:pPr>
        <w:pStyle w:val="PargrafodaLista"/>
        <w:numPr>
          <w:ilvl w:val="0"/>
          <w:numId w:val="2"/>
        </w:numPr>
        <w:spacing w:before="60" w:after="60" w:line="300" w:lineRule="auto"/>
      </w:pPr>
      <w:r>
        <w:t xml:space="preserve">gera hipóteses sobre falhas e compensações com base no </w:t>
      </w:r>
      <w:proofErr w:type="spellStart"/>
      <w:r>
        <w:t>blueprint</w:t>
      </w:r>
      <w:proofErr w:type="spellEnd"/>
      <w:r>
        <w:t xml:space="preserve"> interiorizado;</w:t>
      </w:r>
    </w:p>
    <w:p w14:paraId="14C02200" w14:textId="77777777" w:rsidR="00066325" w:rsidRDefault="00000000">
      <w:pPr>
        <w:pStyle w:val="PargrafodaLista"/>
        <w:numPr>
          <w:ilvl w:val="0"/>
          <w:numId w:val="2"/>
        </w:numPr>
        <w:spacing w:before="60" w:after="60" w:line="300" w:lineRule="auto"/>
      </w:pPr>
      <w:r>
        <w:t>testa inferências com os dados disponíveis, mesmo quando incompletos;</w:t>
      </w:r>
    </w:p>
    <w:p w14:paraId="29E50B14" w14:textId="77777777" w:rsidR="00066325" w:rsidRDefault="00000000">
      <w:pPr>
        <w:pStyle w:val="PargrafodaLista"/>
        <w:numPr>
          <w:ilvl w:val="0"/>
          <w:numId w:val="2"/>
        </w:numPr>
        <w:spacing w:before="60" w:after="60" w:line="300" w:lineRule="auto"/>
      </w:pPr>
      <w:r>
        <w:t xml:space="preserve">comunica raciocínios de forma estruturada, transparente e </w:t>
      </w:r>
      <w:proofErr w:type="spellStart"/>
      <w:r>
        <w:t>revisável</w:t>
      </w:r>
      <w:proofErr w:type="spellEnd"/>
      <w:r>
        <w:t>.</w:t>
      </w:r>
    </w:p>
    <w:p w14:paraId="52E6D721" w14:textId="77777777" w:rsidR="00066325" w:rsidRDefault="00066325">
      <w:pPr>
        <w:spacing w:before="80" w:after="80"/>
      </w:pPr>
    </w:p>
    <w:p w14:paraId="7CD7F729" w14:textId="77777777" w:rsidR="00066325" w:rsidRDefault="00000000">
      <w:pPr>
        <w:spacing w:before="80" w:after="120" w:line="320" w:lineRule="auto"/>
        <w:jc w:val="both"/>
      </w:pPr>
      <w:r>
        <w:t>Esse perfil não é uma aspiração abstrata. É uma consequência lógica de um método de ensino que, desde o início, coloca o estudante diante de sistemas complexos com a pergunta: o que está falhando aqui, e como você sabe?</w:t>
      </w:r>
    </w:p>
    <w:p w14:paraId="0431C880" w14:textId="77777777" w:rsidR="00066325" w:rsidRDefault="00000000">
      <w:pPr>
        <w:spacing w:before="80" w:after="120" w:line="320" w:lineRule="auto"/>
        <w:jc w:val="both"/>
      </w:pPr>
      <w:r>
        <w:t>A mudança de perfil tem implicações diretas sobre a qualidade da formação, a empregabilidade e, talvez mais importante, a capacidade de adaptação a cenários que nenhum currículo poderia prever.</w:t>
      </w:r>
    </w:p>
    <w:p w14:paraId="04E5797F" w14:textId="77777777" w:rsidR="00066325" w:rsidRDefault="00066325">
      <w:pPr>
        <w:spacing w:before="80" w:after="80"/>
      </w:pPr>
    </w:p>
    <w:p w14:paraId="33FC7CE8" w14:textId="77777777" w:rsidR="00010041" w:rsidRDefault="00010041">
      <w:pPr>
        <w:spacing w:before="80" w:after="80"/>
      </w:pPr>
    </w:p>
    <w:p w14:paraId="7272A9F1" w14:textId="77777777" w:rsidR="00066325" w:rsidRPr="00010041" w:rsidRDefault="00000000">
      <w:pPr>
        <w:pStyle w:val="Ttulo1"/>
        <w:rPr>
          <w:sz w:val="32"/>
          <w:szCs w:val="32"/>
        </w:rPr>
      </w:pPr>
      <w:r w:rsidRPr="00010041">
        <w:rPr>
          <w:sz w:val="32"/>
          <w:szCs w:val="32"/>
        </w:rPr>
        <w:t>8. Aplicabilidade geral: para além da medicina</w:t>
      </w:r>
    </w:p>
    <w:p w14:paraId="33EE7438" w14:textId="77777777" w:rsidR="00066325" w:rsidRDefault="00000000">
      <w:pPr>
        <w:spacing w:before="80" w:after="120" w:line="320" w:lineRule="auto"/>
        <w:jc w:val="both"/>
      </w:pPr>
      <w:r>
        <w:t>O modelo VELCRO foi desenvolvido a partir do ensino de sistemas complexos na área da saúde, mas sua arquitetura conceitual não é específica dessa área. Ela é aplicável a qualquer campo que envolva sistemas com múltiplos componentes interativos, relação entre estrutura e função, e necessidade de raciocínio diagnóstico ou investigativo.</w:t>
      </w:r>
    </w:p>
    <w:p w14:paraId="5DED50F3" w14:textId="77777777" w:rsidR="00066325" w:rsidRDefault="00000000">
      <w:pPr>
        <w:spacing w:before="80" w:after="120" w:line="320" w:lineRule="auto"/>
        <w:jc w:val="both"/>
      </w:pPr>
      <w:r>
        <w:lastRenderedPageBreak/>
        <w:t xml:space="preserve">O princípio unificador é simples: todo sistema complexo pode ser ensinado como uma arquitetura de funções, desde que se disponha de um </w:t>
      </w:r>
      <w:proofErr w:type="spellStart"/>
      <w:r>
        <w:t>blueprint</w:t>
      </w:r>
      <w:proofErr w:type="spellEnd"/>
      <w:r>
        <w:t xml:space="preserve"> que organize o conhecimento, um método que organize o raciocínio (RFF) e uma prática que organize a investigação (engenharia reversa).</w:t>
      </w:r>
    </w:p>
    <w:p w14:paraId="7447547D" w14:textId="77777777" w:rsidR="00066325" w:rsidRDefault="00066325">
      <w:pPr>
        <w:spacing w:before="80" w:after="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2747"/>
        <w:gridCol w:w="4411"/>
      </w:tblGrid>
      <w:tr w:rsidR="00066325" w14:paraId="33958B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8133EC" w14:textId="77777777" w:rsidR="00066325" w:rsidRDefault="00000000">
            <w:pPr>
              <w:spacing w:before="60" w:after="60"/>
            </w:pPr>
            <w:r>
              <w:rPr>
                <w:b/>
                <w:bCs/>
                <w:color w:val="FFFFFF"/>
                <w:sz w:val="20"/>
                <w:szCs w:val="20"/>
              </w:rPr>
              <w:t>Domínio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B1CFF5" w14:textId="77777777" w:rsidR="00066325" w:rsidRDefault="00000000">
            <w:pPr>
              <w:spacing w:before="60" w:after="60"/>
            </w:pPr>
            <w:r>
              <w:rPr>
                <w:b/>
                <w:bCs/>
                <w:color w:val="FFFFFF"/>
                <w:sz w:val="20"/>
                <w:szCs w:val="20"/>
              </w:rPr>
              <w:t>Sistema complexo exemplo</w:t>
            </w:r>
          </w:p>
        </w:tc>
        <w:tc>
          <w:tcPr>
            <w:tcW w:w="0" w:type="auto"/>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83C126" w14:textId="77777777" w:rsidR="00066325" w:rsidRDefault="00000000">
            <w:pPr>
              <w:spacing w:before="60" w:after="60"/>
            </w:pPr>
            <w:r>
              <w:rPr>
                <w:b/>
                <w:bCs/>
                <w:color w:val="FFFFFF"/>
                <w:sz w:val="20"/>
                <w:szCs w:val="20"/>
              </w:rPr>
              <w:t>Modo de falha paradigmático</w:t>
            </w:r>
          </w:p>
        </w:tc>
      </w:tr>
      <w:tr w:rsidR="00066325" w14:paraId="5B997B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B20E568" w14:textId="77777777" w:rsidR="00066325" w:rsidRDefault="00000000">
            <w:pPr>
              <w:spacing w:before="60" w:after="60" w:line="280" w:lineRule="auto"/>
            </w:pPr>
            <w:r>
              <w:rPr>
                <w:sz w:val="20"/>
                <w:szCs w:val="20"/>
              </w:rPr>
              <w:t>Engenharia mecânica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8786" w14:textId="77777777" w:rsidR="00066325" w:rsidRDefault="00000000">
            <w:pPr>
              <w:spacing w:before="60" w:after="60" w:line="280" w:lineRule="auto"/>
            </w:pPr>
            <w:r>
              <w:rPr>
                <w:sz w:val="20"/>
                <w:szCs w:val="20"/>
              </w:rPr>
              <w:t>Motor de combustão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4D0C3" w14:textId="77777777" w:rsidR="00066325" w:rsidRDefault="00000000">
            <w:pPr>
              <w:spacing w:before="60" w:after="60" w:line="280" w:lineRule="auto"/>
            </w:pPr>
            <w:r>
              <w:rPr>
                <w:sz w:val="20"/>
                <w:szCs w:val="20"/>
              </w:rPr>
              <w:t>Diagnóstico de falha por vibração ou temperatura</w:t>
            </w:r>
          </w:p>
        </w:tc>
      </w:tr>
      <w:tr w:rsidR="00066325" w14:paraId="1E1C74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A2C8" w14:textId="77777777" w:rsidR="00066325" w:rsidRDefault="00000000">
            <w:pPr>
              <w:spacing w:before="60" w:after="60" w:line="280" w:lineRule="auto"/>
            </w:pPr>
            <w:r>
              <w:rPr>
                <w:sz w:val="20"/>
                <w:szCs w:val="20"/>
              </w:rPr>
              <w:t>Ciências da computação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94E4" w14:textId="77777777" w:rsidR="00066325" w:rsidRDefault="00000000">
            <w:pPr>
              <w:spacing w:before="60" w:after="60" w:line="280" w:lineRule="auto"/>
            </w:pPr>
            <w:r>
              <w:rPr>
                <w:sz w:val="20"/>
                <w:szCs w:val="20"/>
              </w:rPr>
              <w:t>Arquitetura de microsserviços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EDE8C" w14:textId="77777777" w:rsidR="00066325" w:rsidRDefault="00000000">
            <w:pPr>
              <w:spacing w:before="60" w:after="60" w:line="280" w:lineRule="auto"/>
            </w:pPr>
            <w:r>
              <w:rPr>
                <w:sz w:val="20"/>
                <w:szCs w:val="20"/>
              </w:rPr>
              <w:t>Latência, inconsistência de dados, falhas em cascata</w:t>
            </w:r>
          </w:p>
        </w:tc>
      </w:tr>
      <w:tr w:rsidR="00066325" w14:paraId="54E79F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9C2236" w14:textId="77777777" w:rsidR="00066325" w:rsidRDefault="00000000">
            <w:pPr>
              <w:spacing w:before="60" w:after="60" w:line="280" w:lineRule="auto"/>
            </w:pPr>
            <w:r>
              <w:rPr>
                <w:sz w:val="20"/>
                <w:szCs w:val="20"/>
              </w:rPr>
              <w:t>Administração e gestão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3A26" w14:textId="77777777" w:rsidR="00066325" w:rsidRDefault="00000000">
            <w:pPr>
              <w:spacing w:before="60" w:after="60" w:line="280" w:lineRule="auto"/>
            </w:pPr>
            <w:r>
              <w:rPr>
                <w:sz w:val="20"/>
                <w:szCs w:val="20"/>
              </w:rPr>
              <w:t>Cadeia de suprimentos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970E" w14:textId="77777777" w:rsidR="00066325" w:rsidRDefault="00000000">
            <w:pPr>
              <w:spacing w:before="60" w:after="60" w:line="280" w:lineRule="auto"/>
            </w:pPr>
            <w:r>
              <w:rPr>
                <w:sz w:val="20"/>
                <w:szCs w:val="20"/>
              </w:rPr>
              <w:t>Ruptura de estoque, ineficiência logística, gargalos</w:t>
            </w:r>
          </w:p>
        </w:tc>
      </w:tr>
      <w:tr w:rsidR="00066325" w14:paraId="426A12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1BE0C" w14:textId="77777777" w:rsidR="00066325" w:rsidRDefault="00000000">
            <w:pPr>
              <w:spacing w:before="60" w:after="60" w:line="280" w:lineRule="auto"/>
            </w:pPr>
            <w:r>
              <w:rPr>
                <w:sz w:val="20"/>
                <w:szCs w:val="20"/>
              </w:rPr>
              <w:t>Psicologia / neurociências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4A5FA" w14:textId="77777777" w:rsidR="00066325" w:rsidRDefault="00000000">
            <w:pPr>
              <w:spacing w:before="60" w:after="60" w:line="280" w:lineRule="auto"/>
            </w:pPr>
            <w:r>
              <w:rPr>
                <w:sz w:val="20"/>
                <w:szCs w:val="20"/>
              </w:rPr>
              <w:t>Circuito atenção-regulação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5CF0" w14:textId="77777777" w:rsidR="00066325" w:rsidRDefault="00000000">
            <w:pPr>
              <w:spacing w:before="60" w:after="60" w:line="280" w:lineRule="auto"/>
            </w:pPr>
            <w:r>
              <w:rPr>
                <w:sz w:val="20"/>
                <w:szCs w:val="20"/>
              </w:rPr>
              <w:t>Desregulação executiva, falha inibitória, déficit de foco</w:t>
            </w:r>
          </w:p>
        </w:tc>
      </w:tr>
      <w:tr w:rsidR="00066325" w14:paraId="5D85FC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676FC3" w14:textId="77777777" w:rsidR="00066325" w:rsidRDefault="00000000">
            <w:pPr>
              <w:spacing w:before="60" w:after="60" w:line="280" w:lineRule="auto"/>
            </w:pPr>
            <w:r>
              <w:rPr>
                <w:sz w:val="20"/>
                <w:szCs w:val="20"/>
              </w:rPr>
              <w:t>Engenharia elétrica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95B5" w14:textId="77777777" w:rsidR="00066325" w:rsidRDefault="00000000">
            <w:pPr>
              <w:spacing w:before="60" w:after="60" w:line="280" w:lineRule="auto"/>
            </w:pPr>
            <w:r>
              <w:rPr>
                <w:sz w:val="20"/>
                <w:szCs w:val="20"/>
              </w:rPr>
              <w:t>Rede de distribuição elétrica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22FD" w14:textId="77777777" w:rsidR="00066325" w:rsidRDefault="00000000">
            <w:pPr>
              <w:spacing w:before="60" w:after="60" w:line="280" w:lineRule="auto"/>
            </w:pPr>
            <w:r>
              <w:rPr>
                <w:sz w:val="20"/>
                <w:szCs w:val="20"/>
              </w:rPr>
              <w:t xml:space="preserve">Sobrecarga, falha de proteção, </w:t>
            </w:r>
            <w:proofErr w:type="spellStart"/>
            <w:r>
              <w:rPr>
                <w:sz w:val="20"/>
                <w:szCs w:val="20"/>
              </w:rPr>
              <w:t>black-out</w:t>
            </w:r>
            <w:proofErr w:type="spellEnd"/>
            <w:r>
              <w:rPr>
                <w:sz w:val="20"/>
                <w:szCs w:val="20"/>
              </w:rPr>
              <w:t xml:space="preserve"> localizado</w:t>
            </w:r>
          </w:p>
        </w:tc>
      </w:tr>
    </w:tbl>
    <w:p w14:paraId="7833D9D7" w14:textId="77777777" w:rsidR="00066325" w:rsidRDefault="00066325">
      <w:pPr>
        <w:spacing w:before="80" w:after="80"/>
      </w:pPr>
    </w:p>
    <w:p w14:paraId="7839012B" w14:textId="77777777" w:rsidR="00066325" w:rsidRDefault="00000000">
      <w:pPr>
        <w:spacing w:before="80" w:after="120" w:line="320" w:lineRule="auto"/>
        <w:jc w:val="both"/>
      </w:pPr>
      <w:r>
        <w:t xml:space="preserve">Em todos esses casos, a lógica pedagógica é idêntica: primeiro, o </w:t>
      </w:r>
      <w:proofErr w:type="spellStart"/>
      <w:r>
        <w:t>blueprint</w:t>
      </w:r>
      <w:proofErr w:type="spellEnd"/>
      <w:r>
        <w:t xml:space="preserve"> do sistema; depois, o raciocínio sobre suas falhas; por fim, a investigação reversa a partir de um fenômeno observado. O conteúdo muda. A estrutura do pensamento permanece.</w:t>
      </w:r>
    </w:p>
    <w:p w14:paraId="3DEEB666" w14:textId="77777777" w:rsidR="00066325" w:rsidRDefault="00066325">
      <w:pPr>
        <w:spacing w:before="80" w:after="80"/>
      </w:pPr>
    </w:p>
    <w:p w14:paraId="09D83090" w14:textId="77777777" w:rsidR="00066325" w:rsidRPr="00010041" w:rsidRDefault="00000000">
      <w:pPr>
        <w:pStyle w:val="Ttulo1"/>
        <w:rPr>
          <w:sz w:val="32"/>
          <w:szCs w:val="32"/>
        </w:rPr>
      </w:pPr>
      <w:r w:rsidRPr="00010041">
        <w:rPr>
          <w:sz w:val="32"/>
          <w:szCs w:val="32"/>
        </w:rPr>
        <w:t>9. Proposta de implementação piloto</w:t>
      </w:r>
    </w:p>
    <w:p w14:paraId="45CBBF0E" w14:textId="77777777" w:rsidR="00066325" w:rsidRDefault="00000000">
      <w:pPr>
        <w:spacing w:before="80" w:after="120" w:line="320" w:lineRule="auto"/>
        <w:jc w:val="both"/>
      </w:pPr>
      <w:r>
        <w:t>A implementação do modelo não exige ruptura curricular imediata. Ela pode começar em escala reduzida, com avaliação sistemática, e expandir-se a partir de evidências internas.</w:t>
      </w:r>
    </w:p>
    <w:p w14:paraId="346D6583" w14:textId="77777777" w:rsidR="00066325" w:rsidRDefault="00000000">
      <w:pPr>
        <w:spacing w:before="80" w:after="120" w:line="320" w:lineRule="auto"/>
        <w:jc w:val="both"/>
      </w:pPr>
      <w:r>
        <w:t>O percurso recomendado segue seis fases:</w:t>
      </w:r>
    </w:p>
    <w:p w14:paraId="63DC1BDE" w14:textId="77777777" w:rsidR="00066325" w:rsidRDefault="00000000">
      <w:pPr>
        <w:pStyle w:val="PargrafodaLista"/>
        <w:numPr>
          <w:ilvl w:val="0"/>
          <w:numId w:val="2"/>
        </w:numPr>
        <w:spacing w:before="60" w:after="60" w:line="300" w:lineRule="auto"/>
      </w:pPr>
      <w:r>
        <w:t>Fase 0 — Adesão institucional: apresentação da proposta ao colegiado do curso e identificação de três a cinco docentes interessados em participar do piloto.</w:t>
      </w:r>
    </w:p>
    <w:p w14:paraId="0E260638" w14:textId="77777777" w:rsidR="00066325" w:rsidRDefault="00000000">
      <w:pPr>
        <w:pStyle w:val="PargrafodaLista"/>
        <w:numPr>
          <w:ilvl w:val="0"/>
          <w:numId w:val="2"/>
        </w:numPr>
        <w:spacing w:before="60" w:after="60" w:line="300" w:lineRule="auto"/>
      </w:pPr>
      <w:r>
        <w:t xml:space="preserve">Fase 1 — Preparação: seleção do módulo ou disciplina piloto; capacitação docente focada no conceito de </w:t>
      </w:r>
      <w:proofErr w:type="spellStart"/>
      <w:r>
        <w:t>blueprint</w:t>
      </w:r>
      <w:proofErr w:type="spellEnd"/>
      <w:r>
        <w:t xml:space="preserve"> funcional, construção de </w:t>
      </w:r>
      <w:proofErr w:type="spellStart"/>
      <w:r>
        <w:t>blueprints</w:t>
      </w:r>
      <w:proofErr w:type="spellEnd"/>
      <w:r>
        <w:t xml:space="preserve"> do sistema escolhido e formulação de questões RFF (carga de oito a doze horas).</w:t>
      </w:r>
    </w:p>
    <w:p w14:paraId="63C93B67" w14:textId="77777777" w:rsidR="00066325" w:rsidRDefault="00000000">
      <w:pPr>
        <w:pStyle w:val="PargrafodaLista"/>
        <w:numPr>
          <w:ilvl w:val="0"/>
          <w:numId w:val="2"/>
        </w:numPr>
        <w:spacing w:before="60" w:after="60" w:line="300" w:lineRule="auto"/>
      </w:pPr>
      <w:r>
        <w:lastRenderedPageBreak/>
        <w:t xml:space="preserve">Fase 2 — Design do </w:t>
      </w:r>
      <w:proofErr w:type="spellStart"/>
      <w:r>
        <w:t>Blueprint</w:t>
      </w:r>
      <w:proofErr w:type="spellEnd"/>
      <w:r>
        <w:t xml:space="preserve">: reuniões interdisciplinares para mapeamento do sistema em quatro a seis subsistemas funcionais, identificação das falhas típicas de cada subsistema e construção do diagrama de </w:t>
      </w:r>
      <w:proofErr w:type="spellStart"/>
      <w:r>
        <w:t>blueprint</w:t>
      </w:r>
      <w:proofErr w:type="spellEnd"/>
      <w:r>
        <w:t>.</w:t>
      </w:r>
    </w:p>
    <w:p w14:paraId="39F8CCF0" w14:textId="77777777" w:rsidR="00066325" w:rsidRDefault="00000000">
      <w:pPr>
        <w:pStyle w:val="PargrafodaLista"/>
        <w:numPr>
          <w:ilvl w:val="0"/>
          <w:numId w:val="2"/>
        </w:numPr>
        <w:spacing w:before="60" w:after="60" w:line="300" w:lineRule="auto"/>
      </w:pPr>
      <w:r>
        <w:t xml:space="preserve">Fase 3 — Produção de material: desenvolvimento de casos clínicos ou técnicos simulados baseados em falha funcional; banco de questões RFF; roteiros de aula alinhados ao </w:t>
      </w:r>
      <w:proofErr w:type="spellStart"/>
      <w:r>
        <w:t>blueprint</w:t>
      </w:r>
      <w:proofErr w:type="spellEnd"/>
      <w:r>
        <w:t>.</w:t>
      </w:r>
    </w:p>
    <w:p w14:paraId="18DAE9F5" w14:textId="77777777" w:rsidR="00066325" w:rsidRDefault="00000000">
      <w:pPr>
        <w:pStyle w:val="PargrafodaLista"/>
        <w:numPr>
          <w:ilvl w:val="0"/>
          <w:numId w:val="2"/>
        </w:numPr>
        <w:spacing w:before="60" w:after="60" w:line="300" w:lineRule="auto"/>
      </w:pPr>
      <w:r>
        <w:t>Fase 4 — Implementação: condução do módulo piloto com avaliações pré e pós-intervenção e grupo de comparação utilizando o método tradicional.</w:t>
      </w:r>
    </w:p>
    <w:p w14:paraId="214E1C85" w14:textId="77777777" w:rsidR="00066325" w:rsidRDefault="00000000">
      <w:pPr>
        <w:pStyle w:val="PargrafodaLista"/>
        <w:numPr>
          <w:ilvl w:val="0"/>
          <w:numId w:val="2"/>
        </w:numPr>
        <w:spacing w:before="60" w:after="60" w:line="300" w:lineRule="auto"/>
      </w:pPr>
      <w:r>
        <w:t>Fase 5 — Avaliação e escalonamento: comparação entre grupos com indicadores de raciocínio funcional, desempenho em questões RFF, satisfação discente e percepção docente de viabilidade; relatório com recomendação de expansão.</w:t>
      </w:r>
    </w:p>
    <w:p w14:paraId="4CA8DCDA" w14:textId="77777777" w:rsidR="00066325" w:rsidRDefault="00066325">
      <w:pPr>
        <w:spacing w:before="80" w:after="80"/>
      </w:pPr>
    </w:p>
    <w:p w14:paraId="052D7C6D" w14:textId="77777777" w:rsidR="00066325" w:rsidRDefault="00000000">
      <w:pPr>
        <w:spacing w:before="80" w:after="120" w:line="320" w:lineRule="auto"/>
        <w:jc w:val="both"/>
      </w:pPr>
      <w:r>
        <w:t>Os indicadores de sucesso mais relevantes são: ganho em raciocínio funcional (escala a ser desenvolvida especificamente para esse fim), desempenho em questões RFF versus questões tradicionais, e percepção dos estudantes sobre a integração entre disciplinas.</w:t>
      </w:r>
    </w:p>
    <w:p w14:paraId="3D0B2449" w14:textId="77777777" w:rsidR="00066325" w:rsidRDefault="00066325">
      <w:pPr>
        <w:spacing w:before="80" w:after="80"/>
      </w:pPr>
    </w:p>
    <w:p w14:paraId="6F7BD152" w14:textId="77777777" w:rsidR="00066325" w:rsidRPr="00010041" w:rsidRDefault="00000000">
      <w:pPr>
        <w:pStyle w:val="Ttulo1"/>
        <w:rPr>
          <w:sz w:val="32"/>
          <w:szCs w:val="32"/>
        </w:rPr>
      </w:pPr>
      <w:r w:rsidRPr="00010041">
        <w:rPr>
          <w:sz w:val="32"/>
          <w:szCs w:val="32"/>
        </w:rPr>
        <w:t>10. Conclusão</w:t>
      </w:r>
    </w:p>
    <w:p w14:paraId="7C1A1798" w14:textId="77777777" w:rsidR="00066325" w:rsidRDefault="00000000">
      <w:pPr>
        <w:spacing w:before="80" w:after="120" w:line="320" w:lineRule="auto"/>
        <w:jc w:val="both"/>
      </w:pPr>
      <w:r>
        <w:t>A crise de integração no ensino de graduação não é um problema técnico menor. É uma falha estrutural que compromete a qualidade da formação, o engajamento dos estudantes e a capacidade dos egressos de atuar com eficácia em ambientes que nenhum currículo consegue prever inteiramente.</w:t>
      </w:r>
    </w:p>
    <w:p w14:paraId="10081623" w14:textId="77777777" w:rsidR="00066325" w:rsidRDefault="00000000">
      <w:pPr>
        <w:spacing w:before="80" w:after="120" w:line="320" w:lineRule="auto"/>
        <w:jc w:val="both"/>
      </w:pPr>
      <w:r>
        <w:t>Essa crise tem uma causa identificável: a organização do conhecimento como inventário, não como arquitetura. E tem uma solução possível: o deslocamento do foco pedagógico da memorização de estruturas para a compreensão de funções e falhas.</w:t>
      </w:r>
    </w:p>
    <w:p w14:paraId="2145F031" w14:textId="77777777" w:rsidR="00066325" w:rsidRDefault="00000000">
      <w:pPr>
        <w:spacing w:before="80" w:after="120" w:line="320" w:lineRule="auto"/>
        <w:jc w:val="both"/>
      </w:pPr>
      <w:r>
        <w:t xml:space="preserve">O modelo VELCRO — </w:t>
      </w:r>
      <w:proofErr w:type="spellStart"/>
      <w:r>
        <w:t>Blueprint</w:t>
      </w:r>
      <w:proofErr w:type="spellEnd"/>
      <w:r>
        <w:t xml:space="preserve"> Funcional, Raciocínio por Falha Funcional e Engenharia Reversa — oferece uma resposta coerente a esse deslocamento. Sua fundamentação na ciência cognitiva e na educação baseada em competências é sólida. Sua aplicabilidade, comprovável em múltiplos domínios. Seu custo de implementação, proporcional ao retorno esperado.</w:t>
      </w:r>
    </w:p>
    <w:p w14:paraId="131C597A" w14:textId="77777777" w:rsidR="00066325" w:rsidRDefault="00000000">
      <w:pPr>
        <w:spacing w:before="80" w:after="120" w:line="320" w:lineRule="auto"/>
        <w:jc w:val="both"/>
      </w:pPr>
      <w:r>
        <w:t>Mas há algo mais fundamental em jogo do que eficiência pedagógica. O modelo VELCRO parte de uma premissa que vai além da metodologia de ensino: a de que compreender um sistema é, essencialmente, compreender o que ele faz, para que existe e o que acontece quando falha. Essa não é apenas uma boa forma de ensinar. É uma boa forma de pensar.</w:t>
      </w:r>
    </w:p>
    <w:p w14:paraId="41A15059" w14:textId="77777777" w:rsidR="00066325" w:rsidRPr="00010041" w:rsidRDefault="00000000">
      <w:pPr>
        <w:spacing w:before="120" w:after="120" w:line="300" w:lineRule="auto"/>
        <w:ind w:left="720" w:right="720"/>
        <w:jc w:val="both"/>
        <w:rPr>
          <w:b/>
          <w:bCs/>
        </w:rPr>
      </w:pPr>
      <w:r w:rsidRPr="00010041">
        <w:rPr>
          <w:b/>
          <w:bCs/>
          <w:i/>
          <w:iCs/>
        </w:rPr>
        <w:t xml:space="preserve">A universidade que ousar inovar em método — não apenas em conteúdo ou infraestrutura — </w:t>
      </w:r>
      <w:proofErr w:type="gramStart"/>
      <w:r w:rsidRPr="00010041">
        <w:rPr>
          <w:b/>
          <w:bCs/>
          <w:i/>
          <w:iCs/>
        </w:rPr>
        <w:t>estará formando</w:t>
      </w:r>
      <w:proofErr w:type="gramEnd"/>
      <w:r w:rsidRPr="00010041">
        <w:rPr>
          <w:b/>
          <w:bCs/>
          <w:i/>
          <w:iCs/>
        </w:rPr>
        <w:t xml:space="preserve"> profissionais </w:t>
      </w:r>
      <w:r w:rsidRPr="00010041">
        <w:rPr>
          <w:b/>
          <w:bCs/>
          <w:i/>
          <w:iCs/>
        </w:rPr>
        <w:lastRenderedPageBreak/>
        <w:t>mais preparados para um mundo que não se organiza por disciplinas, mas por problemas, sistemas e funções.</w:t>
      </w:r>
    </w:p>
    <w:p w14:paraId="6494348E" w14:textId="77777777" w:rsidR="00066325" w:rsidRDefault="00066325">
      <w:pPr>
        <w:pBdr>
          <w:bottom w:val="single" w:sz="4" w:space="1" w:color="CCCCCC"/>
        </w:pBdr>
        <w:spacing w:before="200" w:after="200"/>
      </w:pPr>
    </w:p>
    <w:p w14:paraId="24B11DB4" w14:textId="77777777" w:rsidR="00066325" w:rsidRPr="00010041" w:rsidRDefault="00000000">
      <w:pPr>
        <w:pStyle w:val="Ttulo1"/>
        <w:rPr>
          <w:lang w:val="en-US"/>
        </w:rPr>
      </w:pPr>
      <w:proofErr w:type="spellStart"/>
      <w:r w:rsidRPr="00010041">
        <w:rPr>
          <w:lang w:val="en-US"/>
        </w:rPr>
        <w:t>Referências</w:t>
      </w:r>
      <w:proofErr w:type="spellEnd"/>
    </w:p>
    <w:p w14:paraId="39CD4E5E" w14:textId="77777777" w:rsidR="00066325" w:rsidRDefault="00000000">
      <w:pPr>
        <w:spacing w:before="60" w:after="60" w:line="280" w:lineRule="auto"/>
      </w:pPr>
      <w:r w:rsidRPr="00010041">
        <w:rPr>
          <w:sz w:val="20"/>
          <w:szCs w:val="20"/>
          <w:lang w:val="en-US"/>
        </w:rPr>
        <w:t xml:space="preserve">COOKE, M.; IRBY, D. M.; O’BRIEN, B. C. Educating Physicians: A Call for Reform of Medical School and Residency. </w:t>
      </w:r>
      <w:r>
        <w:rPr>
          <w:sz w:val="20"/>
          <w:szCs w:val="20"/>
        </w:rPr>
        <w:t xml:space="preserve">San Francisco: </w:t>
      </w:r>
      <w:proofErr w:type="spellStart"/>
      <w:r>
        <w:rPr>
          <w:sz w:val="20"/>
          <w:szCs w:val="20"/>
        </w:rPr>
        <w:t>Jossey</w:t>
      </w:r>
      <w:proofErr w:type="spellEnd"/>
      <w:r>
        <w:rPr>
          <w:sz w:val="20"/>
          <w:szCs w:val="20"/>
        </w:rPr>
        <w:t>-Bass, 2010.</w:t>
      </w:r>
    </w:p>
    <w:p w14:paraId="14444D09" w14:textId="77777777" w:rsidR="00066325" w:rsidRPr="00010041" w:rsidRDefault="00000000">
      <w:pPr>
        <w:spacing w:before="60" w:after="60" w:line="280" w:lineRule="auto"/>
        <w:rPr>
          <w:lang w:val="en-US"/>
        </w:rPr>
      </w:pPr>
      <w:r>
        <w:rPr>
          <w:sz w:val="20"/>
          <w:szCs w:val="20"/>
        </w:rPr>
        <w:t xml:space="preserve">CUNHA, M. I. Inovação pedagógica na universidade: sentidos e desafios. </w:t>
      </w:r>
      <w:r w:rsidRPr="00010041">
        <w:rPr>
          <w:sz w:val="20"/>
          <w:szCs w:val="20"/>
          <w:lang w:val="en-US"/>
        </w:rPr>
        <w:t xml:space="preserve">Campinas: </w:t>
      </w:r>
      <w:proofErr w:type="spellStart"/>
      <w:r w:rsidRPr="00010041">
        <w:rPr>
          <w:sz w:val="20"/>
          <w:szCs w:val="20"/>
          <w:lang w:val="en-US"/>
        </w:rPr>
        <w:t>Papirus</w:t>
      </w:r>
      <w:proofErr w:type="spellEnd"/>
      <w:r w:rsidRPr="00010041">
        <w:rPr>
          <w:sz w:val="20"/>
          <w:szCs w:val="20"/>
          <w:lang w:val="en-US"/>
        </w:rPr>
        <w:t>, 2018.</w:t>
      </w:r>
    </w:p>
    <w:p w14:paraId="1B4C006E" w14:textId="77777777" w:rsidR="00066325" w:rsidRPr="00010041" w:rsidRDefault="00000000">
      <w:pPr>
        <w:spacing w:before="60" w:after="60" w:line="280" w:lineRule="auto"/>
        <w:rPr>
          <w:lang w:val="en-US"/>
        </w:rPr>
      </w:pPr>
      <w:r w:rsidRPr="00010041">
        <w:rPr>
          <w:sz w:val="20"/>
          <w:szCs w:val="20"/>
          <w:lang w:val="en-US"/>
        </w:rPr>
        <w:t>CUSTERS, E. J. Long-term retention of basic science knowledge: a review study. Advances in Health Sciences Education, v. 15, n. 1, p. 109-128, 2010.</w:t>
      </w:r>
    </w:p>
    <w:p w14:paraId="4DB92B3D" w14:textId="77777777" w:rsidR="00066325" w:rsidRPr="00010041" w:rsidRDefault="00000000">
      <w:pPr>
        <w:spacing w:before="60" w:after="60" w:line="280" w:lineRule="auto"/>
        <w:rPr>
          <w:lang w:val="en-US"/>
        </w:rPr>
      </w:pPr>
      <w:r w:rsidRPr="00010041">
        <w:rPr>
          <w:sz w:val="20"/>
          <w:szCs w:val="20"/>
          <w:lang w:val="en-US"/>
        </w:rPr>
        <w:t>DAVIS, M. H. AMEE Guide no. 47: Outcome-based education. Medical Teacher, v. 33, n. 4, p. 263-271, 2011.</w:t>
      </w:r>
    </w:p>
    <w:p w14:paraId="53BCB49A" w14:textId="77777777" w:rsidR="00066325" w:rsidRPr="00010041" w:rsidRDefault="00000000">
      <w:pPr>
        <w:spacing w:before="60" w:after="60" w:line="280" w:lineRule="auto"/>
        <w:rPr>
          <w:lang w:val="en-US"/>
        </w:rPr>
      </w:pPr>
      <w:r w:rsidRPr="00010041">
        <w:rPr>
          <w:sz w:val="20"/>
          <w:szCs w:val="20"/>
          <w:lang w:val="en-US"/>
        </w:rPr>
        <w:t>HENNESSY, N. The Reading Comprehension Blueprint: Helping Students Make Meaning from Text. Baltimore: Paul H. Brookes Publishing, 2020.</w:t>
      </w:r>
    </w:p>
    <w:p w14:paraId="096951F0" w14:textId="77777777" w:rsidR="00066325" w:rsidRDefault="00000000">
      <w:pPr>
        <w:spacing w:before="60" w:after="60" w:line="280" w:lineRule="auto"/>
      </w:pPr>
      <w:r w:rsidRPr="00010041">
        <w:rPr>
          <w:sz w:val="20"/>
          <w:szCs w:val="20"/>
          <w:lang w:val="en-US"/>
        </w:rPr>
        <w:t xml:space="preserve">HMELO-SILVER, C. E.; DUNCAN, R. G.; CHINN, C. A. Scaffolding and achievement in problem-based and inquiry learning. </w:t>
      </w:r>
      <w:proofErr w:type="spellStart"/>
      <w:r>
        <w:rPr>
          <w:sz w:val="20"/>
          <w:szCs w:val="20"/>
        </w:rPr>
        <w:t>Educational</w:t>
      </w:r>
      <w:proofErr w:type="spellEnd"/>
      <w:r>
        <w:rPr>
          <w:sz w:val="20"/>
          <w:szCs w:val="20"/>
        </w:rPr>
        <w:t xml:space="preserve"> </w:t>
      </w:r>
      <w:proofErr w:type="spellStart"/>
      <w:r>
        <w:rPr>
          <w:sz w:val="20"/>
          <w:szCs w:val="20"/>
        </w:rPr>
        <w:t>Psychologist</w:t>
      </w:r>
      <w:proofErr w:type="spellEnd"/>
      <w:r>
        <w:rPr>
          <w:sz w:val="20"/>
          <w:szCs w:val="20"/>
        </w:rPr>
        <w:t>, v. 42, n. 2, p. 99-107, 2007.</w:t>
      </w:r>
    </w:p>
    <w:p w14:paraId="28791D6F" w14:textId="77777777" w:rsidR="00066325" w:rsidRPr="00010041" w:rsidRDefault="00000000">
      <w:pPr>
        <w:spacing w:before="60" w:after="60" w:line="280" w:lineRule="auto"/>
        <w:rPr>
          <w:lang w:val="en-US"/>
        </w:rPr>
      </w:pPr>
      <w:r>
        <w:rPr>
          <w:sz w:val="20"/>
          <w:szCs w:val="20"/>
        </w:rPr>
        <w:t xml:space="preserve">KAHNEMAN, D. Rápido e devagar: duas formas de pensar. </w:t>
      </w:r>
      <w:r w:rsidRPr="00010041">
        <w:rPr>
          <w:sz w:val="20"/>
          <w:szCs w:val="20"/>
          <w:lang w:val="en-US"/>
        </w:rPr>
        <w:t xml:space="preserve">Rio de Janeiro: </w:t>
      </w:r>
      <w:proofErr w:type="spellStart"/>
      <w:r w:rsidRPr="00010041">
        <w:rPr>
          <w:sz w:val="20"/>
          <w:szCs w:val="20"/>
          <w:lang w:val="en-US"/>
        </w:rPr>
        <w:t>Objetiva</w:t>
      </w:r>
      <w:proofErr w:type="spellEnd"/>
      <w:r w:rsidRPr="00010041">
        <w:rPr>
          <w:sz w:val="20"/>
          <w:szCs w:val="20"/>
          <w:lang w:val="en-US"/>
        </w:rPr>
        <w:t>, 2011.</w:t>
      </w:r>
    </w:p>
    <w:p w14:paraId="496AFC79" w14:textId="77777777" w:rsidR="00066325" w:rsidRPr="00010041" w:rsidRDefault="00000000">
      <w:pPr>
        <w:spacing w:before="60" w:after="60" w:line="280" w:lineRule="auto"/>
        <w:rPr>
          <w:lang w:val="en-US"/>
        </w:rPr>
      </w:pPr>
      <w:r w:rsidRPr="00010041">
        <w:rPr>
          <w:sz w:val="20"/>
          <w:szCs w:val="20"/>
          <w:lang w:val="en-US"/>
        </w:rPr>
        <w:t xml:space="preserve">KIRSCHNER, P. A.; SWELLER, J.; CLARK, R. E. Why </w:t>
      </w:r>
      <w:proofErr w:type="gramStart"/>
      <w:r w:rsidRPr="00010041">
        <w:rPr>
          <w:sz w:val="20"/>
          <w:szCs w:val="20"/>
          <w:lang w:val="en-US"/>
        </w:rPr>
        <w:t>minimal guidance during instruction does</w:t>
      </w:r>
      <w:proofErr w:type="gramEnd"/>
      <w:r w:rsidRPr="00010041">
        <w:rPr>
          <w:sz w:val="20"/>
          <w:szCs w:val="20"/>
          <w:lang w:val="en-US"/>
        </w:rPr>
        <w:t xml:space="preserve"> not work. Educational Psychologist, v. 41, n. 2, p. 75-86, 2006.</w:t>
      </w:r>
    </w:p>
    <w:p w14:paraId="28647CEF" w14:textId="77777777" w:rsidR="00066325" w:rsidRDefault="00000000">
      <w:pPr>
        <w:spacing w:before="60" w:after="60" w:line="280" w:lineRule="auto"/>
      </w:pPr>
      <w:r w:rsidRPr="00010041">
        <w:rPr>
          <w:sz w:val="20"/>
          <w:szCs w:val="20"/>
          <w:lang w:val="en-US"/>
        </w:rPr>
        <w:t xml:space="preserve">KLEIN, G. Sources of Power: How People Make Decisions. </w:t>
      </w:r>
      <w:r>
        <w:rPr>
          <w:sz w:val="20"/>
          <w:szCs w:val="20"/>
        </w:rPr>
        <w:t>Cambridge: MIT Press, 1998.</w:t>
      </w:r>
    </w:p>
    <w:p w14:paraId="3219A189" w14:textId="77777777" w:rsidR="00066325" w:rsidRPr="00010041" w:rsidRDefault="00000000">
      <w:pPr>
        <w:spacing w:before="60" w:after="60" w:line="280" w:lineRule="auto"/>
        <w:rPr>
          <w:lang w:val="en-US"/>
        </w:rPr>
      </w:pPr>
      <w:r>
        <w:rPr>
          <w:sz w:val="20"/>
          <w:szCs w:val="20"/>
        </w:rPr>
        <w:t xml:space="preserve">MAYER, R. E. Aprendizagem baseada em problemas. </w:t>
      </w:r>
      <w:r w:rsidRPr="00010041">
        <w:rPr>
          <w:sz w:val="20"/>
          <w:szCs w:val="20"/>
          <w:lang w:val="en-US"/>
        </w:rPr>
        <w:t xml:space="preserve">Porto Alegre: </w:t>
      </w:r>
      <w:proofErr w:type="spellStart"/>
      <w:r w:rsidRPr="00010041">
        <w:rPr>
          <w:sz w:val="20"/>
          <w:szCs w:val="20"/>
          <w:lang w:val="en-US"/>
        </w:rPr>
        <w:t>Artmed</w:t>
      </w:r>
      <w:proofErr w:type="spellEnd"/>
      <w:r w:rsidRPr="00010041">
        <w:rPr>
          <w:sz w:val="20"/>
          <w:szCs w:val="20"/>
          <w:lang w:val="en-US"/>
        </w:rPr>
        <w:t>, 2010.</w:t>
      </w:r>
    </w:p>
    <w:p w14:paraId="1C56CDE7" w14:textId="77777777" w:rsidR="00066325" w:rsidRPr="00010041" w:rsidRDefault="00000000">
      <w:pPr>
        <w:spacing w:before="60" w:after="60" w:line="280" w:lineRule="auto"/>
        <w:rPr>
          <w:lang w:val="en-US"/>
        </w:rPr>
      </w:pPr>
      <w:r w:rsidRPr="00010041">
        <w:rPr>
          <w:sz w:val="20"/>
          <w:szCs w:val="20"/>
          <w:lang w:val="en-US"/>
        </w:rPr>
        <w:t>NATIONAL ACADEMIES OF SCIENCES, ENGINEERING, AND MEDICINE. How People Learn II: Learners, Contexts, and Cultures. Washington: National Academies Press, 2018.</w:t>
      </w:r>
    </w:p>
    <w:p w14:paraId="4925D52F" w14:textId="77777777" w:rsidR="00066325" w:rsidRPr="00010041" w:rsidRDefault="00000000">
      <w:pPr>
        <w:spacing w:before="60" w:after="60" w:line="280" w:lineRule="auto"/>
        <w:rPr>
          <w:lang w:val="en-US"/>
        </w:rPr>
      </w:pPr>
      <w:r w:rsidRPr="00010041">
        <w:rPr>
          <w:sz w:val="20"/>
          <w:szCs w:val="20"/>
          <w:lang w:val="en-US"/>
        </w:rPr>
        <w:t>NORMAN, G. Teaching basic science to optimize transfer. Medical Teacher, v. 31, n. 9, p. 807-811, 2009.</w:t>
      </w:r>
    </w:p>
    <w:p w14:paraId="4B7043BD" w14:textId="77777777" w:rsidR="00066325" w:rsidRPr="00010041" w:rsidRDefault="00000000">
      <w:pPr>
        <w:spacing w:before="60" w:after="60" w:line="280" w:lineRule="auto"/>
        <w:rPr>
          <w:lang w:val="en-US"/>
        </w:rPr>
      </w:pPr>
      <w:r w:rsidRPr="00010041">
        <w:rPr>
          <w:sz w:val="20"/>
          <w:szCs w:val="20"/>
          <w:lang w:val="en-US"/>
        </w:rPr>
        <w:t>TIGHT, M. Student retention and engagement in higher education. Studies in Higher Education, v. 45, n. 3, p. 517-528, 2020.</w:t>
      </w:r>
    </w:p>
    <w:p w14:paraId="2CE3976E" w14:textId="77777777" w:rsidR="00066325" w:rsidRDefault="00000000">
      <w:pPr>
        <w:spacing w:before="60" w:after="60" w:line="280" w:lineRule="auto"/>
      </w:pPr>
      <w:r>
        <w:rPr>
          <w:sz w:val="20"/>
          <w:szCs w:val="20"/>
        </w:rPr>
        <w:t>WILLINGHAM, D. T. Por que os alunos não gostam da escola? Porto Alegre: Penso, 2021.</w:t>
      </w:r>
    </w:p>
    <w:sectPr w:rsidR="00066325">
      <w:pgSz w:w="11906" w:h="16838"/>
      <w:pgMar w:top="1800" w:right="1700" w:bottom="18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92B7C"/>
    <w:multiLevelType w:val="hybridMultilevel"/>
    <w:tmpl w:val="BEF8CA0E"/>
    <w:lvl w:ilvl="0" w:tplc="1FBE01C2">
      <w:start w:val="1"/>
      <w:numFmt w:val="decimal"/>
      <w:lvlText w:val="%1."/>
      <w:lvlJc w:val="left"/>
      <w:pPr>
        <w:ind w:left="720" w:hanging="360"/>
      </w:pPr>
    </w:lvl>
    <w:lvl w:ilvl="1" w:tplc="AB707EC8">
      <w:numFmt w:val="decimal"/>
      <w:lvlText w:val=""/>
      <w:lvlJc w:val="left"/>
    </w:lvl>
    <w:lvl w:ilvl="2" w:tplc="46081806">
      <w:numFmt w:val="decimal"/>
      <w:lvlText w:val=""/>
      <w:lvlJc w:val="left"/>
    </w:lvl>
    <w:lvl w:ilvl="3" w:tplc="F0BC0E46">
      <w:numFmt w:val="decimal"/>
      <w:lvlText w:val=""/>
      <w:lvlJc w:val="left"/>
    </w:lvl>
    <w:lvl w:ilvl="4" w:tplc="DCCE47C0">
      <w:numFmt w:val="decimal"/>
      <w:lvlText w:val=""/>
      <w:lvlJc w:val="left"/>
    </w:lvl>
    <w:lvl w:ilvl="5" w:tplc="12C2DAF6">
      <w:numFmt w:val="decimal"/>
      <w:lvlText w:val=""/>
      <w:lvlJc w:val="left"/>
    </w:lvl>
    <w:lvl w:ilvl="6" w:tplc="9DFAEFBE">
      <w:numFmt w:val="decimal"/>
      <w:lvlText w:val=""/>
      <w:lvlJc w:val="left"/>
    </w:lvl>
    <w:lvl w:ilvl="7" w:tplc="094270D8">
      <w:numFmt w:val="decimal"/>
      <w:lvlText w:val=""/>
      <w:lvlJc w:val="left"/>
    </w:lvl>
    <w:lvl w:ilvl="8" w:tplc="94E6DC78">
      <w:numFmt w:val="decimal"/>
      <w:lvlText w:val=""/>
      <w:lvlJc w:val="left"/>
    </w:lvl>
  </w:abstractNum>
  <w:abstractNum w:abstractNumId="1" w15:restartNumberingAfterBreak="0">
    <w:nsid w:val="5BFD3856"/>
    <w:multiLevelType w:val="hybridMultilevel"/>
    <w:tmpl w:val="F5962E6E"/>
    <w:lvl w:ilvl="0" w:tplc="833E7378">
      <w:start w:val="1"/>
      <w:numFmt w:val="bullet"/>
      <w:lvlText w:val="•"/>
      <w:lvlJc w:val="left"/>
      <w:pPr>
        <w:ind w:left="720" w:hanging="360"/>
      </w:pPr>
    </w:lvl>
    <w:lvl w:ilvl="1" w:tplc="36C2366C">
      <w:numFmt w:val="decimal"/>
      <w:lvlText w:val=""/>
      <w:lvlJc w:val="left"/>
    </w:lvl>
    <w:lvl w:ilvl="2" w:tplc="1746510E">
      <w:numFmt w:val="decimal"/>
      <w:lvlText w:val=""/>
      <w:lvlJc w:val="left"/>
    </w:lvl>
    <w:lvl w:ilvl="3" w:tplc="FF68D868">
      <w:numFmt w:val="decimal"/>
      <w:lvlText w:val=""/>
      <w:lvlJc w:val="left"/>
    </w:lvl>
    <w:lvl w:ilvl="4" w:tplc="928A23E8">
      <w:numFmt w:val="decimal"/>
      <w:lvlText w:val=""/>
      <w:lvlJc w:val="left"/>
    </w:lvl>
    <w:lvl w:ilvl="5" w:tplc="049C3CDA">
      <w:numFmt w:val="decimal"/>
      <w:lvlText w:val=""/>
      <w:lvlJc w:val="left"/>
    </w:lvl>
    <w:lvl w:ilvl="6" w:tplc="DA08F918">
      <w:numFmt w:val="decimal"/>
      <w:lvlText w:val=""/>
      <w:lvlJc w:val="left"/>
    </w:lvl>
    <w:lvl w:ilvl="7" w:tplc="B022BC48">
      <w:numFmt w:val="decimal"/>
      <w:lvlText w:val=""/>
      <w:lvlJc w:val="left"/>
    </w:lvl>
    <w:lvl w:ilvl="8" w:tplc="9F609E24">
      <w:numFmt w:val="decimal"/>
      <w:lvlText w:val=""/>
      <w:lvlJc w:val="left"/>
    </w:lvl>
  </w:abstractNum>
  <w:abstractNum w:abstractNumId="2" w15:restartNumberingAfterBreak="0">
    <w:nsid w:val="68416556"/>
    <w:multiLevelType w:val="hybridMultilevel"/>
    <w:tmpl w:val="D21623B2"/>
    <w:lvl w:ilvl="0" w:tplc="D56657E6">
      <w:start w:val="1"/>
      <w:numFmt w:val="bullet"/>
      <w:lvlText w:val="●"/>
      <w:lvlJc w:val="left"/>
      <w:pPr>
        <w:ind w:left="720" w:hanging="360"/>
      </w:pPr>
    </w:lvl>
    <w:lvl w:ilvl="1" w:tplc="671AE458">
      <w:start w:val="1"/>
      <w:numFmt w:val="bullet"/>
      <w:lvlText w:val="○"/>
      <w:lvlJc w:val="left"/>
      <w:pPr>
        <w:ind w:left="1440" w:hanging="360"/>
      </w:pPr>
    </w:lvl>
    <w:lvl w:ilvl="2" w:tplc="8A8C964A">
      <w:start w:val="1"/>
      <w:numFmt w:val="bullet"/>
      <w:lvlText w:val="■"/>
      <w:lvlJc w:val="left"/>
      <w:pPr>
        <w:ind w:left="2160" w:hanging="360"/>
      </w:pPr>
    </w:lvl>
    <w:lvl w:ilvl="3" w:tplc="20F6041A">
      <w:start w:val="1"/>
      <w:numFmt w:val="bullet"/>
      <w:lvlText w:val="●"/>
      <w:lvlJc w:val="left"/>
      <w:pPr>
        <w:ind w:left="2880" w:hanging="360"/>
      </w:pPr>
    </w:lvl>
    <w:lvl w:ilvl="4" w:tplc="D068A164">
      <w:start w:val="1"/>
      <w:numFmt w:val="bullet"/>
      <w:lvlText w:val="○"/>
      <w:lvlJc w:val="left"/>
      <w:pPr>
        <w:ind w:left="3600" w:hanging="360"/>
      </w:pPr>
    </w:lvl>
    <w:lvl w:ilvl="5" w:tplc="0C56BCDE">
      <w:start w:val="1"/>
      <w:numFmt w:val="bullet"/>
      <w:lvlText w:val="■"/>
      <w:lvlJc w:val="left"/>
      <w:pPr>
        <w:ind w:left="4320" w:hanging="360"/>
      </w:pPr>
    </w:lvl>
    <w:lvl w:ilvl="6" w:tplc="24286748">
      <w:start w:val="1"/>
      <w:numFmt w:val="bullet"/>
      <w:lvlText w:val="●"/>
      <w:lvlJc w:val="left"/>
      <w:pPr>
        <w:ind w:left="5040" w:hanging="360"/>
      </w:pPr>
    </w:lvl>
    <w:lvl w:ilvl="7" w:tplc="8BBC2890">
      <w:start w:val="1"/>
      <w:numFmt w:val="bullet"/>
      <w:lvlText w:val="●"/>
      <w:lvlJc w:val="left"/>
      <w:pPr>
        <w:ind w:left="5760" w:hanging="360"/>
      </w:pPr>
    </w:lvl>
    <w:lvl w:ilvl="8" w:tplc="69624E32">
      <w:start w:val="1"/>
      <w:numFmt w:val="bullet"/>
      <w:lvlText w:val="●"/>
      <w:lvlJc w:val="left"/>
      <w:pPr>
        <w:ind w:left="6480" w:hanging="360"/>
      </w:pPr>
    </w:lvl>
  </w:abstractNum>
  <w:num w:numId="1" w16cid:durableId="796602809">
    <w:abstractNumId w:val="2"/>
    <w:lvlOverride w:ilvl="0">
      <w:startOverride w:val="1"/>
    </w:lvlOverride>
  </w:num>
  <w:num w:numId="2" w16cid:durableId="1465001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25"/>
    <w:rsid w:val="00010041"/>
    <w:rsid w:val="00066325"/>
    <w:rsid w:val="00BD28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F259"/>
  <w15:docId w15:val="{7BD77A85-3AD8-4DBC-AD2D-0BE0EC38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2E4057"/>
      <w:sz w:val="30"/>
      <w:szCs w:val="30"/>
    </w:rPr>
  </w:style>
  <w:style w:type="paragraph" w:styleId="Ttulo2">
    <w:name w:val="heading 2"/>
    <w:uiPriority w:val="9"/>
    <w:unhideWhenUsed/>
    <w:qFormat/>
    <w:pPr>
      <w:spacing w:before="300" w:after="140"/>
      <w:outlineLvl w:val="1"/>
    </w:pPr>
    <w:rPr>
      <w:b/>
      <w:bCs/>
      <w:color w:val="1A1A2E"/>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3341</Words>
  <Characters>19417</Characters>
  <Application>Microsoft Office Word</Application>
  <DocSecurity>0</DocSecurity>
  <Lines>441</Lines>
  <Paragraphs>183</Paragraphs>
  <ScaleCrop>false</ScaleCrop>
  <Company/>
  <LinksUpToDate>false</LinksUpToDate>
  <CharactersWithSpaces>22575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Guimaraes</cp:lastModifiedBy>
  <cp:revision>2</cp:revision>
  <dcterms:created xsi:type="dcterms:W3CDTF">2026-04-24T14:36:00Z</dcterms:created>
  <dcterms:modified xsi:type="dcterms:W3CDTF">2026-04-24T15:00:00Z</dcterms:modified>
</cp:coreProperties>
</file>