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1e4c182e418f14e16a154a512b1a5d512373cf2"/>
    <w:p>
      <w:pPr>
        <w:pStyle w:val="Heading1"/>
      </w:pPr>
      <w:r>
        <w:t xml:space="preserve">Estudo de viabilidade para criação de um Curso Superior de Tecnologia noturno em Automação Industrial na UFU</w:t>
      </w:r>
    </w:p>
    <w:bookmarkStart w:id="25" w:name="síntese-executiva"/>
    <w:p>
      <w:pPr>
        <w:pStyle w:val="Heading2"/>
      </w:pPr>
      <w:r>
        <w:t xml:space="preserve">Síntese executiva</w:t>
      </w:r>
    </w:p>
    <w:p>
      <w:pPr>
        <w:pStyle w:val="FirstParagraph"/>
      </w:pPr>
      <w:r>
        <w:t xml:space="preserve">À luz das premissas institucionais explicitadas neste estudo — uso da infraestrutura já existente da Universidade Federal de Uberlândia</w:t>
      </w:r>
      <w:hyperlink r:id="rId21">
        <w:r>
          <w:rPr>
            <w:rStyle w:val="Hyperlink"/>
          </w:rPr>
          <w:t xml:space="preserve">[1]</w:t>
        </w:r>
      </w:hyperlink>
      <w:r>
        <w:t xml:space="preserve">, da Faculdade de Engenharia Elétrica</w:t>
      </w:r>
      <w:hyperlink r:id="rId22">
        <w:r>
          <w:rPr>
            <w:rStyle w:val="Hyperlink"/>
          </w:rPr>
          <w:t xml:space="preserve">[2]</w:t>
        </w:r>
      </w:hyperlink>
      <w:r>
        <w:t xml:space="preserve">, dos laboratórios já instalados e do corpo docente já consolidado da área de controle e automação — a criação de um Curso Superior de Tecnologia noturno em Automação Industrial na Uberlândia</w:t>
      </w:r>
      <w:hyperlink r:id="rId22">
        <w:r>
          <w:rPr>
            <w:rStyle w:val="Hyperlink"/>
          </w:rPr>
          <w:t xml:space="preserve">[3]</w:t>
        </w:r>
      </w:hyperlink>
      <w:r>
        <w:t xml:space="preserve"> </w:t>
      </w:r>
      <w:r>
        <w:t xml:space="preserve">apresenta</w:t>
      </w:r>
      <w:r>
        <w:t xml:space="preserve"> </w:t>
      </w:r>
      <w:r>
        <w:rPr>
          <w:b/>
          <w:bCs/>
        </w:rPr>
        <w:t xml:space="preserve">alta viabilidade acadêmica, regional, estratégica e institucional</w:t>
      </w:r>
      <w:r>
        <w:t xml:space="preserve">. A base dessa conclusão é a combinação de quatro evidências: existe capacidade instalada relevante na FEELT; o curso de Engenharia de Controle e Automação hoje é integral e, portanto, não atende plenamente o público trabalhador; o principal polo industrial do recorte regional concentra-se justamente em Uberlândia; e o levantamento de oferta identificou</w:t>
      </w:r>
      <w:r>
        <w:t xml:space="preserve"> </w:t>
      </w:r>
      <w:r>
        <w:rPr>
          <w:b/>
          <w:bCs/>
        </w:rPr>
        <w:t xml:space="preserve">lacuna local clara</w:t>
      </w:r>
      <w:r>
        <w:t xml:space="preserve"> </w:t>
      </w:r>
      <w:r>
        <w:t xml:space="preserve">para formação superior tecnológica federal, presencial e noturna em automação industrial.</w:t>
      </w:r>
      <w:r>
        <w:t xml:space="preserve"> </w:t>
      </w:r>
      <w:hyperlink r:id="rId22">
        <w:r>
          <w:rPr>
            <w:rStyle w:val="Hyperlink"/>
          </w:rPr>
          <w:t xml:space="preserve">[4]</w:t>
        </w:r>
      </w:hyperlink>
    </w:p>
    <w:p>
      <w:pPr>
        <w:pStyle w:val="BodyText"/>
      </w:pPr>
      <w:r>
        <w:t xml:space="preserve">A FEELT informa 1.373 estudantes, 6 cursos de graduação, 2 programas stricto sensu, 72 docentes e 16 laboratórios. No núcleo diretamente associado à proposta, o Departamento de Controle e Automação tem 10 membros; o LASEC declara atuação em automação industrial, redes industriais, sistemas embarcados, robótica, máquinas elétricas e acionamentos, com interação com empresas da região; e o grupo de pesquisa em Controle e Automação opera com infraestrutura laboratorial própria e agenda ligada inclusive à Indústria 4.0. Em outras palavras, a universidade</w:t>
      </w:r>
      <w:r>
        <w:t xml:space="preserve"> </w:t>
      </w:r>
      <w:r>
        <w:rPr>
          <w:b/>
          <w:bCs/>
        </w:rPr>
        <w:t xml:space="preserve">não começaria do zero</w:t>
      </w:r>
      <w:r>
        <w:t xml:space="preserve">: ela já possui densidade acadêmica, reputacional e técnica suficiente para ofertar uma formação tecnológica aplicada sem depender, neste estudo, de expansão física como condição principal de viabilidade.</w:t>
      </w:r>
      <w:r>
        <w:t xml:space="preserve"> </w:t>
      </w:r>
      <w:hyperlink r:id="rId22">
        <w:r>
          <w:rPr>
            <w:rStyle w:val="Hyperlink"/>
          </w:rPr>
          <w:t xml:space="preserve">[5]</w:t>
        </w:r>
      </w:hyperlink>
    </w:p>
    <w:p>
      <w:pPr>
        <w:pStyle w:val="BodyText"/>
      </w:pPr>
      <w:r>
        <w:t xml:space="preserve">No lado da demanda, a Regional Vale do Paranaíba da Federação das Indústrias do Estado de Minas Gerais</w:t>
      </w:r>
      <w:hyperlink r:id="rId23">
        <w:r>
          <w:rPr>
            <w:rStyle w:val="Hyperlink"/>
          </w:rPr>
          <w:t xml:space="preserve">[6]</w:t>
        </w:r>
      </w:hyperlink>
      <w:r>
        <w:t xml:space="preserve"> </w:t>
      </w:r>
      <w:r>
        <w:t xml:space="preserve">abrange 14 municípios, 988.493 habitantes, PIB regional de R$ 55,705 bilhões e valor adicionado industrial de R$ 13,416 bilhões; nesse recorte, Uberlândia responde por 78,8% do valor adicionado industrial regional. A mesma publicação aponta, para 2024, 2.173 empresas de transformação e 43.714 empregos na transformação, além de 82 empresas e 2.366 empregos em SIUP, configurando um núcleo regional amplo e tecnicamente aderente à automação industrial. Mesmo com oscilações setoriais, o saldo acumulado em 12 meses até fevereiro de 2026 foi positivo na indústria de transformação regional, com destaque para alimentos, bebidas, produtos de metal e máquinas e materiais elétricos.</w:t>
      </w:r>
      <w:r>
        <w:t xml:space="preserve"> </w:t>
      </w:r>
      <w:hyperlink r:id="rId23">
        <w:r>
          <w:rPr>
            <w:rStyle w:val="Hyperlink"/>
          </w:rPr>
          <w:t xml:space="preserve">[7]</w:t>
        </w:r>
      </w:hyperlink>
    </w:p>
    <w:p>
      <w:pPr>
        <w:pStyle w:val="BodyText"/>
      </w:pPr>
      <w:r>
        <w:t xml:space="preserve">O principal achado concorrencial é direto:</w:t>
      </w:r>
      <w:r>
        <w:t xml:space="preserve"> </w:t>
      </w:r>
      <w:r>
        <w:rPr>
          <w:b/>
          <w:bCs/>
        </w:rPr>
        <w:t xml:space="preserve">Uberlândia possui oferta local de engenharia e de cursos técnicos/curtos em automação e manutenção, mas não foi identificada oferta local de tecnólogo federal, presencial e noturno em Automação Industrial</w:t>
      </w:r>
      <w:r>
        <w:t xml:space="preserve">. A UFU oferta Engenharia de Controle e Automação em regime integral, com integralização em 10 períodos e 15 vagas no SISU; a opera bacharelados noturnos em Engenharia de Controle e Automação e Engenharia Elétrica; o Instituto Federal do Triângulo Mineiro</w:t>
      </w:r>
      <w:hyperlink r:id="rId23">
        <w:r>
          <w:rPr>
            <w:rStyle w:val="Hyperlink"/>
          </w:rPr>
          <w:t xml:space="preserve">[8]</w:t>
        </w:r>
      </w:hyperlink>
      <w:r>
        <w:t xml:space="preserve"> </w:t>
      </w:r>
      <w:r>
        <w:t xml:space="preserve">mantém Tecnologi</w:t>
      </w:r>
      <w:r>
        <w:softHyphen/>
      </w:r>
      <w:r>
        <w:t xml:space="preserve">a em Automação Industrial em Ituiutaba, mas fora de Uberlândia; e o Serviço Nacional de Aprendizagem Industrial</w:t>
      </w:r>
      <w:hyperlink r:id="rId22">
        <w:r>
          <w:rPr>
            <w:rStyle w:val="Hyperlink"/>
          </w:rPr>
          <w:t xml:space="preserve">[9]</w:t>
        </w:r>
      </w:hyperlink>
      <w:r>
        <w:t xml:space="preserve"> </w:t>
      </w:r>
      <w:r>
        <w:t xml:space="preserve">local atua fortemente em cursos técnicos e de aperfeiçoamento, não em graduação tecnológica pública federal em Uberlândia. Isso posiciona a UFU em um</w:t>
      </w:r>
      <w:r>
        <w:t xml:space="preserve"> </w:t>
      </w:r>
      <w:r>
        <w:rPr>
          <w:b/>
          <w:bCs/>
        </w:rPr>
        <w:t xml:space="preserve">espaço de mercado quase vazio no recorte local</w:t>
      </w:r>
      <w:r>
        <w:t xml:space="preserve">.</w:t>
      </w:r>
      <w:r>
        <w:t xml:space="preserve"> </w:t>
      </w:r>
      <w:hyperlink r:id="rId24">
        <w:r>
          <w:rPr>
            <w:rStyle w:val="Hyperlink"/>
          </w:rPr>
          <w:t xml:space="preserve">[10]</w:t>
        </w:r>
      </w:hyperlink>
    </w:p>
    <w:bookmarkEnd w:id="25"/>
    <w:bookmarkStart w:id="28" w:name="premissas-e-método"/>
    <w:p>
      <w:pPr>
        <w:pStyle w:val="Heading2"/>
      </w:pPr>
      <w:r>
        <w:t xml:space="preserve">Premissas e método</w:t>
      </w:r>
    </w:p>
    <w:p>
      <w:pPr>
        <w:pStyle w:val="FirstParagraph"/>
      </w:pPr>
      <w:r>
        <w:t xml:space="preserve">Este estudo foi construído para responder a uma pergunta de viabilidade institucional</w:t>
      </w:r>
      <w:r>
        <w:t xml:space="preserve"> </w:t>
      </w:r>
      <w:r>
        <w:rPr>
          <w:b/>
          <w:bCs/>
        </w:rPr>
        <w:t xml:space="preserve">sem</w:t>
      </w:r>
      <w:r>
        <w:t xml:space="preserve"> </w:t>
      </w:r>
      <w:r>
        <w:t xml:space="preserve">entrar em expansão predial, CAPEX/OPEX, compra de novos laboratórios ou detalhamento orçamentário. A hipótese de trabalho é a definida pela demanda do usuário: a UFU utilizaria a base acadêmica já existente da FEELT, seus laboratórios, o corpo docente vinculado à Engenharia de Controle e Automação e sua estrutura universitária já consolidada. Nessas condições, a pergunta central deixa de ser “é possível montar a infraestrutura?” e passa a ser “há mercado, demanda, utilidade pública e aderência estratégica suficientes para justificar a criação do curso?”.</w:t>
      </w:r>
      <w:r>
        <w:t xml:space="preserve"> </w:t>
      </w:r>
      <w:hyperlink r:id="rId22">
        <w:r>
          <w:rPr>
            <w:rStyle w:val="Hyperlink"/>
          </w:rPr>
          <w:t xml:space="preserve">[11]</w:t>
        </w:r>
      </w:hyperlink>
    </w:p>
    <w:p>
      <w:pPr>
        <w:pStyle w:val="BodyText"/>
      </w:pPr>
      <w:r>
        <w:t xml:space="preserve">O recorte territorial adotado prioriza Uberlândia</w:t>
      </w:r>
      <w:hyperlink r:id="rId22">
        <w:r>
          <w:rPr>
            <w:rStyle w:val="Hyperlink"/>
          </w:rPr>
          <w:t xml:space="preserve">[3]</w:t>
        </w:r>
      </w:hyperlink>
      <w:r>
        <w:t xml:space="preserve"> </w:t>
      </w:r>
      <w:r>
        <w:t xml:space="preserve">e sua área de influência econômica. No plano urbano-regional, o Instituto Brasileiro de Geografia e Estatística</w:t>
      </w:r>
      <w:hyperlink r:id="rId23">
        <w:r>
          <w:rPr>
            <w:rStyle w:val="Hyperlink"/>
          </w:rPr>
          <w:t xml:space="preserve">[12]</w:t>
        </w:r>
      </w:hyperlink>
      <w:r>
        <w:t xml:space="preserve"> </w:t>
      </w:r>
      <w:r>
        <w:t xml:space="preserve">classifica Uberlândia como</w:t>
      </w:r>
      <w:r>
        <w:t xml:space="preserve"> </w:t>
      </w:r>
      <w:r>
        <w:rPr>
          <w:b/>
          <w:bCs/>
        </w:rPr>
        <w:t xml:space="preserve">Capital Regional B</w:t>
      </w:r>
      <w:r>
        <w:t xml:space="preserve"> </w:t>
      </w:r>
      <w:r>
        <w:t xml:space="preserve">na REGIC 2018; no plano produtivo, a publicação regional da FIEMG utiliza a Regional Vale do Paranaíba, cuja sede é Uberlândia, abrangendo Abadia dos Dourados, Araguari, Cascalho Rico, Douradoquara, Estrela do Sul, Grupiara, Indianópolis, Iraí de Minas, Monte Alegre de Minas, Monte Carmelo, Prata, Romaria, Tupaciguara e Uberlândia. Para um estudo institucional, essa dupla delimitação é adequada: uma mede centralidade territorial; a outra, densidade industrial e mercado de trabalho.</w:t>
      </w:r>
      <w:r>
        <w:t xml:space="preserve"> </w:t>
      </w:r>
      <w:hyperlink r:id="rId26">
        <w:r>
          <w:rPr>
            <w:rStyle w:val="Hyperlink"/>
          </w:rPr>
          <w:t xml:space="preserve">[13]</w:t>
        </w:r>
      </w:hyperlink>
    </w:p>
    <w:p>
      <w:pPr>
        <w:pStyle w:val="BodyText"/>
      </w:pPr>
      <w:r>
        <w:t xml:space="preserve">Metodologicamente, o relatório combinou cinco camadas de evidência: capacidade instalada e oferta existente da UFU; levantamento da oferta concorrente local, regional e benchmark nacional; análise da base industrial regional com dados da FIEMG/RAIS/CAGED; sinais de mercado de trabalho a partir de vagas oficiais do Sine municipal; e tendências nacionais da política industrial e da digitalização produtiva. Quando um dado exato municipal ou ocupacional não estava publicamente consolidado em fonte aberta de fácil auditoria, a estimativa foi feita por</w:t>
      </w:r>
      <w:r>
        <w:t xml:space="preserve"> </w:t>
      </w:r>
      <w:r>
        <w:rPr>
          <w:b/>
          <w:bCs/>
        </w:rPr>
        <w:t xml:space="preserve">inferência conservadora</w:t>
      </w:r>
      <w:r>
        <w:t xml:space="preserve">, explicitando o denominador utilizado.</w:t>
      </w:r>
      <w:r>
        <w:t xml:space="preserve"> </w:t>
      </w:r>
      <w:hyperlink r:id="rId22">
        <w:r>
          <w:rPr>
            <w:rStyle w:val="Hyperlink"/>
          </w:rPr>
          <w:t xml:space="preserve">[14]</w:t>
        </w:r>
      </w:hyperlink>
    </w:p>
    <w:bookmarkStart w:id="27" w:name="limitações-e-questões-em-aberto"/>
    <w:p>
      <w:pPr>
        <w:pStyle w:val="Heading3"/>
      </w:pPr>
      <w:r>
        <w:t xml:space="preserve">Limitações e questões em aberto</w:t>
      </w:r>
    </w:p>
    <w:p>
      <w:pPr>
        <w:pStyle w:val="FirstParagraph"/>
      </w:pPr>
      <w:r>
        <w:t xml:space="preserve">Há duas limitações importantes. A primeira é que a busca pública do e-MEC, embora útil para localizar registros, não disponibilizou de forma homogênea todos os detalhes operacionais por meio da camada de navegação acessível nesta pesquisa; por isso, para diversos cursos concorrentes, o estudo privilegiou</w:t>
      </w:r>
      <w:r>
        <w:t xml:space="preserve"> </w:t>
      </w:r>
      <w:r>
        <w:rPr>
          <w:b/>
          <w:bCs/>
        </w:rPr>
        <w:t xml:space="preserve">páginas institucionais oficiais</w:t>
      </w:r>
      <w:r>
        <w:t xml:space="preserve">, editais e comunicados de ingresso. A segunda é que séries municipais abertas e consolidadas por CBO para todas as ocupações-alvo de automação, manutenção, SCADA, CLP, IIoT e integração OT/IT não estavam integralmente harmonizadas no mesmo painel de fonte pública acessível. Por essa razão, as projeções quantitativas foram feitas em nível de</w:t>
      </w:r>
      <w:r>
        <w:t xml:space="preserve"> </w:t>
      </w:r>
      <w:r>
        <w:rPr>
          <w:b/>
          <w:bCs/>
        </w:rPr>
        <w:t xml:space="preserve">estabelecimentos e empregos industriais endereçáveis</w:t>
      </w:r>
      <w:r>
        <w:t xml:space="preserve">, e não com microcontagem ocupacional pontual. Isso torna os cenários aqui apresentados</w:t>
      </w:r>
      <w:r>
        <w:t xml:space="preserve"> </w:t>
      </w:r>
      <w:r>
        <w:rPr>
          <w:b/>
          <w:bCs/>
        </w:rPr>
        <w:t xml:space="preserve">prudentes</w:t>
      </w:r>
      <w:r>
        <w:t xml:space="preserve">, e não inflados.</w:t>
      </w:r>
      <w:r>
        <w:t xml:space="preserve"> </w:t>
      </w:r>
      <w:hyperlink r:id="rId21">
        <w:r>
          <w:rPr>
            <w:rStyle w:val="Hyperlink"/>
          </w:rPr>
          <w:t xml:space="preserve">[15]</w:t>
        </w:r>
      </w:hyperlink>
    </w:p>
    <w:bookmarkEnd w:id="27"/>
    <w:bookmarkEnd w:id="28"/>
    <w:bookmarkStart w:id="29" w:name="oferta-formativa-e-lacunas-competitivas"/>
    <w:p>
      <w:pPr>
        <w:pStyle w:val="Heading2"/>
      </w:pPr>
      <w:r>
        <w:t xml:space="preserve">Oferta formativa e lacunas competitivas</w:t>
      </w:r>
    </w:p>
    <w:p>
      <w:pPr>
        <w:pStyle w:val="FirstParagraph"/>
      </w:pPr>
      <w:r>
        <w:t xml:space="preserve">O levantamento atual mostra uma estrutura concorrencial fragmentada. Em Uberlândia, a UFU já oferta bacharelado em Engenharia de Controle e Automação, mas em regime integral e com 10 períodos; a disputa o público noturno com bacharelados em Engenharia de Controle e Automação e Engenharia Elétrica; o SENAI</w:t>
      </w:r>
      <w:hyperlink r:id="rId22">
        <w:r>
          <w:rPr>
            <w:rStyle w:val="Hyperlink"/>
          </w:rPr>
          <w:t xml:space="preserve">[16]</w:t>
        </w:r>
      </w:hyperlink>
      <w:r>
        <w:t xml:space="preserve"> </w:t>
      </w:r>
      <w:r>
        <w:t xml:space="preserve">local concentra oferta de cursos técnicos e de aperfeiçoamento em PLC, instrumentação, redes industriais, eletricista industrial e inversores; e a referência pública federal mais próxima para tecnólogo específico é o IFTM Ituiutaba. Em paralelo, redes privadas nacionais como , e pressionam pela via EAD ou semipresencial. O espaço vazio, portanto, não é “qualquer automação”: é</w:t>
      </w:r>
      <w:r>
        <w:t xml:space="preserve"> </w:t>
      </w:r>
      <w:r>
        <w:rPr>
          <w:b/>
          <w:bCs/>
        </w:rPr>
        <w:t xml:space="preserve">automação industrial como CST, federal, presencial e noturno, em Uberlândia</w:t>
      </w:r>
      <w:r>
        <w:t xml:space="preserve">.</w:t>
      </w:r>
      <w:r>
        <w:t xml:space="preserve"> </w:t>
      </w:r>
      <w:hyperlink r:id="rId24">
        <w:r>
          <w:rPr>
            <w:rStyle w:val="Hyperlink"/>
          </w:rPr>
          <w:t xml:space="preserve">[17]</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Recorte</w:t>
            </w:r>
          </w:p>
        </w:tc>
        <w:tc>
          <w:tcPr/>
          <w:p>
            <w:pPr>
              <w:pStyle w:val="Compact"/>
            </w:pPr>
            <w:r>
              <w:t xml:space="preserve">Instituição</w:t>
            </w:r>
          </w:p>
        </w:tc>
        <w:tc>
          <w:tcPr/>
          <w:p>
            <w:pPr>
              <w:pStyle w:val="Compact"/>
            </w:pPr>
            <w:r>
              <w:t xml:space="preserve">Oferta identificada</w:t>
            </w:r>
          </w:p>
        </w:tc>
        <w:tc>
          <w:tcPr/>
          <w:p>
            <w:pPr>
              <w:pStyle w:val="Compact"/>
            </w:pPr>
            <w:r>
              <w:t xml:space="preserve">Modalidade e turno</w:t>
            </w:r>
          </w:p>
        </w:tc>
        <w:tc>
          <w:tcPr/>
          <w:p>
            <w:pPr>
              <w:pStyle w:val="Compact"/>
            </w:pPr>
            <w:r>
              <w:t xml:space="preserve">Duração / vagas observáveis</w:t>
            </w:r>
          </w:p>
        </w:tc>
        <w:tc>
          <w:tcPr/>
          <w:p>
            <w:pPr>
              <w:pStyle w:val="Compact"/>
            </w:pPr>
            <w:r>
              <w:t xml:space="preserve">Leitura estratégica</w:t>
            </w:r>
          </w:p>
        </w:tc>
      </w:tr>
      <w:tr>
        <w:tc>
          <w:tcPr/>
          <w:p>
            <w:pPr>
              <w:pStyle w:val="Compact"/>
            </w:pPr>
            <w:r>
              <w:t xml:space="preserve">Uberlândia</w:t>
            </w:r>
          </w:p>
        </w:tc>
        <w:tc>
          <w:tcPr/>
          <w:p>
            <w:pPr>
              <w:pStyle w:val="Compact"/>
            </w:pPr>
            <w:r>
              <w:t xml:space="preserve">UFU</w:t>
            </w:r>
          </w:p>
        </w:tc>
        <w:tc>
          <w:tcPr/>
          <w:p>
            <w:pPr>
              <w:pStyle w:val="Compact"/>
            </w:pPr>
            <w:r>
              <w:t xml:space="preserve">Engenharia de Controle e Automação</w:t>
            </w:r>
          </w:p>
        </w:tc>
        <w:tc>
          <w:tcPr/>
          <w:p>
            <w:pPr>
              <w:pStyle w:val="Compact"/>
            </w:pPr>
            <w:r>
              <w:t xml:space="preserve">Presencial, integral</w:t>
            </w:r>
          </w:p>
        </w:tc>
        <w:tc>
          <w:tcPr/>
          <w:p>
            <w:pPr>
              <w:pStyle w:val="Compact"/>
            </w:pPr>
            <w:r>
              <w:t xml:space="preserve">10 períodos; 30 vagas autorizadas; 15 vagas no SISU</w:t>
            </w:r>
          </w:p>
        </w:tc>
        <w:tc>
          <w:tcPr/>
          <w:p>
            <w:pPr>
              <w:pStyle w:val="Compact"/>
            </w:pPr>
            <w:r>
              <w:t xml:space="preserve">Oferta acadêmica forte, mas com barreira de horário para trabalhador</w:t>
            </w:r>
          </w:p>
        </w:tc>
      </w:tr>
      <w:tr>
        <w:tc>
          <w:tcPr/>
          <w:p>
            <w:pPr>
              <w:pStyle w:val="Compact"/>
            </w:pPr>
            <w:r>
              <w:t xml:space="preserve">Uberlândia</w:t>
            </w:r>
          </w:p>
        </w:tc>
        <w:tc>
          <w:tcPr/>
          <w:p>
            <w:pPr>
              <w:pStyle w:val="Compact"/>
            </w:pPr>
            <w:r>
              <w:t xml:space="preserve">Uniube</w:t>
            </w:r>
          </w:p>
        </w:tc>
        <w:tc>
          <w:tcPr/>
          <w:p>
            <w:pPr>
              <w:pStyle w:val="Compact"/>
            </w:pPr>
            <w:r>
              <w:t xml:space="preserve">Engenharia de Controle e Automação</w:t>
            </w:r>
          </w:p>
        </w:tc>
        <w:tc>
          <w:tcPr/>
          <w:p>
            <w:pPr>
              <w:pStyle w:val="Compact"/>
            </w:pPr>
            <w:r>
              <w:t xml:space="preserve">Presencial, noturno</w:t>
            </w:r>
          </w:p>
        </w:tc>
        <w:tc>
          <w:tcPr/>
          <w:p>
            <w:pPr>
              <w:pStyle w:val="Compact"/>
            </w:pPr>
            <w:r>
              <w:t xml:space="preserve">10 semestres</w:t>
            </w:r>
          </w:p>
        </w:tc>
        <w:tc>
          <w:tcPr/>
          <w:p>
            <w:pPr>
              <w:pStyle w:val="Compact"/>
            </w:pPr>
            <w:r>
              <w:t xml:space="preserve">Concorrência indireta privada, mais longa e mais cara</w:t>
            </w:r>
          </w:p>
        </w:tc>
      </w:tr>
      <w:tr>
        <w:tc>
          <w:tcPr/>
          <w:p>
            <w:pPr>
              <w:pStyle w:val="Compact"/>
            </w:pPr>
            <w:r>
              <w:t xml:space="preserve">Uberlândia</w:t>
            </w:r>
          </w:p>
        </w:tc>
        <w:tc>
          <w:tcPr/>
          <w:p>
            <w:pPr>
              <w:pStyle w:val="Compact"/>
            </w:pPr>
            <w:r>
              <w:t xml:space="preserve">Uniube</w:t>
            </w:r>
          </w:p>
        </w:tc>
        <w:tc>
          <w:tcPr/>
          <w:p>
            <w:pPr>
              <w:pStyle w:val="Compact"/>
            </w:pPr>
            <w:r>
              <w:t xml:space="preserve">Engenharia Elétrica</w:t>
            </w:r>
          </w:p>
        </w:tc>
        <w:tc>
          <w:tcPr/>
          <w:p>
            <w:pPr>
              <w:pStyle w:val="Compact"/>
            </w:pPr>
            <w:r>
              <w:t xml:space="preserve">Presencial, noturno</w:t>
            </w:r>
          </w:p>
        </w:tc>
        <w:tc>
          <w:tcPr/>
          <w:p>
            <w:pPr>
              <w:pStyle w:val="Compact"/>
            </w:pPr>
            <w:r>
              <w:t xml:space="preserve">10 semestres; 4.320 h-aula</w:t>
            </w:r>
          </w:p>
        </w:tc>
        <w:tc>
          <w:tcPr/>
          <w:p>
            <w:pPr>
              <w:pStyle w:val="Compact"/>
            </w:pPr>
            <w:r>
              <w:t xml:space="preserve">Concorrência indireta, não substitui tecnólogo aplicado</w:t>
            </w:r>
          </w:p>
        </w:tc>
      </w:tr>
      <w:tr>
        <w:tc>
          <w:tcPr/>
          <w:p>
            <w:pPr>
              <w:pStyle w:val="Compact"/>
            </w:pPr>
            <w:r>
              <w:t xml:space="preserve">Ituiutaba</w:t>
            </w:r>
          </w:p>
        </w:tc>
        <w:tc>
          <w:tcPr/>
          <w:p>
            <w:pPr>
              <w:pStyle w:val="Compact"/>
            </w:pPr>
            <w:r>
              <w:t xml:space="preserve">IFTM</w:t>
            </w:r>
          </w:p>
        </w:tc>
        <w:tc>
          <w:tcPr/>
          <w:p>
            <w:pPr>
              <w:pStyle w:val="Compact"/>
            </w:pPr>
            <w:r>
              <w:t xml:space="preserve">Tecnologia em Automação Industrial</w:t>
            </w:r>
          </w:p>
        </w:tc>
        <w:tc>
          <w:tcPr/>
          <w:p>
            <w:pPr>
              <w:pStyle w:val="Compact"/>
            </w:pPr>
            <w:r>
              <w:t xml:space="preserve">Presencial, noturno</w:t>
            </w:r>
          </w:p>
        </w:tc>
        <w:tc>
          <w:tcPr/>
          <w:p>
            <w:pPr>
              <w:pStyle w:val="Compact"/>
            </w:pPr>
            <w:r>
              <w:t xml:space="preserve">10 vagas no SISU 2026; 20 vagas remanescentes em 2025</w:t>
            </w:r>
          </w:p>
        </w:tc>
        <w:tc>
          <w:tcPr/>
          <w:p>
            <w:pPr>
              <w:pStyle w:val="Compact"/>
            </w:pPr>
            <w:r>
              <w:t xml:space="preserve">Principal referência pública federal do entorno, porém fora de Uberlândia</w:t>
            </w:r>
          </w:p>
        </w:tc>
      </w:tr>
      <w:tr>
        <w:tc>
          <w:tcPr/>
          <w:p>
            <w:pPr>
              <w:pStyle w:val="Compact"/>
            </w:pPr>
            <w:r>
              <w:t xml:space="preserve">Uberlândia</w:t>
            </w:r>
          </w:p>
        </w:tc>
        <w:tc>
          <w:tcPr/>
          <w:p>
            <w:pPr>
              <w:pStyle w:val="Compact"/>
            </w:pPr>
            <w:r>
              <w:t xml:space="preserve">SENAI</w:t>
            </w:r>
          </w:p>
        </w:tc>
        <w:tc>
          <w:tcPr/>
          <w:p>
            <w:pPr>
              <w:pStyle w:val="Compact"/>
            </w:pPr>
            <w:r>
              <w:t xml:space="preserve">PLC, Instrumentação, Redes Industriais, Eletricista Industrial, Inversores</w:t>
            </w:r>
          </w:p>
        </w:tc>
        <w:tc>
          <w:tcPr/>
          <w:p>
            <w:pPr>
              <w:pStyle w:val="Compact"/>
            </w:pPr>
            <w:r>
              <w:t xml:space="preserve">Presencial, aperfeiçoamento/técnico</w:t>
            </w:r>
          </w:p>
        </w:tc>
        <w:tc>
          <w:tcPr/>
          <w:p>
            <w:pPr>
              <w:pStyle w:val="Compact"/>
            </w:pPr>
            <w:r>
              <w:t xml:space="preserve">Não é graduação superior</w:t>
            </w:r>
          </w:p>
        </w:tc>
        <w:tc>
          <w:tcPr/>
          <w:p>
            <w:pPr>
              <w:pStyle w:val="Compact"/>
            </w:pPr>
            <w:r>
              <w:t xml:space="preserve">Forte base de qualificação; gera demanda por verticalização</w:t>
            </w:r>
          </w:p>
        </w:tc>
      </w:tr>
      <w:tr>
        <w:tc>
          <w:tcPr/>
          <w:p>
            <w:pPr>
              <w:pStyle w:val="Compact"/>
            </w:pPr>
            <w:r>
              <w:t xml:space="preserve">Brasil / polos</w:t>
            </w:r>
          </w:p>
        </w:tc>
        <w:tc>
          <w:tcPr/>
          <w:p>
            <w:pPr>
              <w:pStyle w:val="Compact"/>
            </w:pPr>
            <w:r>
              <w:t xml:space="preserve">Anhanguera</w:t>
            </w:r>
          </w:p>
        </w:tc>
        <w:tc>
          <w:tcPr/>
          <w:p>
            <w:pPr>
              <w:pStyle w:val="Compact"/>
            </w:pPr>
            <w:r>
              <w:t xml:space="preserve">Automação Industrial (tecnólogo)</w:t>
            </w:r>
          </w:p>
        </w:tc>
        <w:tc>
          <w:tcPr/>
          <w:p>
            <w:pPr>
              <w:pStyle w:val="Compact"/>
            </w:pPr>
            <w:r>
              <w:t xml:space="preserve">Presencial, noite</w:t>
            </w:r>
          </w:p>
        </w:tc>
        <w:tc>
          <w:tcPr/>
          <w:p>
            <w:pPr>
              <w:pStyle w:val="Compact"/>
            </w:pPr>
            <w:r>
              <w:t xml:space="preserve">6 semestres</w:t>
            </w:r>
          </w:p>
        </w:tc>
        <w:tc>
          <w:tcPr/>
          <w:p>
            <w:pPr>
              <w:pStyle w:val="Compact"/>
            </w:pPr>
            <w:r>
              <w:t xml:space="preserve">Concorrência privada nacional</w:t>
            </w:r>
          </w:p>
        </w:tc>
      </w:tr>
      <w:tr>
        <w:tc>
          <w:tcPr/>
          <w:p>
            <w:pPr>
              <w:pStyle w:val="Compact"/>
            </w:pPr>
            <w:r>
              <w:t xml:space="preserve">Brasil / polos</w:t>
            </w:r>
          </w:p>
        </w:tc>
        <w:tc>
          <w:tcPr/>
          <w:p>
            <w:pPr>
              <w:pStyle w:val="Compact"/>
            </w:pPr>
            <w:r>
              <w:t xml:space="preserve">ENIAC</w:t>
            </w:r>
          </w:p>
        </w:tc>
        <w:tc>
          <w:tcPr/>
          <w:p>
            <w:pPr>
              <w:pStyle w:val="Compact"/>
            </w:pPr>
            <w:r>
              <w:t xml:space="preserve">Mecatrônica Industrial</w:t>
            </w:r>
          </w:p>
        </w:tc>
        <w:tc>
          <w:tcPr/>
          <w:p>
            <w:pPr>
              <w:pStyle w:val="Compact"/>
            </w:pPr>
            <w:r>
              <w:t xml:space="preserve">Superior tecnológico</w:t>
            </w:r>
          </w:p>
        </w:tc>
        <w:tc>
          <w:tcPr/>
          <w:p>
            <w:pPr>
              <w:pStyle w:val="Compact"/>
            </w:pPr>
            <w:r>
              <w:t xml:space="preserve">cerca de 3 anos</w:t>
            </w:r>
          </w:p>
        </w:tc>
        <w:tc>
          <w:tcPr/>
          <w:p>
            <w:pPr>
              <w:pStyle w:val="Compact"/>
            </w:pPr>
            <w:r>
              <w:t xml:space="preserve">Oferta privada, em grande parte via polos</w:t>
            </w:r>
          </w:p>
        </w:tc>
      </w:tr>
    </w:tbl>
    <w:p>
      <w:pPr>
        <w:pStyle w:val="BodyText"/>
      </w:pPr>
      <w:r>
        <w:t xml:space="preserve">As informações do quadro derivam de fontes institucionais oficiais da UFU, IFTM, Uniube, SENAI, Anhanguera e ENIAC.</w:t>
      </w:r>
      <w:r>
        <w:t xml:space="preserve"> </w:t>
      </w:r>
      <w:hyperlink r:id="rId24">
        <w:r>
          <w:rPr>
            <w:rStyle w:val="Hyperlink"/>
          </w:rPr>
          <w:t xml:space="preserve">[18]</w:t>
        </w:r>
      </w:hyperlink>
    </w:p>
    <w:p>
      <w:pPr>
        <w:pStyle w:val="BodyText"/>
      </w:pPr>
      <w:r>
        <w:t xml:space="preserve">Do ponto de vista de saturação, a evidência não aponta mercado local saturado em</w:t>
      </w:r>
      <w:r>
        <w:t xml:space="preserve"> </w:t>
      </w:r>
      <w:r>
        <w:rPr>
          <w:b/>
          <w:bCs/>
        </w:rPr>
        <w:t xml:space="preserve">tecnólogo federal noturno</w:t>
      </w:r>
      <w:r>
        <w:t xml:space="preserve">; aponta, isto sim, um mercado já parcialmente ocupado por três faixas distintas: bacharelados longos, formação técnica de curta duração e ofertas privadas/EAD. Isso significa que o curso proposto não entraria em uma “zona vermelha” de competição direta com iguais, mas em uma</w:t>
      </w:r>
      <w:r>
        <w:t xml:space="preserve"> </w:t>
      </w:r>
      <w:r>
        <w:rPr>
          <w:b/>
          <w:bCs/>
        </w:rPr>
        <w:t xml:space="preserve">zona de lacuna intermediária</w:t>
      </w:r>
      <w:r>
        <w:t xml:space="preserve"> </w:t>
      </w:r>
      <w:r>
        <w:t xml:space="preserve">entre o técnico e o engenheiro. Essa posição é, institucionalmente, uma vantagem.</w:t>
      </w:r>
      <w:r>
        <w:t xml:space="preserve"> </w:t>
      </w:r>
      <w:hyperlink r:id="rId24">
        <w:r>
          <w:rPr>
            <w:rStyle w:val="Hyperlink"/>
          </w:rPr>
          <w:t xml:space="preserve">[19]</w:t>
        </w:r>
      </w:hyperlink>
    </w:p>
    <w:bookmarkEnd w:id="29"/>
    <w:bookmarkStart w:id="32" w:name="Xd10243be8ccea1ad07ec5274c3700b3da4da688"/>
    <w:p>
      <w:pPr>
        <w:pStyle w:val="Heading2"/>
      </w:pPr>
      <w:r>
        <w:t xml:space="preserve">Base econômica e demanda regional por automação</w:t>
      </w:r>
    </w:p>
    <w:p>
      <w:pPr>
        <w:pStyle w:val="FirstParagraph"/>
      </w:pPr>
      <w:r>
        <w:t xml:space="preserve">O argumento econômico-regional é provavelmente o mais forte do estudo. A Regional Vale do Paranaíba da FIEMG concentra 14 municípios, quase 1 milhão de habitantes e R$ 13,416 bilhões de valor agregado industrial; dentro dela, Uberlândia responde por 78,8% do valor adicionado industrial. Em termos de estrutura produtiva, o painel regional informa 2.173 empresas de transformação com 43.714 empregos, além de 82 empresas e 2.366 empregos em SIUP. Isso já basta para mostrar que um curso de automação sediado em Uberlândia se instalaria exatamente no</w:t>
      </w:r>
      <w:r>
        <w:t xml:space="preserve"> </w:t>
      </w:r>
      <w:r>
        <w:rPr>
          <w:b/>
          <w:bCs/>
        </w:rPr>
        <w:t xml:space="preserve">principal nó industrial</w:t>
      </w:r>
      <w:r>
        <w:t xml:space="preserve"> </w:t>
      </w:r>
      <w:r>
        <w:t xml:space="preserve">do recorte regional, e não em uma periferia produtiva.</w:t>
      </w:r>
      <w:r>
        <w:t xml:space="preserve"> </w:t>
      </w:r>
      <w:hyperlink r:id="rId23">
        <w:r>
          <w:rPr>
            <w:rStyle w:val="Hyperlink"/>
          </w:rPr>
          <w:t xml:space="preserve">[7]</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Indicador regional</w:t>
            </w:r>
          </w:p>
        </w:tc>
        <w:tc>
          <w:tcPr/>
          <w:p>
            <w:pPr>
              <w:pStyle w:val="Compact"/>
              <w:jc w:val="right"/>
            </w:pPr>
            <w:r>
              <w:t xml:space="preserve">Valor</w:t>
            </w:r>
          </w:p>
        </w:tc>
      </w:tr>
      <w:tr>
        <w:tc>
          <w:tcPr/>
          <w:p>
            <w:pPr>
              <w:pStyle w:val="Compact"/>
            </w:pPr>
            <w:r>
              <w:t xml:space="preserve">Municípios no recorte FIEMG</w:t>
            </w:r>
          </w:p>
        </w:tc>
        <w:tc>
          <w:tcPr/>
          <w:p>
            <w:pPr>
              <w:pStyle w:val="Compact"/>
              <w:jc w:val="right"/>
            </w:pPr>
            <w:r>
              <w:t xml:space="preserve">14</w:t>
            </w:r>
          </w:p>
        </w:tc>
      </w:tr>
      <w:tr>
        <w:tc>
          <w:tcPr/>
          <w:p>
            <w:pPr>
              <w:pStyle w:val="Compact"/>
            </w:pPr>
            <w:r>
              <w:t xml:space="preserve">População</w:t>
            </w:r>
          </w:p>
        </w:tc>
        <w:tc>
          <w:tcPr/>
          <w:p>
            <w:pPr>
              <w:pStyle w:val="Compact"/>
              <w:jc w:val="right"/>
            </w:pPr>
            <w:r>
              <w:t xml:space="preserve">988.493</w:t>
            </w:r>
          </w:p>
        </w:tc>
      </w:tr>
      <w:tr>
        <w:tc>
          <w:tcPr/>
          <w:p>
            <w:pPr>
              <w:pStyle w:val="Compact"/>
            </w:pPr>
            <w:r>
              <w:t xml:space="preserve">PIB regional</w:t>
            </w:r>
          </w:p>
        </w:tc>
        <w:tc>
          <w:tcPr/>
          <w:p>
            <w:pPr>
              <w:pStyle w:val="Compact"/>
              <w:jc w:val="right"/>
            </w:pPr>
            <w:r>
              <w:t xml:space="preserve">R$ 55,705 bilhões</w:t>
            </w:r>
          </w:p>
        </w:tc>
      </w:tr>
      <w:tr>
        <w:tc>
          <w:tcPr/>
          <w:p>
            <w:pPr>
              <w:pStyle w:val="Compact"/>
            </w:pPr>
            <w:r>
              <w:t xml:space="preserve">Valor agregado industrial</w:t>
            </w:r>
          </w:p>
        </w:tc>
        <w:tc>
          <w:tcPr/>
          <w:p>
            <w:pPr>
              <w:pStyle w:val="Compact"/>
              <w:jc w:val="right"/>
            </w:pPr>
            <w:r>
              <w:t xml:space="preserve">R$ 13,416 bilhões</w:t>
            </w:r>
          </w:p>
        </w:tc>
      </w:tr>
      <w:tr>
        <w:tc>
          <w:tcPr/>
          <w:p>
            <w:pPr>
              <w:pStyle w:val="Compact"/>
            </w:pPr>
            <w:r>
              <w:t xml:space="preserve">Participação de Uberlândia no VA industrial regional</w:t>
            </w:r>
          </w:p>
        </w:tc>
        <w:tc>
          <w:tcPr/>
          <w:p>
            <w:pPr>
              <w:pStyle w:val="Compact"/>
              <w:jc w:val="right"/>
            </w:pPr>
            <w:r>
              <w:t xml:space="preserve">78,8%</w:t>
            </w:r>
          </w:p>
        </w:tc>
      </w:tr>
      <w:tr>
        <w:tc>
          <w:tcPr/>
          <w:p>
            <w:pPr>
              <w:pStyle w:val="Compact"/>
            </w:pPr>
            <w:r>
              <w:t xml:space="preserve">Empresas de transformação</w:t>
            </w:r>
          </w:p>
        </w:tc>
        <w:tc>
          <w:tcPr/>
          <w:p>
            <w:pPr>
              <w:pStyle w:val="Compact"/>
              <w:jc w:val="right"/>
            </w:pPr>
            <w:r>
              <w:t xml:space="preserve">2.173</w:t>
            </w:r>
          </w:p>
        </w:tc>
      </w:tr>
      <w:tr>
        <w:tc>
          <w:tcPr/>
          <w:p>
            <w:pPr>
              <w:pStyle w:val="Compact"/>
            </w:pPr>
            <w:r>
              <w:t xml:space="preserve">Empregos na transformação</w:t>
            </w:r>
          </w:p>
        </w:tc>
        <w:tc>
          <w:tcPr/>
          <w:p>
            <w:pPr>
              <w:pStyle w:val="Compact"/>
              <w:jc w:val="right"/>
            </w:pPr>
            <w:r>
              <w:t xml:space="preserve">43.714</w:t>
            </w:r>
          </w:p>
        </w:tc>
      </w:tr>
      <w:tr>
        <w:tc>
          <w:tcPr/>
          <w:p>
            <w:pPr>
              <w:pStyle w:val="Compact"/>
            </w:pPr>
            <w:r>
              <w:t xml:space="preserve">Empresas em SIUP</w:t>
            </w:r>
          </w:p>
        </w:tc>
        <w:tc>
          <w:tcPr/>
          <w:p>
            <w:pPr>
              <w:pStyle w:val="Compact"/>
              <w:jc w:val="right"/>
            </w:pPr>
            <w:r>
              <w:t xml:space="preserve">82</w:t>
            </w:r>
          </w:p>
        </w:tc>
      </w:tr>
      <w:tr>
        <w:tc>
          <w:tcPr/>
          <w:p>
            <w:pPr>
              <w:pStyle w:val="Compact"/>
            </w:pPr>
            <w:r>
              <w:t xml:space="preserve">Empregos em SIUP</w:t>
            </w:r>
          </w:p>
        </w:tc>
        <w:tc>
          <w:tcPr/>
          <w:p>
            <w:pPr>
              <w:pStyle w:val="Compact"/>
              <w:jc w:val="right"/>
            </w:pPr>
            <w:r>
              <w:t xml:space="preserve">2.366</w:t>
            </w:r>
          </w:p>
        </w:tc>
      </w:tr>
    </w:tbl>
    <w:p>
      <w:pPr>
        <w:pStyle w:val="BodyText"/>
      </w:pPr>
      <w:r>
        <w:t xml:space="preserve">Fonte: Painel Regional da Indústria Mineira – Vale do Paranaíba, FIEMG, com bases IBGE, RAIS/MTE, SEF/MG e Comex Stat.</w:t>
      </w:r>
      <w:r>
        <w:t xml:space="preserve"> </w:t>
      </w:r>
      <w:hyperlink r:id="rId23">
        <w:r>
          <w:rPr>
            <w:rStyle w:val="Hyperlink"/>
          </w:rPr>
          <w:t xml:space="preserve">[7]</w:t>
        </w:r>
      </w:hyperlink>
    </w:p>
    <w:p>
      <w:pPr>
        <w:pStyle w:val="BodyText"/>
      </w:pPr>
      <w:r>
        <w:t xml:space="preserve">A composição setorial regional reforça a aderência do curso. O mesmo painel registra alimentos entre os principais setores industriais, além de construção de edifícios, serviços especializados para construção e, nas exportações, alimentos, papel e celulose, fumo, couro/calçados e produtos químicos. São justamente segmentos em que automação, instrumentação, utilidades, manutenção e integração de processos têm peso elevado. Em 2025, os principais produtos industriais exportados da regional incluíram celulose, carne bovina e açúcar; em 12 meses até fevereiro de 2026, os maiores saldos de emprego vieram de alimentos, bebidas, produtos de metal e máquinas e materiais elétricos, enquanto manutenção e instalação de máquinas e equipamentos apresentou saldo negativo, sinalizando também reposição, churn e necessidade de requalificação.</w:t>
      </w:r>
      <w:r>
        <w:t xml:space="preserve"> </w:t>
      </w:r>
      <w:hyperlink r:id="rId23">
        <w:r>
          <w:rPr>
            <w:rStyle w:val="Hyperlink"/>
          </w:rPr>
          <w:t xml:space="preserve">[20]</w:t>
        </w:r>
      </w:hyperlink>
    </w:p>
    <w:p>
      <w:pPr>
        <w:pStyle w:val="BodyText"/>
      </w:pPr>
      <w:r>
        <w:t xml:space="preserve">No plano qualitativo, há âncoras empresariais que exemplificam o tipo de ecossistema produtivo compatível com a formação proposta. Em alimentos, ingredientes e amidos, a mantém unidade em Uberlândia e anunciou investimentos industriais locais; em bebidas, a lista planta em Uberlândia; no complexo de proteínas e alimentos, a possui presença operacional ligada ao município; e no corredor Indianópolis–Araguari, a opera uma planta de 500 mil toneladas de celulose solúvel por ano, com 144 MW de energia limpa. Mesmo não exaurindo o parque empresarial, esses exemplos mostram a presença regional de</w:t>
      </w:r>
      <w:r>
        <w:t xml:space="preserve"> </w:t>
      </w:r>
      <w:r>
        <w:rPr>
          <w:b/>
          <w:bCs/>
        </w:rPr>
        <w:t xml:space="preserve">indústrias de processo contínuo e manufatura de alta instrumentação</w:t>
      </w:r>
      <w:r>
        <w:t xml:space="preserve">, usuárias típicas de automação, supervisão, manutenção preditiva e integração industrial.</w:t>
      </w:r>
      <w:r>
        <w:t xml:space="preserve"> </w:t>
      </w:r>
      <w:hyperlink r:id="rId30">
        <w:r>
          <w:rPr>
            <w:rStyle w:val="Hyperlink"/>
          </w:rPr>
          <w:t xml:space="preserve">[21]</w:t>
        </w:r>
      </w:hyperlink>
    </w:p>
    <w:p>
      <w:pPr>
        <w:pStyle w:val="BodyText"/>
      </w:pPr>
      <w:r>
        <w:t xml:space="preserve">A demanda não aparece apenas em estatísticas estruturais; ela aparece no mercado cotidiano. Em abril de 2026, o Sine de Uberlândia publicou vagas para técnico de manutenção industrial, eletricista de instalações industriais e operador de processo de produção, inclusive com exigências de curso técnico em alguns casos e salários que variaram de cerca de R$ 3,8 mil para técnico de manutenção a R$ 8 mil para eletricista de instalações industriais em uma vaga específica. Como sinal de mercado, isso não substitui um censo ocupacional, mas mostra que a cadeia local já demanda perfis técnicos-industriais acima do nível de entrada simples.</w:t>
      </w:r>
      <w:r>
        <w:t xml:space="preserve"> </w:t>
      </w:r>
      <w:hyperlink r:id="rId31">
        <w:r>
          <w:rPr>
            <w:rStyle w:val="Hyperlink"/>
          </w:rPr>
          <w:t xml:space="preserve">[22]</w:t>
        </w:r>
      </w:hyperlink>
    </w:p>
    <w:bookmarkEnd w:id="32"/>
    <w:bookmarkStart w:id="34" w:name="Xd4d85cdd24028a63bc0743bdf9a31976c44627d"/>
    <w:p>
      <w:pPr>
        <w:pStyle w:val="Heading2"/>
      </w:pPr>
      <w:r>
        <w:t xml:space="preserve">Público-alvo, demanda potencial e cenários quantitativos</w:t>
      </w:r>
    </w:p>
    <w:p>
      <w:pPr>
        <w:pStyle w:val="FirstParagraph"/>
      </w:pPr>
      <w:r>
        <w:t xml:space="preserve">O público-alvo potencial do curso é mais amplo do que “egressos do ensino médio”. O mercado endereçável inclui trabalhadores CLT da indústria regional, técnicos industriais que buscam verticalização, profissionais de manutenção e utilidades, eletricistas industriais, operadores com trajetória de ascensão, egressos do SENAI e do IFTM, estudantes-trabalhadores impedidos de cursar engenharia integral e profissionais de turno que só conseguem estudar à noite. A força dessa hipótese está no próprio desenho da oferta já existente: o IFTM mantém pipeline técnico em Internet das Coisas em Uberlândia e cursos técnicos em eletrotécnica/eletroeletrônica em campi do Triângulo Mineiro e Alto Paranaíba; o SENAI Uberlândia oferece PLC, instrumentação e controle, redes industriais e eletricista industrial; e a UFU, por sua vez, não oferece hoje uma trilha superior tecnológica noturna correspondente.</w:t>
      </w:r>
      <w:r>
        <w:t xml:space="preserve"> </w:t>
      </w:r>
      <w:hyperlink r:id="rId33">
        <w:r>
          <w:rPr>
            <w:rStyle w:val="Hyperlink"/>
          </w:rPr>
          <w:t xml:space="preserve">[23]</w:t>
        </w:r>
      </w:hyperlink>
    </w:p>
    <w:p>
      <w:pPr>
        <w:pStyle w:val="BodyText"/>
      </w:pPr>
      <w:r>
        <w:t xml:space="preserve">Para estimar demanda potencial de candidatos, o estudo adotou um critério conservador de “mercado endereçável a partir do estoque de trabalho industrial formal”. Se apenas 0,25% do estoque regional de 64.225 empregos industriais formais se converter em interesse real anual por uma graduação tecnológica federal noturna, isso gera cerca de 161 candidatos potenciais; com 0,40%, o valor sobe a 257; com 0,60%, chega a 385. E isso</w:t>
      </w:r>
      <w:r>
        <w:t xml:space="preserve"> </w:t>
      </w:r>
      <w:r>
        <w:rPr>
          <w:b/>
          <w:bCs/>
        </w:rPr>
        <w:t xml:space="preserve">antes</w:t>
      </w:r>
      <w:r>
        <w:t xml:space="preserve"> </w:t>
      </w:r>
      <w:r>
        <w:t xml:space="preserve">de incluir egressos técnicos, trabalhadores de logística automatizada, serviços industriais especializados e interessados vindos de municípios da área de influência de Uberlândia. Em consequência, uma turma anual de 30 a 40 vagas estaria, do ponto de vista de demanda, em escala prudente e não expansionista.</w:t>
      </w:r>
      <w:r>
        <w:t xml:space="preserve"> </w:t>
      </w:r>
      <w:hyperlink r:id="rId23">
        <w:r>
          <w:rPr>
            <w:rStyle w:val="Hyperlink"/>
          </w:rPr>
          <w:t xml:space="preserve">[24]</w:t>
        </w:r>
      </w:hyperlink>
    </w:p>
    <w:p>
      <w:pPr>
        <w:pStyle w:val="BodyText"/>
      </w:pPr>
      <w:r>
        <w:t xml:space="preserve">Para estimar absorção profissional, foi utilizado um denominador ainda mais estrito: apenas as 2.173 empresas de transformação e as 82 de SIUP do painel da FIEMG, totalizando 2.255 estabelecimentos mais diretamente aderentes à automação e ao controle de processos. A projeção considera quantos estabelecimentos, por ano, poderiam contratar ou requalificar pelo menos um profissional de perfil tecnólogo em automação. Isso produz o seguinte quadro de absorção mínima equivalente.</w:t>
      </w:r>
      <w:r>
        <w:t xml:space="preserve"> </w:t>
      </w:r>
      <w:hyperlink r:id="rId23">
        <w:r>
          <w:rPr>
            <w:rStyle w:val="Hyperlink"/>
          </w:rPr>
          <w:t xml:space="preserve">[25]</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Cenário</w:t>
            </w:r>
          </w:p>
        </w:tc>
        <w:tc>
          <w:tcPr/>
          <w:p>
            <w:pPr>
              <w:pStyle w:val="Compact"/>
            </w:pPr>
            <w:r>
              <w:t xml:space="preserve">Hipótese anual sobre estabelecimentos endereçáveis</w:t>
            </w:r>
          </w:p>
        </w:tc>
        <w:tc>
          <w:tcPr/>
          <w:p>
            <w:pPr>
              <w:pStyle w:val="Compact"/>
              <w:jc w:val="right"/>
            </w:pPr>
            <w:r>
              <w:t xml:space="preserve">Absorção potencial anual</w:t>
            </w:r>
          </w:p>
        </w:tc>
        <w:tc>
          <w:tcPr/>
          <w:p>
            <w:pPr>
              <w:pStyle w:val="Compact"/>
              <w:jc w:val="right"/>
            </w:pPr>
            <w:r>
              <w:t xml:space="preserve">Acumulado em 5 anos</w:t>
            </w:r>
          </w:p>
        </w:tc>
        <w:tc>
          <w:tcPr/>
          <w:p>
            <w:pPr>
              <w:pStyle w:val="Compact"/>
              <w:jc w:val="right"/>
            </w:pPr>
            <w:r>
              <w:t xml:space="preserve">Acumulado em 10 anos</w:t>
            </w:r>
          </w:p>
        </w:tc>
      </w:tr>
      <w:tr>
        <w:tc>
          <w:tcPr/>
          <w:p>
            <w:pPr>
              <w:pStyle w:val="Compact"/>
            </w:pPr>
            <w:r>
              <w:t xml:space="preserve">Conservador</w:t>
            </w:r>
          </w:p>
        </w:tc>
        <w:tc>
          <w:tcPr/>
          <w:p>
            <w:pPr>
              <w:pStyle w:val="Compact"/>
            </w:pPr>
            <w:r>
              <w:t xml:space="preserve">2,0% de 2.255 estabelecimentos</w:t>
            </w:r>
          </w:p>
        </w:tc>
        <w:tc>
          <w:tcPr/>
          <w:p>
            <w:pPr>
              <w:pStyle w:val="Compact"/>
              <w:jc w:val="right"/>
            </w:pPr>
            <w:r>
              <w:t xml:space="preserve">45</w:t>
            </w:r>
          </w:p>
        </w:tc>
        <w:tc>
          <w:tcPr/>
          <w:p>
            <w:pPr>
              <w:pStyle w:val="Compact"/>
              <w:jc w:val="right"/>
            </w:pPr>
            <w:r>
              <w:t xml:space="preserve">225</w:t>
            </w:r>
          </w:p>
        </w:tc>
        <w:tc>
          <w:tcPr/>
          <w:p>
            <w:pPr>
              <w:pStyle w:val="Compact"/>
              <w:jc w:val="right"/>
            </w:pPr>
            <w:r>
              <w:t xml:space="preserve">450</w:t>
            </w:r>
          </w:p>
        </w:tc>
      </w:tr>
      <w:tr>
        <w:tc>
          <w:tcPr/>
          <w:p>
            <w:pPr>
              <w:pStyle w:val="Compact"/>
            </w:pPr>
            <w:r>
              <w:t xml:space="preserve">Base</w:t>
            </w:r>
          </w:p>
        </w:tc>
        <w:tc>
          <w:tcPr/>
          <w:p>
            <w:pPr>
              <w:pStyle w:val="Compact"/>
            </w:pPr>
            <w:r>
              <w:t xml:space="preserve">3,5% de 2.255 estabelecimentos</w:t>
            </w:r>
          </w:p>
        </w:tc>
        <w:tc>
          <w:tcPr/>
          <w:p>
            <w:pPr>
              <w:pStyle w:val="Compact"/>
              <w:jc w:val="right"/>
            </w:pPr>
            <w:r>
              <w:t xml:space="preserve">79</w:t>
            </w:r>
          </w:p>
        </w:tc>
        <w:tc>
          <w:tcPr/>
          <w:p>
            <w:pPr>
              <w:pStyle w:val="Compact"/>
              <w:jc w:val="right"/>
            </w:pPr>
            <w:r>
              <w:t xml:space="preserve">395</w:t>
            </w:r>
          </w:p>
        </w:tc>
        <w:tc>
          <w:tcPr/>
          <w:p>
            <w:pPr>
              <w:pStyle w:val="Compact"/>
              <w:jc w:val="right"/>
            </w:pPr>
            <w:r>
              <w:t xml:space="preserve">790</w:t>
            </w:r>
          </w:p>
        </w:tc>
      </w:tr>
      <w:tr>
        <w:tc>
          <w:tcPr/>
          <w:p>
            <w:pPr>
              <w:pStyle w:val="Compact"/>
            </w:pPr>
            <w:r>
              <w:t xml:space="preserve">Otimista</w:t>
            </w:r>
          </w:p>
        </w:tc>
        <w:tc>
          <w:tcPr/>
          <w:p>
            <w:pPr>
              <w:pStyle w:val="Compact"/>
            </w:pPr>
            <w:r>
              <w:t xml:space="preserve">5,0% de 2.255 estabelecimentos</w:t>
            </w:r>
          </w:p>
        </w:tc>
        <w:tc>
          <w:tcPr/>
          <w:p>
            <w:pPr>
              <w:pStyle w:val="Compact"/>
              <w:jc w:val="right"/>
            </w:pPr>
            <w:r>
              <w:t xml:space="preserve">113</w:t>
            </w:r>
          </w:p>
        </w:tc>
        <w:tc>
          <w:tcPr/>
          <w:p>
            <w:pPr>
              <w:pStyle w:val="Compact"/>
              <w:jc w:val="right"/>
            </w:pPr>
            <w:r>
              <w:t xml:space="preserve">565</w:t>
            </w:r>
          </w:p>
        </w:tc>
        <w:tc>
          <w:tcPr/>
          <w:p>
            <w:pPr>
              <w:pStyle w:val="Compact"/>
              <w:jc w:val="right"/>
            </w:pPr>
            <w:r>
              <w:t xml:space="preserve">1.130</w:t>
            </w:r>
          </w:p>
        </w:tc>
      </w:tr>
    </w:tbl>
    <w:p>
      <w:pPr>
        <w:pStyle w:val="BodyText"/>
      </w:pPr>
      <w:r>
        <w:t xml:space="preserve">Os valores do quadro são cálculo deste estudo a partir dos totais oficiais de estabelecimentos industriais e de SIUP informados pela FIEMG/RAIS. Como a conta exclui construção, logística fora da CNAE industrial, serviços técnicos especializados externos e setor público operacional, ela deve ser interpretada como</w:t>
      </w:r>
      <w:r>
        <w:t xml:space="preserve"> </w:t>
      </w:r>
      <w:r>
        <w:rPr>
          <w:b/>
          <w:bCs/>
        </w:rPr>
        <w:t xml:space="preserve">piso conservador de absorção</w:t>
      </w:r>
      <w:r>
        <w:t xml:space="preserve">, não como teto.</w:t>
      </w:r>
      <w:r>
        <w:t xml:space="preserve"> </w:t>
      </w:r>
      <w:hyperlink r:id="rId23">
        <w:r>
          <w:rPr>
            <w:rStyle w:val="Hyperlink"/>
          </w:rPr>
          <w:t xml:space="preserve">[25]</w:t>
        </w:r>
      </w:hyperlink>
    </w:p>
    <w:p>
      <w:pPr>
        <w:pStyle w:val="BodyText"/>
      </w:pPr>
      <w:r>
        <w:t xml:space="preserve">Esse resultado é decisivo. Se o curso iniciar com 40 vagas anuais e trabalhar, em planejamento prudencial, com taxa de conclusão de 70% a 80%, a produção anual de concluintes ficaria em torno de 28 a 32 egressos. Mesmo no cenário conservador de absorção equivalente, o mercado regional endereçável continuaria superior ao fluxo anual de concluintes. Isso sugere</w:t>
      </w:r>
      <w:r>
        <w:t xml:space="preserve"> </w:t>
      </w:r>
      <w:r>
        <w:rPr>
          <w:b/>
          <w:bCs/>
        </w:rPr>
        <w:t xml:space="preserve">boa compatibilidade estrutural entre oferta e demanda</w:t>
      </w:r>
      <w:r>
        <w:t xml:space="preserve">, com risco relativamente baixo de superoferta regional, desde que o currículo seja explicitamente aplicado à manutenção, integração, automação de processos, redes industriais, supervisão e análise operacional.</w:t>
      </w:r>
      <w:r>
        <w:t xml:space="preserve"> </w:t>
      </w:r>
      <w:hyperlink r:id="rId23">
        <w:r>
          <w:rPr>
            <w:rStyle w:val="Hyperlink"/>
          </w:rPr>
          <w:t xml:space="preserve">[26]</w:t>
        </w:r>
      </w:hyperlink>
    </w:p>
    <w:p>
      <w:pPr>
        <w:pStyle w:val="BodyText"/>
      </w:pPr>
      <w:r>
        <w:t xml:space="preserve">Quanto à evasão, empregabilidade e retenção regional, não há série histórica pública local suficientemente granular para fornecer números observados específicos para um curso inexistente. Ainda assim, a inferência institucional mais defensável é que um CST noturno tende a ter</w:t>
      </w:r>
      <w:r>
        <w:t xml:space="preserve"> </w:t>
      </w:r>
      <w:r>
        <w:rPr>
          <w:b/>
          <w:bCs/>
        </w:rPr>
        <w:t xml:space="preserve">menor custo de oportunidade</w:t>
      </w:r>
      <w:r>
        <w:t xml:space="preserve"> </w:t>
      </w:r>
      <w:r>
        <w:t xml:space="preserve">para o trabalhador do que um bacharelado integral de 10 períodos, e maior aderência à inserção ocupacional de curto prazo, especialmente em um polo industrial concentrado. Logo, o curso tem potencial de retenção regional elevado, não porque a evasão desapareça, mas porque o formato conversa melhor com o cotidiano do público-alvo. Essa é uma inferência, sustentada pela diferença objetiva entre os formatos e pela densidade do mercado regional, e deve ser confirmada por monitoramento futuro de permanência e egressos.</w:t>
      </w:r>
      <w:r>
        <w:t xml:space="preserve"> </w:t>
      </w:r>
      <w:hyperlink r:id="rId24">
        <w:r>
          <w:rPr>
            <w:rStyle w:val="Hyperlink"/>
          </w:rPr>
          <w:t xml:space="preserve">[27]</w:t>
        </w:r>
      </w:hyperlink>
    </w:p>
    <w:bookmarkEnd w:id="34"/>
    <w:bookmarkStart w:id="37" w:name="X2281bad016241bf21493010ca80580ef324d3d2"/>
    <w:p>
      <w:pPr>
        <w:pStyle w:val="Heading2"/>
      </w:pPr>
      <w:r>
        <w:t xml:space="preserve">Diferencial estratégico da UFU, benchmark e complementaridade com a engenharia</w:t>
      </w:r>
    </w:p>
    <w:p>
      <w:pPr>
        <w:pStyle w:val="FirstParagraph"/>
      </w:pPr>
      <w:r>
        <w:t xml:space="preserve">A vantagem competitiva da UFU decorre menos de “marca” isolada e mais da combinação entre marca, base técnica e ecossistema acadêmico. A FEELT já concentra graduação, pós-graduação, laboratórios, docentes e grupos de pesquisa; o Departamento de Controle e Automação já existe formalmente; e o LASEC já descreve interação com empresas da região e atuação em problemas diretamente correlatos ao perfil de um CST de Automação Industrial. Em linguagem institucional: a UFU tem condições de ofertar o curso como</w:t>
      </w:r>
      <w:r>
        <w:t xml:space="preserve"> </w:t>
      </w:r>
      <w:r>
        <w:rPr>
          <w:b/>
          <w:bCs/>
        </w:rPr>
        <w:t xml:space="preserve">desdobramento orgânico de uma competência instalada</w:t>
      </w:r>
      <w:r>
        <w:t xml:space="preserve">, não como experimento institucional desconectado.</w:t>
      </w:r>
      <w:r>
        <w:t xml:space="preserve"> </w:t>
      </w:r>
      <w:hyperlink r:id="rId22">
        <w:r>
          <w:rPr>
            <w:rStyle w:val="Hyperlink"/>
          </w:rPr>
          <w:t xml:space="preserve">[5]</w:t>
        </w:r>
      </w:hyperlink>
    </w:p>
    <w:p>
      <w:pPr>
        <w:pStyle w:val="BodyText"/>
      </w:pPr>
      <w:r>
        <w:t xml:space="preserve">O benchmark nacional confirma que o desenho “tecnólogo noturno, aplicado, industrial, de 3 anos ou 6 semestres” é plenamente aderente às melhores práticas de educação tecnológica em polos industriais. A Universidade Tecnológica Federal do Paraná</w:t>
      </w:r>
      <w:hyperlink r:id="rId21">
        <w:r>
          <w:rPr>
            <w:rStyle w:val="Hyperlink"/>
          </w:rPr>
          <w:t xml:space="preserve">[28]</w:t>
        </w:r>
      </w:hyperlink>
      <w:r>
        <w:t xml:space="preserve"> </w:t>
      </w:r>
      <w:r>
        <w:t xml:space="preserve">mantém em Ponta Grossa um CST em Automação Industrial presencial, noturno e com duração de 3 anos; o curso obteve nota 5 em avaliação do MEC. O Instituto Federal de São Paulo</w:t>
      </w:r>
      <w:hyperlink r:id="rId23">
        <w:r>
          <w:rPr>
            <w:rStyle w:val="Hyperlink"/>
          </w:rPr>
          <w:t xml:space="preserve">[29]</w:t>
        </w:r>
      </w:hyperlink>
      <w:r>
        <w:t xml:space="preserve"> </w:t>
      </w:r>
      <w:r>
        <w:t xml:space="preserve">lista Tecnologia em Automação Industrial em vários campi. A rede Centro Paula Souza</w:t>
      </w:r>
      <w:hyperlink r:id="rId24">
        <w:r>
          <w:rPr>
            <w:rStyle w:val="Hyperlink"/>
          </w:rPr>
          <w:t xml:space="preserve">[30]</w:t>
        </w:r>
      </w:hyperlink>
      <w:r>
        <w:t xml:space="preserve">, por meio das Fatecs, oferece cursos de Automação Industrial e Mecatrônica Industrial, inclusive em turno da noite, e explicita formação em PLC, robótica, microprocessadores e máquinas elétricas. Esses benchmarks mostram que o modelo proposto para a UFU não é exótico; ele já é praticado em ambientes institucionais de referência.</w:t>
      </w:r>
      <w:r>
        <w:t xml:space="preserve"> </w:t>
      </w:r>
      <w:hyperlink r:id="rId35">
        <w:r>
          <w:rPr>
            <w:rStyle w:val="Hyperlink"/>
          </w:rPr>
          <w:t xml:space="preserve">[31]</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Instituição benchmark</w:t>
            </w:r>
          </w:p>
        </w:tc>
        <w:tc>
          <w:tcPr/>
          <w:p>
            <w:pPr>
              <w:pStyle w:val="Compact"/>
            </w:pPr>
            <w:r>
              <w:t xml:space="preserve">Curso</w:t>
            </w:r>
          </w:p>
        </w:tc>
        <w:tc>
          <w:tcPr/>
          <w:p>
            <w:pPr>
              <w:pStyle w:val="Compact"/>
            </w:pPr>
            <w:r>
              <w:t xml:space="preserve">Formato</w:t>
            </w:r>
          </w:p>
        </w:tc>
        <w:tc>
          <w:tcPr/>
          <w:p>
            <w:pPr>
              <w:pStyle w:val="Compact"/>
            </w:pPr>
            <w:r>
              <w:t xml:space="preserve">Evidência relevante</w:t>
            </w:r>
          </w:p>
        </w:tc>
      </w:tr>
      <w:tr>
        <w:tc>
          <w:tcPr/>
          <w:p>
            <w:pPr>
              <w:pStyle w:val="Compact"/>
            </w:pPr>
            <w:r>
              <w:t xml:space="preserve">UTFPR Ponta Grossa</w:t>
            </w:r>
          </w:p>
        </w:tc>
        <w:tc>
          <w:tcPr/>
          <w:p>
            <w:pPr>
              <w:pStyle w:val="Compact"/>
            </w:pPr>
            <w:r>
              <w:t xml:space="preserve">Tecnologia em Automação Industrial</w:t>
            </w:r>
          </w:p>
        </w:tc>
        <w:tc>
          <w:tcPr/>
          <w:p>
            <w:pPr>
              <w:pStyle w:val="Compact"/>
            </w:pPr>
            <w:r>
              <w:t xml:space="preserve">Presencial, noturno, 3 anos</w:t>
            </w:r>
          </w:p>
        </w:tc>
        <w:tc>
          <w:tcPr/>
          <w:p>
            <w:pPr>
              <w:pStyle w:val="Compact"/>
            </w:pPr>
            <w:r>
              <w:t xml:space="preserve">Curso público federal noturno; nota 5 MEC</w:t>
            </w:r>
          </w:p>
        </w:tc>
      </w:tr>
      <w:tr>
        <w:tc>
          <w:tcPr/>
          <w:p>
            <w:pPr>
              <w:pStyle w:val="Compact"/>
            </w:pPr>
            <w:r>
              <w:t xml:space="preserve">IFSP</w:t>
            </w:r>
          </w:p>
        </w:tc>
        <w:tc>
          <w:tcPr/>
          <w:p>
            <w:pPr>
              <w:pStyle w:val="Compact"/>
            </w:pPr>
            <w:r>
              <w:t xml:space="preserve">Tecnologia em Automação Industrial</w:t>
            </w:r>
          </w:p>
        </w:tc>
        <w:tc>
          <w:tcPr/>
          <w:p>
            <w:pPr>
              <w:pStyle w:val="Compact"/>
            </w:pPr>
            <w:r>
              <w:t xml:space="preserve">Presencial, múltiplos campi</w:t>
            </w:r>
          </w:p>
        </w:tc>
        <w:tc>
          <w:tcPr/>
          <w:p>
            <w:pPr>
              <w:pStyle w:val="Compact"/>
            </w:pPr>
            <w:r>
              <w:t xml:space="preserve">Escala de oferta em rede pública federal</w:t>
            </w:r>
          </w:p>
        </w:tc>
      </w:tr>
      <w:tr>
        <w:tc>
          <w:tcPr/>
          <w:p>
            <w:pPr>
              <w:pStyle w:val="Compact"/>
            </w:pPr>
            <w:r>
              <w:t xml:space="preserve">Fatec</w:t>
            </w:r>
          </w:p>
        </w:tc>
        <w:tc>
          <w:tcPr/>
          <w:p>
            <w:pPr>
              <w:pStyle w:val="Compact"/>
            </w:pPr>
            <w:r>
              <w:t xml:space="preserve">Automação Industrial / Mecatrônica Industrial</w:t>
            </w:r>
          </w:p>
        </w:tc>
        <w:tc>
          <w:tcPr/>
          <w:p>
            <w:pPr>
              <w:pStyle w:val="Compact"/>
            </w:pPr>
            <w:r>
              <w:t xml:space="preserve">Presencial, inclusive noturno</w:t>
            </w:r>
          </w:p>
        </w:tc>
        <w:tc>
          <w:tcPr/>
          <w:p>
            <w:pPr>
              <w:pStyle w:val="Compact"/>
            </w:pPr>
            <w:r>
              <w:t xml:space="preserve">Currículo aplicado com PLC, robótica e manufatura</w:t>
            </w:r>
          </w:p>
        </w:tc>
      </w:tr>
      <w:tr>
        <w:tc>
          <w:tcPr/>
          <w:p>
            <w:pPr>
              <w:pStyle w:val="Compact"/>
            </w:pPr>
            <w:r>
              <w:t xml:space="preserve">SENAI Paraná</w:t>
            </w:r>
          </w:p>
        </w:tc>
        <w:tc>
          <w:tcPr/>
          <w:p>
            <w:pPr>
              <w:pStyle w:val="Compact"/>
            </w:pPr>
            <w:r>
              <w:t xml:space="preserve">Trilhas em automação e indústria</w:t>
            </w:r>
          </w:p>
        </w:tc>
        <w:tc>
          <w:tcPr/>
          <w:p>
            <w:pPr>
              <w:pStyle w:val="Compact"/>
            </w:pPr>
            <w:r>
              <w:t xml:space="preserve">Técnico / qualificação / graduação tecnológica em rede</w:t>
            </w:r>
          </w:p>
        </w:tc>
        <w:tc>
          <w:tcPr/>
          <w:p>
            <w:pPr>
              <w:pStyle w:val="Compact"/>
            </w:pPr>
            <w:r>
              <w:t xml:space="preserve">Forte aderência ao setor produtivo</w:t>
            </w:r>
          </w:p>
        </w:tc>
      </w:tr>
    </w:tbl>
    <w:p>
      <w:pPr>
        <w:pStyle w:val="BodyText"/>
      </w:pPr>
      <w:r>
        <w:t xml:space="preserve">As informações do quadro vêm das páginas oficiais das instituições e de seus vestibulares/editais.</w:t>
      </w:r>
      <w:r>
        <w:t xml:space="preserve"> </w:t>
      </w:r>
      <w:hyperlink r:id="rId35">
        <w:r>
          <w:rPr>
            <w:rStyle w:val="Hyperlink"/>
          </w:rPr>
          <w:t xml:space="preserve">[32]</w:t>
        </w:r>
      </w:hyperlink>
    </w:p>
    <w:p>
      <w:pPr>
        <w:pStyle w:val="BodyText"/>
      </w:pPr>
      <w:r>
        <w:t xml:space="preserve">A comparação entre o tecnólogo proposto e o bacharelado em Engenharia de Controle e Automação da UFU deve ser feita com precisão institucional. O bacharelado da UFU é integral, de 10 períodos, e permanece estratégico para formação ampla, aprofundada e articulada com pesquisa, pós-graduação e desenvolvimento de sistemas complexos. Já o CST, à luz dos benchmarks nacionais, é mais curto, noturno, fortemente aplicado e orientado a implantação, operação, integração, manutenção, troubleshoot</w:t>
      </w:r>
      <w:r>
        <w:softHyphen/>
      </w:r>
      <w:r>
        <w:t xml:space="preserve">ing e melhoria contínua. Portanto,</w:t>
      </w:r>
      <w:r>
        <w:t xml:space="preserve"> </w:t>
      </w:r>
      <w:r>
        <w:rPr>
          <w:b/>
          <w:bCs/>
        </w:rPr>
        <w:t xml:space="preserve">não são produtos equivalentes</w:t>
      </w:r>
      <w:r>
        <w:t xml:space="preserve">. O CST não rebaixa a engenharia; ele preenche um vazio intermediário no ecossistema industrial regional.</w:t>
      </w:r>
      <w:r>
        <w:t xml:space="preserve"> </w:t>
      </w:r>
      <w:hyperlink r:id="rId24">
        <w:r>
          <w:rPr>
            <w:rStyle w:val="Hyperlink"/>
          </w:rPr>
          <w:t xml:space="preserve">[33]</w:t>
        </w:r>
      </w:hyperlink>
    </w:p>
    <w:p>
      <w:pPr>
        <w:pStyle w:val="BodyText"/>
      </w:pPr>
      <w:r>
        <w:t xml:space="preserve">Há, inclusive, indícios de benchmarking para verticalização. A UTFPR mantém documentação de equivalência entre disciplinas do tecnólogo em Automação Industrial e da engenharia, o que evidencia que sistemas institucionais podem tratar os dois percursos como</w:t>
      </w:r>
      <w:r>
        <w:t xml:space="preserve"> </w:t>
      </w:r>
      <w:r>
        <w:rPr>
          <w:b/>
          <w:bCs/>
        </w:rPr>
        <w:t xml:space="preserve">trajetórias complementares</w:t>
      </w:r>
      <w:r>
        <w:t xml:space="preserve">, e não rivais. Esse ponto é particularmente importante para a UFU: o CST pode funcionar simultaneamente como terminalidade profissional de alta empregabilidade e como via de continuidade acadêmica para uma parcela dos egressos.</w:t>
      </w:r>
      <w:r>
        <w:t xml:space="preserve"> </w:t>
      </w:r>
      <w:hyperlink r:id="rId36">
        <w:r>
          <w:rPr>
            <w:rStyle w:val="Hyperlink"/>
          </w:rPr>
          <w:t xml:space="preserve">[34]</w:t>
        </w:r>
      </w:hyperlink>
    </w:p>
    <w:bookmarkEnd w:id="37"/>
    <w:bookmarkStart w:id="41" w:name="impactos-estratégicos-tendências-e-swot"/>
    <w:p>
      <w:pPr>
        <w:pStyle w:val="Heading2"/>
      </w:pPr>
      <w:r>
        <w:t xml:space="preserve">Impactos estratégicos, tendências e SWOT</w:t>
      </w:r>
    </w:p>
    <w:p>
      <w:pPr>
        <w:pStyle w:val="FirstParagraph"/>
      </w:pPr>
      <w:r>
        <w:t xml:space="preserve">Regionalmente, o impacto esperado é triplo. Primeiro, industrial: reduzir o hiato entre formação técnica média e engenharia plena em um território com forte peso de alimentos, bebidas, celulose, utilidades e manufatura. Segundo, social: abrir uma porta de ensino superior público federal noturno para trabalhadores que não conseguem acessar cursos integrais. Terceiro, territorial: reforçar a centralidade de Uberlândia como Capital Regional B também no vetor de educação tecnológica aplicada, e não apenas em comércio e serviços. Como Uberlândia já concentra 78,8% do valor adicionado industrial regional, a probabilidade de retenção regional dos benefícios do curso é alta.</w:t>
      </w:r>
      <w:r>
        <w:t xml:space="preserve"> </w:t>
      </w:r>
      <w:hyperlink r:id="rId38">
        <w:r>
          <w:rPr>
            <w:rStyle w:val="Hyperlink"/>
          </w:rPr>
          <w:t xml:space="preserve">[35]</w:t>
        </w:r>
      </w:hyperlink>
    </w:p>
    <w:p>
      <w:pPr>
        <w:pStyle w:val="BodyText"/>
      </w:pPr>
      <w:r>
        <w:t xml:space="preserve">No plano nacional, o alinhamento é claro com a agenda de neoindustrialização. O Ministério do Desenvolvimento, Indústria, Comércio e Serviços</w:t>
      </w:r>
      <w:hyperlink r:id="rId35">
        <w:r>
          <w:rPr>
            <w:rStyle w:val="Hyperlink"/>
          </w:rPr>
          <w:t xml:space="preserve">[36]</w:t>
        </w:r>
      </w:hyperlink>
      <w:r>
        <w:t xml:space="preserve"> </w:t>
      </w:r>
      <w:r>
        <w:t xml:space="preserve">estabeleceu, no âmbito da Nova Indústria Brasil, a meta de transformar digitalmente 50% das empresas industriais brasileiras até 2033, com meta intermediária de 25% em 2026; em 2023, o percentual informado era 18,9%. Além disso, o programa Brasil Mais Produtivo foi relançado com R$ 2 bilhões para atender 200 mil empresas até 2027, em parceria com BNDES, Finep, Embrapii, ABDI, Sebrae e SENAI. Um CST noturno em automação industrial, em universidade federal localizada num polo industrial real, conversa diretamente com essa agenda de modernização produtiva.</w:t>
      </w:r>
      <w:r>
        <w:t xml:space="preserve"> </w:t>
      </w:r>
      <w:hyperlink r:id="rId39">
        <w:r>
          <w:rPr>
            <w:rStyle w:val="Hyperlink"/>
          </w:rPr>
          <w:t xml:space="preserve">[37]</w:t>
        </w:r>
      </w:hyperlink>
    </w:p>
    <w:p>
      <w:pPr>
        <w:pStyle w:val="BodyText"/>
      </w:pPr>
      <w:r>
        <w:t xml:space="preserve">As tendências tecnológicas reforçam, e não reduzem, a relevância do curso. A ABDI vem associando a evolução do controle e automação industrial ao IIoT; o BNDES descreve manufatura avançada como fusão entre mundos físico e digital via sistemas ciberfísicos; a Federação Internacional de Robótica registrou 542 mil robôs industriais instalados globalmente em 2024, mais do que o dobro de dez anos antes; e relatórios recentes destacam IA física, IA analítica, IA generativa e manutenção assistida por IA como vetores de transformação das operações industriais. Em termos curriculares, isso significa que o curso nasce atual se incorporar PLC/SCADA/redes industriais, sensores, dados industriais, manutenção preditiva, integração OT/IT, visão computacional aplicada, robótica colaborativa e fundamentos de IA industrial no nível operacional.</w:t>
      </w:r>
      <w:r>
        <w:t xml:space="preserve"> </w:t>
      </w:r>
      <w:hyperlink r:id="rId40">
        <w:r>
          <w:rPr>
            <w:rStyle w:val="Hyperlink"/>
          </w:rPr>
          <w:t xml:space="preserve">[38]</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Forças</w:t>
            </w:r>
          </w:p>
        </w:tc>
        <w:tc>
          <w:tcPr/>
          <w:p>
            <w:pPr>
              <w:pStyle w:val="Compact"/>
            </w:pPr>
            <w:r>
              <w:t xml:space="preserve">Fraquezas</w:t>
            </w:r>
          </w:p>
        </w:tc>
      </w:tr>
      <w:tr>
        <w:tc>
          <w:tcPr/>
          <w:p>
            <w:pPr>
              <w:pStyle w:val="Compact"/>
            </w:pPr>
            <w:r>
              <w:t xml:space="preserve">Base instalada da FEELT; 72 docentes; 16 laboratórios; departamento próprio; LASEC e grupos de pesquisa; reputação federal</w:t>
            </w:r>
          </w:p>
        </w:tc>
        <w:tc>
          <w:tcPr/>
          <w:p>
            <w:pPr>
              <w:pStyle w:val="Compact"/>
            </w:pPr>
            <w:r>
              <w:t xml:space="preserve">Ausência, até aqui, de série histórica local específica para CST em automação; necessidade de desenho curricular muito aderente ao trabalhador</w:t>
            </w:r>
          </w:p>
        </w:tc>
      </w:tr>
      <w:tr>
        <w:tc>
          <w:tcPr/>
          <w:p>
            <w:pPr>
              <w:pStyle w:val="Compact"/>
            </w:pPr>
            <w:r>
              <w:t xml:space="preserve">Oportunidades</w:t>
            </w:r>
          </w:p>
        </w:tc>
        <w:tc>
          <w:tcPr/>
          <w:p>
            <w:pPr>
              <w:pStyle w:val="Compact"/>
            </w:pPr>
            <w:r>
              <w:t xml:space="preserve">Ameaças</w:t>
            </w:r>
          </w:p>
        </w:tc>
      </w:tr>
      <w:tr>
        <w:tc>
          <w:tcPr/>
          <w:p>
            <w:pPr>
              <w:pStyle w:val="Compact"/>
            </w:pPr>
            <w:r>
              <w:t xml:space="preserve">Lacuna local de oferta federal presencial noturna; digitalização industrial; pipeline técnico regional; baixa concorrência direta</w:t>
            </w:r>
          </w:p>
        </w:tc>
        <w:tc>
          <w:tcPr/>
          <w:p>
            <w:pPr>
              <w:pStyle w:val="Compact"/>
            </w:pPr>
            <w:r>
              <w:t xml:space="preserve">Expansão de ofertantes EAD/semipresenciais privados; risco de currículo excessivamente teórico e pouco aplicado; disputa por tempo do aluno trabalhador</w:t>
            </w:r>
          </w:p>
        </w:tc>
      </w:tr>
    </w:tbl>
    <w:p>
      <w:pPr>
        <w:pStyle w:val="BodyText"/>
      </w:pPr>
      <w:r>
        <w:t xml:space="preserve">A leitura SWOT deriva da combinação entre a situação institucional da FEELT, o mercado regional e o cenário concorrencial identificado.</w:t>
      </w:r>
      <w:r>
        <w:t xml:space="preserve"> </w:t>
      </w:r>
      <w:hyperlink r:id="rId22">
        <w:r>
          <w:rPr>
            <w:rStyle w:val="Hyperlink"/>
          </w:rPr>
          <w:t xml:space="preserve">[39]</w:t>
        </w:r>
      </w:hyperlink>
    </w:p>
    <w:p>
      <w:pPr>
        <w:pStyle w:val="BodyText"/>
      </w:pPr>
      <w:r>
        <w:t xml:space="preserve">Como apoio à tomada de decisão em colegiados e conselhos, os gráficos mais úteis para uma apresentação institucional seriam: participação de Uberlândia no valor agregado industrial regional; empregos industriais por setor na Regional Vale do Paranaíba; mapa de oferta concorrente (Uberlândia, Ituiutaba e benchmark nacional); relação entre demanda potencial e vagas propostas; e cenários de absorção de egressos em 5 e 10 anos. Esses gráficos podem ser construídos exclusivamente com as bases utilizadas neste relatório.</w:t>
      </w:r>
      <w:r>
        <w:t xml:space="preserve"> </w:t>
      </w:r>
      <w:hyperlink r:id="rId23">
        <w:r>
          <w:rPr>
            <w:rStyle w:val="Hyperlink"/>
          </w:rPr>
          <w:t xml:space="preserve">[40]</w:t>
        </w:r>
      </w:hyperlink>
    </w:p>
    <w:bookmarkEnd w:id="41"/>
    <w:bookmarkStart w:id="42" w:name="conclusão-técnica"/>
    <w:p>
      <w:pPr>
        <w:pStyle w:val="Heading2"/>
      </w:pPr>
      <w:r>
        <w:t xml:space="preserve">Conclusão técnica</w:t>
      </w:r>
    </w:p>
    <w:p>
      <w:pPr>
        <w:pStyle w:val="FirstParagraph"/>
      </w:pPr>
      <w:r>
        <w:t xml:space="preserve">A conclusão deste estudo é que a criação de um</w:t>
      </w:r>
      <w:r>
        <w:t xml:space="preserve"> </w:t>
      </w:r>
      <w:r>
        <w:rPr>
          <w:b/>
          <w:bCs/>
        </w:rPr>
        <w:t xml:space="preserve">Curso Superior de Tecnologia noturno em Automação Industrial na UFU, vinculado à FEELT</w:t>
      </w:r>
      <w:r>
        <w:t xml:space="preserve">, é</w:t>
      </w:r>
      <w:r>
        <w:t xml:space="preserve"> </w:t>
      </w:r>
      <w:r>
        <w:rPr>
          <w:b/>
          <w:bCs/>
        </w:rPr>
        <w:t xml:space="preserve">tecnicamente recomendável e estrategicamente coerente</w:t>
      </w:r>
      <w:r>
        <w:t xml:space="preserve"> </w:t>
      </w:r>
      <w:r>
        <w:t xml:space="preserve">com o contexto institucional da universidade, com a estrutura econômica de Uberlândia e da Regional Vale do Paranaíba, com a lacuna efetiva de mercado local e com a agenda nacional de transformação digital da indústria. A proposta não depende, para se justificar academicamente, de uma tese de expansão física; ela se sustenta pelo aproveitamento inteligente de uma competência instalada já madura.</w:t>
      </w:r>
      <w:r>
        <w:t xml:space="preserve"> </w:t>
      </w:r>
      <w:hyperlink r:id="rId22">
        <w:r>
          <w:rPr>
            <w:rStyle w:val="Hyperlink"/>
          </w:rPr>
          <w:t xml:space="preserve">[41]</w:t>
        </w:r>
      </w:hyperlink>
    </w:p>
    <w:p>
      <w:pPr>
        <w:pStyle w:val="BodyText"/>
      </w:pPr>
      <w:r>
        <w:t xml:space="preserve">Do ponto de vista concorrencial, a UFU entraria em um nicho hoje pouco ocupado: formação superior tecnológica, pública federal, presencial e noturna em automação industrial em Uberlândia. Do ponto de vista econômico, ela se posicionaria no centro do principal núcleo industrial do recorte regional. E, do ponto de vista acadêmico, faria isso apoiada em um departamento já constituído, laboratórios já existentes, grupos de pesquisa já ativos e tradição já reconhecida na área. Em síntese:</w:t>
      </w:r>
      <w:r>
        <w:t xml:space="preserve"> </w:t>
      </w:r>
      <w:r>
        <w:rPr>
          <w:b/>
          <w:bCs/>
        </w:rPr>
        <w:t xml:space="preserve">o curso seria menos uma expansão aventureira e mais uma evolução natural da missão regional da UFU</w:t>
      </w:r>
      <w:r>
        <w:t xml:space="preserve">.</w:t>
      </w:r>
      <w:r>
        <w:t xml:space="preserve"> </w:t>
      </w:r>
      <w:hyperlink r:id="rId24">
        <w:r>
          <w:rPr>
            <w:rStyle w:val="Hyperlink"/>
          </w:rPr>
          <w:t xml:space="preserve">[42]</w:t>
        </w:r>
      </w:hyperlink>
    </w:p>
    <w:p>
      <w:pPr>
        <w:pStyle w:val="BodyText"/>
      </w:pPr>
      <w:r>
        <w:t xml:space="preserve">Se a UFU optar por avançar, a recomendação institucional mais prudente é desenhar o CST como formação explicitamente aplicada, noturna, fortemente conectada a manutenção, integração industrial, redes, supervisão, PLC/SCADA, utilidades, dados industriais e troubleshooting, preservando o bacharelado em Engenharia de Controle e Automação como trilha distinta e superiormente aprofundada. Nessa configuração, o bacharelado continua estratégico; o CST passa a ocupar a lacuna intermediária de que o território produtivo regional hoje mais carece.</w:t>
      </w:r>
      <w:r>
        <w:t xml:space="preserve"> </w:t>
      </w:r>
      <w:hyperlink r:id="rId24">
        <w:r>
          <w:rPr>
            <w:rStyle w:val="Hyperlink"/>
          </w:rPr>
          <w:t xml:space="preserve">[43]</w:t>
        </w:r>
      </w:hyperlink>
    </w:p>
    <w:p>
      <w:pPr>
        <w:pStyle w:val="BodyText"/>
      </w:pPr>
      <w:r>
        <w:t xml:space="preserve">Do ponto de vista de demanda, uma coorte inicial na faixa de</w:t>
      </w:r>
      <w:r>
        <w:t xml:space="preserve"> </w:t>
      </w:r>
      <w:r>
        <w:rPr>
          <w:b/>
          <w:bCs/>
        </w:rPr>
        <w:t xml:space="preserve">30 a 40 vagas anuais</w:t>
      </w:r>
      <w:r>
        <w:t xml:space="preserve"> </w:t>
      </w:r>
      <w:r>
        <w:t xml:space="preserve">é compatível com o hiato identificado e com a absorção mínima estimada neste relatório. A calibração fina de vagas, periodicidade de entrada e matriz curricular deve ser feita internamente pela universidade; a viabilidade de mercado, contudo, já aparece como suficientemente demonstrada.</w:t>
      </w:r>
      <w:r>
        <w:t xml:space="preserve"> </w:t>
      </w:r>
      <w:hyperlink r:id="rId23">
        <w:r>
          <w:rPr>
            <w:rStyle w:val="Hyperlink"/>
          </w:rPr>
          <w:t xml:space="preserve">[44]</w:t>
        </w:r>
      </w:hyperlink>
    </w:p>
    <w:bookmarkEnd w:id="42"/>
    <w:bookmarkEnd w:id="43"/>
    <w:bookmarkEnd w:id="44"/>
    <w:p>
      <w:r>
        <w:pict>
          <v:rect style="width:0;height:1.5pt" o:hralign="center" o:hrstd="t" o:hr="t"/>
        </w:pict>
      </w:r>
    </w:p>
    <w:bookmarkStart w:id="45" w:name="citations"/>
    <w:p>
      <w:pPr>
        <w:pStyle w:val="FirstParagraph"/>
      </w:pPr>
      <w:hyperlink r:id="rId21">
        <w:r>
          <w:rPr>
            <w:rStyle w:val="Hyperlink"/>
          </w:rPr>
          <w:t xml:space="preserve">[1]</w:t>
        </w:r>
      </w:hyperlink>
      <w:r>
        <w:t xml:space="preserve"> </w:t>
      </w:r>
      <w:hyperlink r:id="rId21">
        <w:r>
          <w:rPr>
            <w:rStyle w:val="Hyperlink"/>
          </w:rPr>
          <w:t xml:space="preserve">[15]</w:t>
        </w:r>
      </w:hyperlink>
      <w:r>
        <w:t xml:space="preserve"> </w:t>
      </w:r>
      <w:hyperlink r:id="rId21">
        <w:r>
          <w:rPr>
            <w:rStyle w:val="Hyperlink"/>
          </w:rPr>
          <w:t xml:space="preserve">[28]</w:t>
        </w:r>
      </w:hyperlink>
      <w:r>
        <w:t xml:space="preserve"> </w:t>
      </w:r>
      <w:r>
        <w:t xml:space="preserve">https://iftm.edu.br/cursos/ituiutaba/tecnologo/automacao-industrial/</w:t>
      </w:r>
    </w:p>
    <w:p>
      <w:pPr>
        <w:pStyle w:val="BodyText"/>
      </w:pPr>
      <w:hyperlink r:id="rId21">
        <w:r>
          <w:rPr>
            <w:rStyle w:val="Hyperlink"/>
          </w:rPr>
          <w:t xml:space="preserve">https://iftm.edu.br/cursos/ituiutaba/tecnologo/automacao-industrial/</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[9]</w:t>
        </w:r>
      </w:hyperlink>
      <w:r>
        <w:t xml:space="preserve"> </w:t>
      </w:r>
      <w:hyperlink r:id="rId22">
        <w:r>
          <w:rPr>
            <w:rStyle w:val="Hyperlink"/>
          </w:rPr>
          <w:t xml:space="preserve">[11]</w:t>
        </w:r>
      </w:hyperlink>
      <w:r>
        <w:t xml:space="preserve"> </w:t>
      </w:r>
      <w:hyperlink r:id="rId22">
        <w:r>
          <w:rPr>
            <w:rStyle w:val="Hyperlink"/>
          </w:rPr>
          <w:t xml:space="preserve">[14]</w:t>
        </w:r>
      </w:hyperlink>
      <w:r>
        <w:t xml:space="preserve"> </w:t>
      </w:r>
      <w:hyperlink r:id="rId22">
        <w:r>
          <w:rPr>
            <w:rStyle w:val="Hyperlink"/>
          </w:rPr>
          <w:t xml:space="preserve">[16]</w:t>
        </w:r>
      </w:hyperlink>
      <w:r>
        <w:t xml:space="preserve"> </w:t>
      </w:r>
      <w:hyperlink r:id="rId22">
        <w:r>
          <w:rPr>
            <w:rStyle w:val="Hyperlink"/>
          </w:rPr>
          <w:t xml:space="preserve">[39]</w:t>
        </w:r>
      </w:hyperlink>
      <w:r>
        <w:t xml:space="preserve"> </w:t>
      </w:r>
      <w:hyperlink r:id="rId22">
        <w:r>
          <w:rPr>
            <w:rStyle w:val="Hyperlink"/>
          </w:rPr>
          <w:t xml:space="preserve">[41]</w:t>
        </w:r>
      </w:hyperlink>
      <w:r>
        <w:t xml:space="preserve"> </w:t>
      </w:r>
      <w:r>
        <w:t xml:space="preserve">https://www.feelt.ufu.br/en/numeros</w:t>
      </w:r>
    </w:p>
    <w:p>
      <w:pPr>
        <w:pStyle w:val="BodyText"/>
      </w:pPr>
      <w:hyperlink r:id="rId22">
        <w:r>
          <w:rPr>
            <w:rStyle w:val="Hyperlink"/>
          </w:rPr>
          <w:t xml:space="preserve">https://www.feelt.ufu.br/en/numeros</w:t>
        </w:r>
      </w:hyperlink>
    </w:p>
    <w:p>
      <w:pPr>
        <w:pStyle w:val="BodyText"/>
      </w:pPr>
      <w:hyperlink r:id="rId23">
        <w:r>
          <w:rPr>
            <w:rStyle w:val="Hyperlink"/>
          </w:rPr>
          <w:t xml:space="preserve">[6]</w:t>
        </w:r>
      </w:hyperlink>
      <w:r>
        <w:t xml:space="preserve"> </w:t>
      </w:r>
      <w:hyperlink r:id="rId23">
        <w:r>
          <w:rPr>
            <w:rStyle w:val="Hyperlink"/>
          </w:rPr>
          <w:t xml:space="preserve">[7]</w:t>
        </w:r>
      </w:hyperlink>
      <w:r>
        <w:t xml:space="preserve"> </w:t>
      </w:r>
      <w:hyperlink r:id="rId23">
        <w:r>
          <w:rPr>
            <w:rStyle w:val="Hyperlink"/>
          </w:rPr>
          <w:t xml:space="preserve">[8]</w:t>
        </w:r>
      </w:hyperlink>
      <w:r>
        <w:t xml:space="preserve"> </w:t>
      </w:r>
      <w:hyperlink r:id="rId23">
        <w:r>
          <w:rPr>
            <w:rStyle w:val="Hyperlink"/>
          </w:rPr>
          <w:t xml:space="preserve">[12]</w:t>
        </w:r>
      </w:hyperlink>
      <w:r>
        <w:t xml:space="preserve"> </w:t>
      </w:r>
      <w:hyperlink r:id="rId23">
        <w:r>
          <w:rPr>
            <w:rStyle w:val="Hyperlink"/>
          </w:rPr>
          <w:t xml:space="preserve">[20]</w:t>
        </w:r>
      </w:hyperlink>
      <w:r>
        <w:t xml:space="preserve"> </w:t>
      </w:r>
      <w:hyperlink r:id="rId23">
        <w:r>
          <w:rPr>
            <w:rStyle w:val="Hyperlink"/>
          </w:rPr>
          <w:t xml:space="preserve">[24]</w:t>
        </w:r>
      </w:hyperlink>
      <w:r>
        <w:t xml:space="preserve"> </w:t>
      </w:r>
      <w:hyperlink r:id="rId23">
        <w:r>
          <w:rPr>
            <w:rStyle w:val="Hyperlink"/>
          </w:rPr>
          <w:t xml:space="preserve">[25]</w:t>
        </w:r>
      </w:hyperlink>
      <w:r>
        <w:t xml:space="preserve"> </w:t>
      </w:r>
      <w:hyperlink r:id="rId23">
        <w:r>
          <w:rPr>
            <w:rStyle w:val="Hyperlink"/>
          </w:rPr>
          <w:t xml:space="preserve">[26]</w:t>
        </w:r>
      </w:hyperlink>
      <w:r>
        <w:t xml:space="preserve"> </w:t>
      </w:r>
      <w:hyperlink r:id="rId23">
        <w:r>
          <w:rPr>
            <w:rStyle w:val="Hyperlink"/>
          </w:rPr>
          <w:t xml:space="preserve">[29]</w:t>
        </w:r>
      </w:hyperlink>
      <w:r>
        <w:t xml:space="preserve"> </w:t>
      </w:r>
      <w:hyperlink r:id="rId23">
        <w:r>
          <w:rPr>
            <w:rStyle w:val="Hyperlink"/>
          </w:rPr>
          <w:t xml:space="preserve">[40]</w:t>
        </w:r>
      </w:hyperlink>
      <w:r>
        <w:t xml:space="preserve"> </w:t>
      </w:r>
      <w:hyperlink r:id="rId23">
        <w:r>
          <w:rPr>
            <w:rStyle w:val="Hyperlink"/>
          </w:rPr>
          <w:t xml:space="preserve">[44]</w:t>
        </w:r>
      </w:hyperlink>
      <w:r>
        <w:t xml:space="preserve"> </w:t>
      </w:r>
      <w:r>
        <w:t xml:space="preserve">https://www.fiemg.com.br/wp-content/uploads/2026/04/Painel_Vale-do-Paranaiba.pdf</w:t>
      </w:r>
    </w:p>
    <w:p>
      <w:pPr>
        <w:pStyle w:val="BodyText"/>
      </w:pPr>
      <w:hyperlink r:id="rId23">
        <w:r>
          <w:rPr>
            <w:rStyle w:val="Hyperlink"/>
          </w:rPr>
          <w:t xml:space="preserve">https://www.fiemg.com.br/wp-content/uploads/2026/04/Painel_Vale-do-Paranaiba.pdf</w:t>
        </w:r>
      </w:hyperlink>
    </w:p>
    <w:p>
      <w:pPr>
        <w:pStyle w:val="BodyText"/>
      </w:pPr>
      <w:hyperlink r:id="rId24">
        <w:r>
          <w:rPr>
            <w:rStyle w:val="Hyperlink"/>
          </w:rPr>
          <w:t xml:space="preserve">[10]</w:t>
        </w:r>
      </w:hyperlink>
      <w:r>
        <w:t xml:space="preserve"> </w:t>
      </w:r>
      <w:hyperlink r:id="rId24">
        <w:r>
          <w:rPr>
            <w:rStyle w:val="Hyperlink"/>
          </w:rPr>
          <w:t xml:space="preserve">[17]</w:t>
        </w:r>
      </w:hyperlink>
      <w:r>
        <w:t xml:space="preserve"> </w:t>
      </w:r>
      <w:hyperlink r:id="rId24">
        <w:r>
          <w:rPr>
            <w:rStyle w:val="Hyperlink"/>
          </w:rPr>
          <w:t xml:space="preserve">[18]</w:t>
        </w:r>
      </w:hyperlink>
      <w:r>
        <w:t xml:space="preserve"> </w:t>
      </w:r>
      <w:hyperlink r:id="rId24">
        <w:r>
          <w:rPr>
            <w:rStyle w:val="Hyperlink"/>
          </w:rPr>
          <w:t xml:space="preserve">[19]</w:t>
        </w:r>
      </w:hyperlink>
      <w:r>
        <w:t xml:space="preserve"> </w:t>
      </w:r>
      <w:hyperlink r:id="rId24">
        <w:r>
          <w:rPr>
            <w:rStyle w:val="Hyperlink"/>
          </w:rPr>
          <w:t xml:space="preserve">[27]</w:t>
        </w:r>
      </w:hyperlink>
      <w:r>
        <w:t xml:space="preserve"> </w:t>
      </w:r>
      <w:hyperlink r:id="rId24">
        <w:r>
          <w:rPr>
            <w:rStyle w:val="Hyperlink"/>
          </w:rPr>
          <w:t xml:space="preserve">[30]</w:t>
        </w:r>
      </w:hyperlink>
      <w:r>
        <w:t xml:space="preserve"> </w:t>
      </w:r>
      <w:hyperlink r:id="rId24">
        <w:r>
          <w:rPr>
            <w:rStyle w:val="Hyperlink"/>
          </w:rPr>
          <w:t xml:space="preserve">[33]</w:t>
        </w:r>
      </w:hyperlink>
      <w:r>
        <w:t xml:space="preserve"> </w:t>
      </w:r>
      <w:hyperlink r:id="rId24">
        <w:r>
          <w:rPr>
            <w:rStyle w:val="Hyperlink"/>
          </w:rPr>
          <w:t xml:space="preserve">[42]</w:t>
        </w:r>
      </w:hyperlink>
      <w:r>
        <w:t xml:space="preserve"> </w:t>
      </w:r>
      <w:hyperlink r:id="rId24">
        <w:r>
          <w:rPr>
            <w:rStyle w:val="Hyperlink"/>
          </w:rPr>
          <w:t xml:space="preserve">[43]</w:t>
        </w:r>
      </w:hyperlink>
      <w:r>
        <w:t xml:space="preserve"> </w:t>
      </w:r>
      <w:r>
        <w:t xml:space="preserve">https://www.portal.prograd.ufu.br/servicos/arquivo_administrativo/download/624ec1c881656ee6418604df2928494b</w:t>
      </w:r>
    </w:p>
    <w:p>
      <w:pPr>
        <w:pStyle w:val="BodyText"/>
      </w:pPr>
      <w:hyperlink r:id="rId24">
        <w:r>
          <w:rPr>
            <w:rStyle w:val="Hyperlink"/>
          </w:rPr>
          <w:t xml:space="preserve">https://www.portal.prograd.ufu.br/servicos/arquivo_administrativo/download/624ec1c881656ee6418604df2928494b</w:t>
        </w:r>
      </w:hyperlink>
    </w:p>
    <w:p>
      <w:pPr>
        <w:pStyle w:val="BodyText"/>
      </w:pPr>
      <w:hyperlink r:id="rId26">
        <w:r>
          <w:rPr>
            <w:rStyle w:val="Hyperlink"/>
          </w:rPr>
          <w:t xml:space="preserve">[13]</w:t>
        </w:r>
      </w:hyperlink>
      <w:r>
        <w:t xml:space="preserve"> </w:t>
      </w:r>
      <w:r>
        <w:t xml:space="preserve">https://www.ibge.gov.br/geociencias/cartas-e-mapas/redes-geograficas/15798-regioes-de-influencia-das-cidades.html</w:t>
      </w:r>
    </w:p>
    <w:p>
      <w:pPr>
        <w:pStyle w:val="BodyText"/>
      </w:pPr>
      <w:hyperlink r:id="rId26">
        <w:r>
          <w:rPr>
            <w:rStyle w:val="Hyperlink"/>
          </w:rPr>
          <w:t xml:space="preserve">https://www.ibge.gov.br/geociencias/cartas-e-mapas/redes-geograficas/15798-regioes-de-influencia-das-cidades.html</w:t>
        </w:r>
      </w:hyperlink>
    </w:p>
    <w:p>
      <w:pPr>
        <w:pStyle w:val="BodyText"/>
      </w:pPr>
      <w:hyperlink r:id="rId30">
        <w:r>
          <w:rPr>
            <w:rStyle w:val="Hyperlink"/>
          </w:rPr>
          <w:t xml:space="preserve">[21]</w:t>
        </w:r>
      </w:hyperlink>
      <w:r>
        <w:t xml:space="preserve"> </w:t>
      </w:r>
      <w:r>
        <w:t xml:space="preserve">https://www.cargill.com.br/pt_BR/localidades</w:t>
      </w:r>
    </w:p>
    <w:p>
      <w:pPr>
        <w:pStyle w:val="BodyText"/>
      </w:pPr>
      <w:hyperlink r:id="rId30">
        <w:r>
          <w:rPr>
            <w:rStyle w:val="Hyperlink"/>
          </w:rPr>
          <w:t xml:space="preserve">https://www.cargill.com.br/pt_BR/localidades</w:t>
        </w:r>
      </w:hyperlink>
    </w:p>
    <w:p>
      <w:pPr>
        <w:pStyle w:val="BodyText"/>
      </w:pPr>
      <w:hyperlink r:id="rId31">
        <w:r>
          <w:rPr>
            <w:rStyle w:val="Hyperlink"/>
          </w:rPr>
          <w:t xml:space="preserve">[22]</w:t>
        </w:r>
      </w:hyperlink>
      <w:r>
        <w:t xml:space="preserve"> </w:t>
      </w:r>
      <w:r>
        <w:t xml:space="preserve">https://www.uberlandia.mg.gov.br/2026/04/23/confira-as-vagas-cadastradas-no-sine-uberlandia-nesta-quinta-feira-23-10/</w:t>
      </w:r>
    </w:p>
    <w:p>
      <w:pPr>
        <w:pStyle w:val="BodyText"/>
      </w:pPr>
      <w:hyperlink r:id="rId31">
        <w:r>
          <w:rPr>
            <w:rStyle w:val="Hyperlink"/>
          </w:rPr>
          <w:t xml:space="preserve">https://www.uberlandia.mg.gov.br/2026/04/23/confira-as-vagas-cadastradas-no-sine-uberlandia-nesta-quinta-feira-23-10/</w:t>
        </w:r>
      </w:hyperlink>
    </w:p>
    <w:p>
      <w:pPr>
        <w:pStyle w:val="BodyText"/>
      </w:pPr>
      <w:hyperlink r:id="rId33">
        <w:r>
          <w:rPr>
            <w:rStyle w:val="Hyperlink"/>
          </w:rPr>
          <w:t xml:space="preserve">[23]</w:t>
        </w:r>
      </w:hyperlink>
      <w:r>
        <w:t xml:space="preserve"> </w:t>
      </w:r>
      <w:r>
        <w:t xml:space="preserve">https://iftm.edu.br/noticias/2025/10/14/ultimos-dias-para-solicitar-isencao-no-processo-seletivo-do-iftm-campus-uberlandia</w:t>
      </w:r>
    </w:p>
    <w:p>
      <w:pPr>
        <w:pStyle w:val="BodyText"/>
      </w:pPr>
      <w:hyperlink r:id="rId33">
        <w:r>
          <w:rPr>
            <w:rStyle w:val="Hyperlink"/>
          </w:rPr>
          <w:t xml:space="preserve">https://iftm.edu.br/noticias/2025/10/14/ultimos-dias-para-solicitar-isencao-no-processo-seletivo-do-iftm-campus-uberlandia</w:t>
        </w:r>
      </w:hyperlink>
    </w:p>
    <w:p>
      <w:pPr>
        <w:pStyle w:val="BodyText"/>
      </w:pPr>
      <w:hyperlink r:id="rId35">
        <w:r>
          <w:rPr>
            <w:rStyle w:val="Hyperlink"/>
          </w:rPr>
          <w:t xml:space="preserve">[31]</w:t>
        </w:r>
      </w:hyperlink>
      <w:r>
        <w:t xml:space="preserve"> </w:t>
      </w:r>
      <w:hyperlink r:id="rId35">
        <w:r>
          <w:rPr>
            <w:rStyle w:val="Hyperlink"/>
          </w:rPr>
          <w:t xml:space="preserve">[32]</w:t>
        </w:r>
      </w:hyperlink>
      <w:r>
        <w:t xml:space="preserve"> </w:t>
      </w:r>
      <w:hyperlink r:id="rId35">
        <w:r>
          <w:rPr>
            <w:rStyle w:val="Hyperlink"/>
          </w:rPr>
          <w:t xml:space="preserve">[36]</w:t>
        </w:r>
      </w:hyperlink>
      <w:r>
        <w:t xml:space="preserve"> </w:t>
      </w:r>
      <w:r>
        <w:t xml:space="preserve">https://www.utfpr.edu.br/cursos/coordenacoes/graduacao/ponta-grossa/pg-tecnologia-em-automacao-industrial</w:t>
      </w:r>
    </w:p>
    <w:p>
      <w:pPr>
        <w:pStyle w:val="BodyText"/>
      </w:pPr>
      <w:hyperlink r:id="rId35">
        <w:r>
          <w:rPr>
            <w:rStyle w:val="Hyperlink"/>
          </w:rPr>
          <w:t xml:space="preserve">https://www.utfpr.edu.br/cursos/coordenacoes/graduacao/ponta-grossa/pg-tecnologia-em-automacao-industrial</w:t>
        </w:r>
      </w:hyperlink>
    </w:p>
    <w:p>
      <w:pPr>
        <w:pStyle w:val="BodyText"/>
      </w:pPr>
      <w:hyperlink r:id="rId36">
        <w:r>
          <w:rPr>
            <w:rStyle w:val="Hyperlink"/>
          </w:rPr>
          <w:t xml:space="preserve">[34]</w:t>
        </w:r>
      </w:hyperlink>
      <w:r>
        <w:t xml:space="preserve"> </w:t>
      </w:r>
      <w:r>
        <w:t xml:space="preserve">https://www.utfpr.edu.br/cursos/coordenacoes/graduacao/ponta-grossa/pg-tecnologia-em-automacao-industrial/documentos/documentos-do-curso-de-tecnologia-em-automacao-industrial/equivalencia-automacao-x-engenharia-eletrica</w:t>
      </w:r>
    </w:p>
    <w:p>
      <w:pPr>
        <w:pStyle w:val="BodyText"/>
      </w:pPr>
      <w:hyperlink r:id="rId36">
        <w:r>
          <w:rPr>
            <w:rStyle w:val="Hyperlink"/>
          </w:rPr>
          <w:t xml:space="preserve">https://www.utfpr.edu.br/cursos/coordenacoes/graduacao/ponta-grossa/pg-tecnologia-em-automacao-industrial/documentos/documentos-do-curso-de-tecnologia-em-automacao-industrial/equivalencia-automacao-x-engenharia-eletrica</w:t>
        </w:r>
      </w:hyperlink>
    </w:p>
    <w:p>
      <w:pPr>
        <w:pStyle w:val="BodyText"/>
      </w:pPr>
      <w:hyperlink r:id="rId38">
        <w:r>
          <w:rPr>
            <w:rStyle w:val="Hyperlink"/>
          </w:rPr>
          <w:t xml:space="preserve">[35]</w:t>
        </w:r>
      </w:hyperlink>
      <w:r>
        <w:t xml:space="preserve"> </w:t>
      </w:r>
      <w:r>
        <w:t xml:space="preserve">https://geoftp.ibge.gov.br/organizacao_do_territorio/divisao_regional/regioes_de_influencia_das_cidades/Regioes_de_influencia_das_cidades_2018_Resultados_definitivos/mapas/Mapa_37-Uberlandia_%28MG%29-Capital_Regional_B_%282B%29.pdf</w:t>
      </w:r>
    </w:p>
    <w:p>
      <w:pPr>
        <w:pStyle w:val="BodyText"/>
      </w:pPr>
      <w:hyperlink r:id="rId38">
        <w:r>
          <w:rPr>
            <w:rStyle w:val="Hyperlink"/>
          </w:rPr>
          <w:t xml:space="preserve">https://geoftp.ibge.gov.br/organizacao_do_territorio/divisao_regional/regioes_de_influencia_das_cidades/Regioes_de_influencia_das_cidades_2018_Resultados_definitivos/mapas/Mapa_37-Uberlandia_%28MG%29-Capital_Regional_B_%282B%29.pdf</w:t>
        </w:r>
      </w:hyperlink>
    </w:p>
    <w:p>
      <w:pPr>
        <w:pStyle w:val="BodyText"/>
      </w:pPr>
      <w:hyperlink r:id="rId39">
        <w:r>
          <w:rPr>
            <w:rStyle w:val="Hyperlink"/>
          </w:rPr>
          <w:t xml:space="preserve">[37]</w:t>
        </w:r>
      </w:hyperlink>
      <w:r>
        <w:t xml:space="preserve"> </w:t>
      </w:r>
      <w:r>
        <w:t xml:space="preserve">https://www.gov.br/mdic/pt-br/assuntos/noticias/2024/setembro/chips-nuvens-robos-brasil-avanca-na-transformacao-digital-da-industria-com-r-185-bi</w:t>
      </w:r>
    </w:p>
    <w:p>
      <w:pPr>
        <w:pStyle w:val="BodyText"/>
      </w:pPr>
      <w:hyperlink r:id="rId39">
        <w:r>
          <w:rPr>
            <w:rStyle w:val="Hyperlink"/>
          </w:rPr>
          <w:t xml:space="preserve">https://www.gov.br/mdic/pt-br/assuntos/noticias/2024/setembro/chips-nuvens-robos-brasil-avanca-na-transformacao-digital-da-industria-com-r-185-bi</w:t>
        </w:r>
      </w:hyperlink>
    </w:p>
    <w:p>
      <w:pPr>
        <w:pStyle w:val="BodyText"/>
      </w:pPr>
      <w:hyperlink r:id="rId40">
        <w:r>
          <w:rPr>
            <w:rStyle w:val="Hyperlink"/>
          </w:rPr>
          <w:t xml:space="preserve">[38]</w:t>
        </w:r>
      </w:hyperlink>
      <w:r>
        <w:t xml:space="preserve"> </w:t>
      </w:r>
      <w:r>
        <w:t xml:space="preserve">https://www.abdi.com.br/wp-content/uploads/2024/06/Guia-de-Boas-Praticas-Produtivas.pdf</w:t>
      </w:r>
    </w:p>
    <w:p>
      <w:pPr>
        <w:pStyle w:val="BodyText"/>
      </w:pPr>
      <w:hyperlink r:id="rId40">
        <w:r>
          <w:rPr>
            <w:rStyle w:val="Hyperlink"/>
          </w:rPr>
          <w:t xml:space="preserve">https://www.abdi.com.br/wp-content/uploads/2024/06/Guia-de-Boas-Praticas-Produtivas.pdf</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geoftp.ibge.gov.br/organizacao_do_territorio/divisao_regional/regioes_de_influencia_das_cidades/Regioes_de_influencia_das_cidades_2018_Resultados_definitivos/mapas/Mapa_37-Uberlandia_%28MG%29-Capital_Regional_B_%282B%29.pdf" TargetMode="External" /><Relationship Type="http://schemas.openxmlformats.org/officeDocument/2006/relationships/hyperlink" Id="rId21" Target="https://iftm.edu.br/cursos/ituiutaba/tecnologo/automacao-industrial/" TargetMode="External" /><Relationship Type="http://schemas.openxmlformats.org/officeDocument/2006/relationships/hyperlink" Id="rId33" Target="https://iftm.edu.br/noticias/2025/10/14/ultimos-dias-para-solicitar-isencao-no-processo-seletivo-do-iftm-campus-uberlandia" TargetMode="External" /><Relationship Type="http://schemas.openxmlformats.org/officeDocument/2006/relationships/hyperlink" Id="rId40" Target="https://www.abdi.com.br/wp-content/uploads/2024/06/Guia-de-Boas-Praticas-Produtivas.pdf" TargetMode="External" /><Relationship Type="http://schemas.openxmlformats.org/officeDocument/2006/relationships/hyperlink" Id="rId30" Target="https://www.cargill.com.br/pt_BR/localidades" TargetMode="External" /><Relationship Type="http://schemas.openxmlformats.org/officeDocument/2006/relationships/hyperlink" Id="rId22" Target="https://www.feelt.ufu.br/en/numeros" TargetMode="External" /><Relationship Type="http://schemas.openxmlformats.org/officeDocument/2006/relationships/hyperlink" Id="rId23" Target="https://www.fiemg.com.br/wp-content/uploads/2026/04/Painel_Vale-do-Paranaiba.pdf" TargetMode="External" /><Relationship Type="http://schemas.openxmlformats.org/officeDocument/2006/relationships/hyperlink" Id="rId39" Target="https://www.gov.br/mdic/pt-br/assuntos/noticias/2024/setembro/chips-nuvens-robos-brasil-avanca-na-transformacao-digital-da-industria-com-r-185-bi" TargetMode="External" /><Relationship Type="http://schemas.openxmlformats.org/officeDocument/2006/relationships/hyperlink" Id="rId26" Target="https://www.ibge.gov.br/geociencias/cartas-e-mapas/redes-geograficas/15798-regioes-de-influencia-das-cidades.html" TargetMode="External" /><Relationship Type="http://schemas.openxmlformats.org/officeDocument/2006/relationships/hyperlink" Id="rId24" Target="https://www.portal.prograd.ufu.br/servicos/arquivo_administrativo/download/624ec1c881656ee6418604df2928494b" TargetMode="External" /><Relationship Type="http://schemas.openxmlformats.org/officeDocument/2006/relationships/hyperlink" Id="rId31" Target="https://www.uberlandia.mg.gov.br/2026/04/23/confira-as-vagas-cadastradas-no-sine-uberlandia-nesta-quinta-feira-23-10/" TargetMode="External" /><Relationship Type="http://schemas.openxmlformats.org/officeDocument/2006/relationships/hyperlink" Id="rId35" Target="https://www.utfpr.edu.br/cursos/coordenacoes/graduacao/ponta-grossa/pg-tecnologia-em-automacao-industrial" TargetMode="External" /><Relationship Type="http://schemas.openxmlformats.org/officeDocument/2006/relationships/hyperlink" Id="rId36" Target="https://www.utfpr.edu.br/cursos/coordenacoes/graduacao/ponta-grossa/pg-tecnologia-em-automacao-industrial/documentos/documentos-do-curso-de-tecnologia-em-automacao-industrial/equivalencia-automacao-x-engenharia-eletrica" TargetMode="External" /></Relationships>
</file>

<file path=word/_rels/footnotes.xml.rels><?xml version="1.0" encoding="UTF-8"?><Relationships xmlns="http://schemas.openxmlformats.org/package/2006/relationships"><Relationship Type="http://schemas.openxmlformats.org/officeDocument/2006/relationships/hyperlink" Id="rId38" Target="https://geoftp.ibge.gov.br/organizacao_do_territorio/divisao_regional/regioes_de_influencia_das_cidades/Regioes_de_influencia_das_cidades_2018_Resultados_definitivos/mapas/Mapa_37-Uberlandia_%28MG%29-Capital_Regional_B_%282B%29.pdf" TargetMode="External" /><Relationship Type="http://schemas.openxmlformats.org/officeDocument/2006/relationships/hyperlink" Id="rId21" Target="https://iftm.edu.br/cursos/ituiutaba/tecnologo/automacao-industrial/" TargetMode="External" /><Relationship Type="http://schemas.openxmlformats.org/officeDocument/2006/relationships/hyperlink" Id="rId33" Target="https://iftm.edu.br/noticias/2025/10/14/ultimos-dias-para-solicitar-isencao-no-processo-seletivo-do-iftm-campus-uberlandia" TargetMode="External" /><Relationship Type="http://schemas.openxmlformats.org/officeDocument/2006/relationships/hyperlink" Id="rId40" Target="https://www.abdi.com.br/wp-content/uploads/2024/06/Guia-de-Boas-Praticas-Produtivas.pdf" TargetMode="External" /><Relationship Type="http://schemas.openxmlformats.org/officeDocument/2006/relationships/hyperlink" Id="rId30" Target="https://www.cargill.com.br/pt_BR/localidades" TargetMode="External" /><Relationship Type="http://schemas.openxmlformats.org/officeDocument/2006/relationships/hyperlink" Id="rId22" Target="https://www.feelt.ufu.br/en/numeros" TargetMode="External" /><Relationship Type="http://schemas.openxmlformats.org/officeDocument/2006/relationships/hyperlink" Id="rId23" Target="https://www.fiemg.com.br/wp-content/uploads/2026/04/Painel_Vale-do-Paranaiba.pdf" TargetMode="External" /><Relationship Type="http://schemas.openxmlformats.org/officeDocument/2006/relationships/hyperlink" Id="rId39" Target="https://www.gov.br/mdic/pt-br/assuntos/noticias/2024/setembro/chips-nuvens-robos-brasil-avanca-na-transformacao-digital-da-industria-com-r-185-bi" TargetMode="External" /><Relationship Type="http://schemas.openxmlformats.org/officeDocument/2006/relationships/hyperlink" Id="rId26" Target="https://www.ibge.gov.br/geociencias/cartas-e-mapas/redes-geograficas/15798-regioes-de-influencia-das-cidades.html" TargetMode="External" /><Relationship Type="http://schemas.openxmlformats.org/officeDocument/2006/relationships/hyperlink" Id="rId24" Target="https://www.portal.prograd.ufu.br/servicos/arquivo_administrativo/download/624ec1c881656ee6418604df2928494b" TargetMode="External" /><Relationship Type="http://schemas.openxmlformats.org/officeDocument/2006/relationships/hyperlink" Id="rId31" Target="https://www.uberlandia.mg.gov.br/2026/04/23/confira-as-vagas-cadastradas-no-sine-uberlandia-nesta-quinta-feira-23-10/" TargetMode="External" /><Relationship Type="http://schemas.openxmlformats.org/officeDocument/2006/relationships/hyperlink" Id="rId35" Target="https://www.utfpr.edu.br/cursos/coordenacoes/graduacao/ponta-grossa/pg-tecnologia-em-automacao-industrial" TargetMode="External" /><Relationship Type="http://schemas.openxmlformats.org/officeDocument/2006/relationships/hyperlink" Id="rId36" Target="https://www.utfpr.edu.br/cursos/coordenacoes/graduacao/ponta-grossa/pg-tecnologia-em-automacao-industrial/documentos/documentos-do-curso-de-tecnologia-em-automacao-industrial/equivalencia-automacao-x-engenharia-eletri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2026-05-11T15:25:31Z</dcterms:created>
  <dcterms:modified xsi:type="dcterms:W3CDTF">2026-05-11T15:25:31Z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