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A830A" w14:textId="04B134B7" w:rsidR="00AD2751" w:rsidRDefault="00AD2751" w:rsidP="00FD5C76">
      <w:pPr>
        <w:jc w:val="both"/>
      </w:pPr>
      <w:r>
        <w:t>La Regulación y Supervisión Financiera en Bolivia desde 1928 a 2003 es un trabajo de investigación, plasmado en esta obra, preparado por la Superintendencia de Bancos y Entidades Financieras en el 75 aniversario de su fundación. Para rastrear las huellas de la regulación financiera en Bolivia ha sido preciso remontarse al nacimiento de la República y al surgimiento de las primeras entidades bancarias en el país. Así, la pesquisa de antecedentes de la creación de la Ley General de Bancos de 1928, que reformó el sistema bancario y creó la Superintendencia de Bancos y la Ley de Creación del Banco Central de Bolivia ese mismo año, remiten de manera obligada a los inicios de la República. El intento frustrado con el Banco de Descuento y Circulación en Potosí durante el gobierno de Andrés de Santa Cruz, la constitución del Banco Boliviano, a solicitud del chileno Eusebio Lillo, como el primer banco que empezó a operar en el país en enero de 1867 y el primer intento de regular la autorización de los establecimientos de crédito con la Ley de 17 de agosto de 1871 son esos referentes iniciales de la historia de la regulación financiera en nuestro país. Otro antecedente central es, sin duda, la misión Kemmerer, que marcó una huella fundamental en la historia financiera del país.</w:t>
      </w:r>
    </w:p>
    <w:p w14:paraId="655A098F" w14:textId="42E18534" w:rsidR="00AD2751" w:rsidRDefault="00AD2751" w:rsidP="00FD5C76">
      <w:pPr>
        <w:jc w:val="both"/>
      </w:pPr>
      <w:r>
        <w:t>Es a partir de esa época que se puede identificar nítidamente el inicio de la evolución de la regulación y supervisión del sistema financiero en nuestro país. Con ese enfoque, el Tomo I abarca la historia de la regulación financiera desde, prácticamente, inicios de la República hasta 1982. El Tomo II, parte de ese año y culmina, en esta aproximación histórica, en el año 2003.</w:t>
      </w:r>
    </w:p>
    <w:p w14:paraId="1C15F04D" w14:textId="1281BE1C" w:rsidR="00AD2751" w:rsidRDefault="00AD2751" w:rsidP="00FD5C76">
      <w:pPr>
        <w:jc w:val="both"/>
      </w:pPr>
      <w:r>
        <w:t>El Tomo I, ofrece una síntesis de los principales rasgos históricos de la regulación financiera, desde el surgimiento de las primeras iniciativas de creación de entidades bancarias, hasta la crisis de la deuda externa a inicios de los ochenta. Sus cuatro capítulos se refieren a los antecedentes históricos de la regulación financiera en el marco del denominado modelo oligárquico, la misión Kemmerer, la Ley Financiera de 1928 y el proceso de la regulación financiera desde el Centenario de la República hasta la Revolución de 1952; luego, lo que corresponde a la Revolución Nacional hasta 1964 y, por último, el período que va del inicio del ciclo militar hasta la recuperación democrática en 1982.</w:t>
      </w:r>
    </w:p>
    <w:p w14:paraId="19E68CA3" w14:textId="77777777" w:rsidR="003959FD" w:rsidRDefault="00AD2751" w:rsidP="00FD5C76">
      <w:pPr>
        <w:jc w:val="both"/>
      </w:pPr>
      <w:r>
        <w:t xml:space="preserve">El Tomo II, parte de un análisis del entorno económico internacional, la regulación y supervisión en el sistema de intermediación financiera, los estándares internacionales de regulación a partir de los acuerdos de Basilea, los principios básicos y la autoevaluación y evaluación de dichos principios. Describe la organización de las asociaciones de supervisores y los esfuerzos de armonización de la regulación en la Comunidad Andina y en otros espacios internacionales. Continúa con la evolución del marco institucional y normativo desde 1980 hasta 2003, a partir de la restitución de la Superintendencia de Bancos y Entidades Financieras, así como las metodologías y enfoques de la supervisión y los sistemas de información. Finalmente, presenta las perspectivas y los desafíos actuales para la supervisión bancaria. </w:t>
      </w:r>
    </w:p>
    <w:p w14:paraId="6401C1DE" w14:textId="78C40F7B" w:rsidR="00AD2751" w:rsidRDefault="00AD2751" w:rsidP="00FD5C76">
      <w:pPr>
        <w:jc w:val="both"/>
      </w:pPr>
      <w:r>
        <w:t>Ambos volúmenes buscan contribuir al conocimiento de los principales acontecimientos del proceso y evolución de la regulación financiera en el país, dentro del contexto histórico en el que se desenvolvieron. La construcción de la regulación financiera en el país es producto de un esfuerzo tanto de personalidades como de actores institucionales, que han ido forjando en un largo proceso un ente regulador reconocido y respetado dentro y fuera del país. La historia de este camino es parte de la historia de la construcción del país, con sus luces y sombras, con sus realizaciones y contradicciones. En un momento en que esta construcción transcurre a través de una fase de inflexiones y cambios significativos, tenemos la expectativa de que el conocimiento que aporta este trabajo pueda ayudarnos a entender mejor nuestro pasado y a estar mejor preparados para encarar nuestro futuro.</w:t>
      </w:r>
    </w:p>
    <w:sectPr w:rsidR="00AD27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44"/>
    <w:rsid w:val="003959FD"/>
    <w:rsid w:val="00401444"/>
    <w:rsid w:val="00AD2751"/>
    <w:rsid w:val="00CA1736"/>
    <w:rsid w:val="00FD5C7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C22A"/>
  <w15:chartTrackingRefBased/>
  <w15:docId w15:val="{8E20A1B5-45AB-4EFA-B304-F5F618CB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627</Words>
  <Characters>3449</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4</cp:revision>
  <dcterms:created xsi:type="dcterms:W3CDTF">2024-08-14T02:36:00Z</dcterms:created>
  <dcterms:modified xsi:type="dcterms:W3CDTF">2024-08-15T16:21:00Z</dcterms:modified>
</cp:coreProperties>
</file>