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F31EB" w14:textId="0E1D4F8C" w:rsidR="00CA1736" w:rsidRDefault="00175288" w:rsidP="00793575">
      <w:pPr>
        <w:spacing w:line="276"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Resumen</w:t>
      </w:r>
    </w:p>
    <w:p w14:paraId="60736CB1" w14:textId="56FE71AC" w:rsidR="003D575C" w:rsidRDefault="00454475" w:rsidP="00793575">
      <w:pPr>
        <w:spacing w:line="288" w:lineRule="auto"/>
        <w:jc w:val="both"/>
        <w:rPr>
          <w:rFonts w:ascii="Times New Roman" w:hAnsi="Times New Roman" w:cs="Times New Roman"/>
          <w:sz w:val="24"/>
          <w:szCs w:val="24"/>
          <w:lang w:val="es-MX"/>
        </w:rPr>
      </w:pPr>
      <w:r>
        <w:rPr>
          <w:rFonts w:ascii="Times New Roman" w:hAnsi="Times New Roman" w:cs="Times New Roman"/>
          <w:sz w:val="24"/>
          <w:szCs w:val="24"/>
          <w:lang w:val="es-MX"/>
        </w:rPr>
        <w:t>Con el objeto de entender</w:t>
      </w:r>
      <w:r w:rsidR="00E40D08">
        <w:rPr>
          <w:rFonts w:ascii="Times New Roman" w:hAnsi="Times New Roman" w:cs="Times New Roman"/>
          <w:sz w:val="24"/>
          <w:szCs w:val="24"/>
          <w:lang w:val="es-MX"/>
        </w:rPr>
        <w:t xml:space="preserve"> los hechos que dieron lugar al contexto actual bajo las cuales se suscriben las relaciones de las entidades financieras frente al estado, en la obra de referencia se realiza una revisión histórica d</w:t>
      </w:r>
      <w:r>
        <w:rPr>
          <w:rFonts w:ascii="Times New Roman" w:hAnsi="Times New Roman" w:cs="Times New Roman"/>
          <w:sz w:val="24"/>
          <w:szCs w:val="24"/>
          <w:lang w:val="es-MX"/>
        </w:rPr>
        <w:t xml:space="preserve">el pasado </w:t>
      </w:r>
      <w:r w:rsidR="00E40D08">
        <w:rPr>
          <w:rFonts w:ascii="Times New Roman" w:hAnsi="Times New Roman" w:cs="Times New Roman"/>
          <w:sz w:val="24"/>
          <w:szCs w:val="24"/>
          <w:lang w:val="es-MX"/>
        </w:rPr>
        <w:t>concerniente</w:t>
      </w:r>
      <w:r>
        <w:rPr>
          <w:rFonts w:ascii="Times New Roman" w:hAnsi="Times New Roman" w:cs="Times New Roman"/>
          <w:sz w:val="24"/>
          <w:szCs w:val="24"/>
          <w:lang w:val="es-MX"/>
        </w:rPr>
        <w:t xml:space="preserve"> </w:t>
      </w:r>
      <w:r w:rsidR="00E40D08">
        <w:rPr>
          <w:rFonts w:ascii="Times New Roman" w:hAnsi="Times New Roman" w:cs="Times New Roman"/>
          <w:sz w:val="24"/>
          <w:szCs w:val="24"/>
          <w:lang w:val="es-MX"/>
        </w:rPr>
        <w:t xml:space="preserve">o vinculado </w:t>
      </w:r>
      <w:r>
        <w:rPr>
          <w:rFonts w:ascii="Times New Roman" w:hAnsi="Times New Roman" w:cs="Times New Roman"/>
          <w:sz w:val="24"/>
          <w:szCs w:val="24"/>
          <w:lang w:val="es-MX"/>
        </w:rPr>
        <w:t>a la evolución del sistema financiero de Bolivia</w:t>
      </w:r>
      <w:r w:rsidR="00E40D08">
        <w:rPr>
          <w:rFonts w:ascii="Times New Roman" w:hAnsi="Times New Roman" w:cs="Times New Roman"/>
          <w:sz w:val="24"/>
          <w:szCs w:val="24"/>
          <w:lang w:val="es-MX"/>
        </w:rPr>
        <w:t>,</w:t>
      </w:r>
      <w:r w:rsidR="003D575C">
        <w:rPr>
          <w:rFonts w:ascii="Times New Roman" w:hAnsi="Times New Roman" w:cs="Times New Roman"/>
          <w:sz w:val="24"/>
          <w:szCs w:val="24"/>
          <w:lang w:val="es-MX"/>
        </w:rPr>
        <w:t xml:space="preserve"> en el cual se aborda en primer termino los hechos hacia al interior del país, continuando con su interrelación e influencia de elementos externos al mismo. Ahora bien, respecto a los acontecimientos de primer orden se obtuvo que:</w:t>
      </w:r>
    </w:p>
    <w:p w14:paraId="518EE792" w14:textId="150112B8" w:rsidR="00B112EE" w:rsidRPr="00B112EE" w:rsidRDefault="00B112EE" w:rsidP="00B112EE">
      <w:pPr>
        <w:pStyle w:val="Prrafodelista"/>
        <w:numPr>
          <w:ilvl w:val="0"/>
          <w:numId w:val="3"/>
        </w:numPr>
        <w:spacing w:line="288" w:lineRule="auto"/>
        <w:jc w:val="both"/>
        <w:rPr>
          <w:rFonts w:ascii="Times New Roman" w:hAnsi="Times New Roman" w:cs="Times New Roman"/>
          <w:sz w:val="24"/>
          <w:szCs w:val="24"/>
          <w:lang w:val="es-MX"/>
        </w:rPr>
      </w:pPr>
      <w:r w:rsidRPr="00B112EE">
        <w:rPr>
          <w:rFonts w:ascii="Times New Roman" w:hAnsi="Times New Roman" w:cs="Times New Roman"/>
          <w:sz w:val="24"/>
          <w:szCs w:val="24"/>
          <w:lang w:val="es-MX"/>
        </w:rPr>
        <w:t>Las primeras entidades bancarias fueron las vinculadas a la actividad minera en Potosí, limitando sus operaciones a descuento de letras.</w:t>
      </w:r>
    </w:p>
    <w:p w14:paraId="55D9644D" w14:textId="1C5F9748" w:rsidR="003D575C" w:rsidRPr="00793575" w:rsidRDefault="003D575C" w:rsidP="00793575">
      <w:pPr>
        <w:pStyle w:val="Prrafodelista"/>
        <w:numPr>
          <w:ilvl w:val="0"/>
          <w:numId w:val="3"/>
        </w:numPr>
        <w:spacing w:line="288" w:lineRule="auto"/>
        <w:jc w:val="both"/>
        <w:rPr>
          <w:rFonts w:ascii="Times New Roman" w:hAnsi="Times New Roman" w:cs="Times New Roman"/>
          <w:sz w:val="24"/>
          <w:szCs w:val="24"/>
          <w:lang w:val="es-MX"/>
        </w:rPr>
      </w:pPr>
      <w:r w:rsidRPr="00793575">
        <w:rPr>
          <w:rFonts w:ascii="Times New Roman" w:hAnsi="Times New Roman" w:cs="Times New Roman"/>
          <w:sz w:val="24"/>
          <w:szCs w:val="24"/>
          <w:lang w:val="es-MX"/>
        </w:rPr>
        <w:t>L</w:t>
      </w:r>
      <w:r w:rsidRPr="00793575">
        <w:rPr>
          <w:rFonts w:ascii="Times New Roman" w:hAnsi="Times New Roman" w:cs="Times New Roman"/>
          <w:sz w:val="24"/>
          <w:szCs w:val="24"/>
          <w:lang w:val="es-MX"/>
        </w:rPr>
        <w:t>a misión Kemmerer</w:t>
      </w:r>
      <w:r w:rsidRPr="00793575">
        <w:rPr>
          <w:rFonts w:ascii="Times New Roman" w:hAnsi="Times New Roman" w:cs="Times New Roman"/>
          <w:sz w:val="24"/>
          <w:szCs w:val="24"/>
          <w:lang w:val="es-MX"/>
        </w:rPr>
        <w:t xml:space="preserve"> periodo que inicia </w:t>
      </w:r>
      <w:r w:rsidR="003D4DC6" w:rsidRPr="00793575">
        <w:rPr>
          <w:rFonts w:ascii="Times New Roman" w:hAnsi="Times New Roman" w:cs="Times New Roman"/>
          <w:sz w:val="24"/>
          <w:szCs w:val="24"/>
          <w:lang w:val="es-MX"/>
        </w:rPr>
        <w:t>en 1925</w:t>
      </w:r>
      <w:r w:rsidRPr="00793575">
        <w:rPr>
          <w:rFonts w:ascii="Times New Roman" w:hAnsi="Times New Roman" w:cs="Times New Roman"/>
          <w:sz w:val="24"/>
          <w:szCs w:val="24"/>
          <w:lang w:val="es-MX"/>
        </w:rPr>
        <w:t>, que</w:t>
      </w:r>
      <w:r w:rsidR="003D4DC6" w:rsidRPr="00793575">
        <w:rPr>
          <w:rFonts w:ascii="Times New Roman" w:hAnsi="Times New Roman" w:cs="Times New Roman"/>
          <w:sz w:val="24"/>
          <w:szCs w:val="24"/>
          <w:lang w:val="es-MX"/>
        </w:rPr>
        <w:t xml:space="preserve"> en</w:t>
      </w:r>
      <w:r w:rsidRPr="00793575">
        <w:rPr>
          <w:rFonts w:ascii="Times New Roman" w:hAnsi="Times New Roman" w:cs="Times New Roman"/>
          <w:sz w:val="24"/>
          <w:szCs w:val="24"/>
          <w:lang w:val="es-MX"/>
        </w:rPr>
        <w:t xml:space="preserve"> lineamientos generales </w:t>
      </w:r>
      <w:r w:rsidR="003D4DC6" w:rsidRPr="00793575">
        <w:rPr>
          <w:rFonts w:ascii="Times New Roman" w:hAnsi="Times New Roman" w:cs="Times New Roman"/>
          <w:sz w:val="24"/>
          <w:szCs w:val="24"/>
          <w:lang w:val="es-MX"/>
        </w:rPr>
        <w:t>impulso la política que otorga al</w:t>
      </w:r>
      <w:r w:rsidR="003D4DC6" w:rsidRPr="00793575">
        <w:rPr>
          <w:rFonts w:ascii="Times New Roman" w:hAnsi="Times New Roman" w:cs="Times New Roman"/>
          <w:sz w:val="24"/>
          <w:szCs w:val="24"/>
          <w:lang w:val="es-MX"/>
        </w:rPr>
        <w:t xml:space="preserve"> Banco Central de Bolivia el privilegio exclusivo de emitir la moneda</w:t>
      </w:r>
      <w:r w:rsidR="003D4DC6" w:rsidRPr="00793575">
        <w:rPr>
          <w:rFonts w:ascii="Times New Roman" w:hAnsi="Times New Roman" w:cs="Times New Roman"/>
          <w:sz w:val="24"/>
          <w:szCs w:val="24"/>
          <w:lang w:val="es-MX"/>
        </w:rPr>
        <w:t xml:space="preserve"> de circulación</w:t>
      </w:r>
      <w:r w:rsidR="003D4DC6" w:rsidRPr="00793575">
        <w:rPr>
          <w:rFonts w:ascii="Times New Roman" w:hAnsi="Times New Roman" w:cs="Times New Roman"/>
          <w:sz w:val="24"/>
          <w:szCs w:val="24"/>
          <w:lang w:val="es-MX"/>
        </w:rPr>
        <w:t xml:space="preserve"> nacional, el manejo de la tasa de descuento, las operaciones de mercado abierto y el control de la política crediticia</w:t>
      </w:r>
      <w:r w:rsidR="003D4DC6" w:rsidRPr="00793575">
        <w:rPr>
          <w:rFonts w:ascii="Times New Roman" w:hAnsi="Times New Roman" w:cs="Times New Roman"/>
          <w:sz w:val="24"/>
          <w:szCs w:val="24"/>
          <w:lang w:val="es-MX"/>
        </w:rPr>
        <w:t>, es decir, se buscó limitar el ámbito de actuación de la banca privada y su efecto en la oferta monetaria.</w:t>
      </w:r>
    </w:p>
    <w:p w14:paraId="22647398" w14:textId="63C525A5" w:rsidR="003D4DC6" w:rsidRPr="00793575" w:rsidRDefault="003D4DC6" w:rsidP="00793575">
      <w:pPr>
        <w:pStyle w:val="Prrafodelista"/>
        <w:numPr>
          <w:ilvl w:val="0"/>
          <w:numId w:val="3"/>
        </w:numPr>
        <w:spacing w:line="288" w:lineRule="auto"/>
        <w:jc w:val="both"/>
        <w:rPr>
          <w:rFonts w:ascii="Times New Roman" w:hAnsi="Times New Roman" w:cs="Times New Roman"/>
          <w:sz w:val="24"/>
          <w:szCs w:val="24"/>
          <w:lang w:val="es-MX"/>
        </w:rPr>
      </w:pPr>
      <w:r w:rsidRPr="00793575">
        <w:rPr>
          <w:rFonts w:ascii="Times New Roman" w:hAnsi="Times New Roman" w:cs="Times New Roman"/>
          <w:sz w:val="24"/>
          <w:szCs w:val="24"/>
          <w:lang w:val="es-MX"/>
        </w:rPr>
        <w:t>La ley financiera de 1928, donde por medio de la propia ley se crea la superintendencia de bancos con la misión de: H</w:t>
      </w:r>
      <w:r w:rsidRPr="00793575">
        <w:rPr>
          <w:rFonts w:ascii="Times New Roman" w:hAnsi="Times New Roman" w:cs="Times New Roman"/>
          <w:sz w:val="24"/>
          <w:szCs w:val="24"/>
          <w:lang w:val="es-MX"/>
        </w:rPr>
        <w:t>acer cumplir las leyes y decretos reglamentarios relativos a bancos</w:t>
      </w:r>
      <w:r w:rsidRPr="00793575">
        <w:rPr>
          <w:rFonts w:ascii="Times New Roman" w:hAnsi="Times New Roman" w:cs="Times New Roman"/>
          <w:sz w:val="24"/>
          <w:szCs w:val="24"/>
          <w:lang w:val="es-MX"/>
        </w:rPr>
        <w:t>, v</w:t>
      </w:r>
      <w:r w:rsidRPr="00793575">
        <w:rPr>
          <w:rFonts w:ascii="Times New Roman" w:hAnsi="Times New Roman" w:cs="Times New Roman"/>
          <w:sz w:val="24"/>
          <w:szCs w:val="24"/>
          <w:lang w:val="es-MX"/>
        </w:rPr>
        <w:t>igilar e intervenir en la emisión e incineración de billetes de banco</w:t>
      </w:r>
      <w:r w:rsidRPr="00793575">
        <w:rPr>
          <w:rFonts w:ascii="Times New Roman" w:hAnsi="Times New Roman" w:cs="Times New Roman"/>
          <w:sz w:val="24"/>
          <w:szCs w:val="24"/>
          <w:lang w:val="es-MX"/>
        </w:rPr>
        <w:t>, v</w:t>
      </w:r>
      <w:r w:rsidRPr="00793575">
        <w:rPr>
          <w:rFonts w:ascii="Times New Roman" w:hAnsi="Times New Roman" w:cs="Times New Roman"/>
          <w:sz w:val="24"/>
          <w:szCs w:val="24"/>
          <w:lang w:val="es-MX"/>
        </w:rPr>
        <w:t>igilar e intervenir en la emisión, sorteo e incineraciones de las letras hipotecarias emitidas por bancos hipotecarios y por secciones hipotecarias de bancos comerciales</w:t>
      </w:r>
      <w:r w:rsidRPr="00793575">
        <w:rPr>
          <w:rFonts w:ascii="Times New Roman" w:hAnsi="Times New Roman" w:cs="Times New Roman"/>
          <w:sz w:val="24"/>
          <w:szCs w:val="24"/>
          <w:lang w:val="es-MX"/>
        </w:rPr>
        <w:t>, es decir, debido a la c</w:t>
      </w:r>
      <w:r w:rsidR="00135E8D" w:rsidRPr="00793575">
        <w:rPr>
          <w:rFonts w:ascii="Times New Roman" w:hAnsi="Times New Roman" w:cs="Times New Roman"/>
          <w:sz w:val="24"/>
          <w:szCs w:val="24"/>
          <w:lang w:val="es-MX"/>
        </w:rPr>
        <w:t>reciente complejidad de los denominados bancos se hizo necesario la designación de una institución por parte del estado que atendiera a operaciones surgente por externalidades de la misma, siguiendo este patrón en periodos posteriores.</w:t>
      </w:r>
    </w:p>
    <w:p w14:paraId="2391917E" w14:textId="4A150C7F" w:rsidR="003D575C" w:rsidRPr="00793575" w:rsidRDefault="003D575C" w:rsidP="00793575">
      <w:pPr>
        <w:pStyle w:val="Prrafodelista"/>
        <w:numPr>
          <w:ilvl w:val="0"/>
          <w:numId w:val="3"/>
        </w:numPr>
        <w:spacing w:line="288" w:lineRule="auto"/>
        <w:jc w:val="both"/>
        <w:rPr>
          <w:rFonts w:ascii="Times New Roman" w:hAnsi="Times New Roman" w:cs="Times New Roman"/>
          <w:sz w:val="24"/>
          <w:szCs w:val="24"/>
          <w:lang w:val="es-MX"/>
        </w:rPr>
      </w:pPr>
      <w:r w:rsidRPr="00793575">
        <w:rPr>
          <w:rFonts w:ascii="Times New Roman" w:hAnsi="Times New Roman" w:cs="Times New Roman"/>
          <w:sz w:val="24"/>
          <w:szCs w:val="24"/>
          <w:lang w:val="es-MX"/>
        </w:rPr>
        <w:t>Revolución de 1952</w:t>
      </w:r>
      <w:r w:rsidR="00135E8D" w:rsidRPr="00793575">
        <w:rPr>
          <w:rFonts w:ascii="Times New Roman" w:hAnsi="Times New Roman" w:cs="Times New Roman"/>
          <w:sz w:val="24"/>
          <w:szCs w:val="24"/>
          <w:lang w:val="es-MX"/>
        </w:rPr>
        <w:t xml:space="preserve">, periodo donde se tuvo como objetivo la estabilización monetaria donde por ejemplo se tomó </w:t>
      </w:r>
      <w:r w:rsidR="00135E8D" w:rsidRPr="00793575">
        <w:rPr>
          <w:rFonts w:ascii="Times New Roman" w:hAnsi="Times New Roman" w:cs="Times New Roman"/>
          <w:sz w:val="24"/>
          <w:szCs w:val="24"/>
          <w:lang w:val="es-MX"/>
        </w:rPr>
        <w:t>la política</w:t>
      </w:r>
      <w:r w:rsidR="00135E8D" w:rsidRPr="00793575">
        <w:rPr>
          <w:rFonts w:ascii="Times New Roman" w:hAnsi="Times New Roman" w:cs="Times New Roman"/>
          <w:sz w:val="24"/>
          <w:szCs w:val="24"/>
          <w:lang w:val="es-MX"/>
        </w:rPr>
        <w:t xml:space="preserve"> </w:t>
      </w:r>
      <w:r w:rsidR="00135E8D" w:rsidRPr="00793575">
        <w:rPr>
          <w:rFonts w:ascii="Times New Roman" w:hAnsi="Times New Roman" w:cs="Times New Roman"/>
          <w:sz w:val="24"/>
          <w:szCs w:val="24"/>
          <w:lang w:val="es-MX"/>
        </w:rPr>
        <w:t>de modificación</w:t>
      </w:r>
      <w:r w:rsidR="00135E8D" w:rsidRPr="00793575">
        <w:rPr>
          <w:rFonts w:ascii="Times New Roman" w:hAnsi="Times New Roman" w:cs="Times New Roman"/>
          <w:sz w:val="24"/>
          <w:szCs w:val="24"/>
          <w:lang w:val="es-MX"/>
        </w:rPr>
        <w:t xml:space="preserve"> o variaciones </w:t>
      </w:r>
      <w:r w:rsidR="00135E8D" w:rsidRPr="00793575">
        <w:rPr>
          <w:rFonts w:ascii="Times New Roman" w:hAnsi="Times New Roman" w:cs="Times New Roman"/>
          <w:sz w:val="24"/>
          <w:szCs w:val="24"/>
          <w:lang w:val="es-MX"/>
        </w:rPr>
        <w:t>del encaje legal,</w:t>
      </w:r>
      <w:r w:rsidR="00135E8D" w:rsidRPr="00793575">
        <w:rPr>
          <w:rFonts w:ascii="Times New Roman" w:hAnsi="Times New Roman" w:cs="Times New Roman"/>
          <w:sz w:val="24"/>
          <w:szCs w:val="24"/>
          <w:lang w:val="es-MX"/>
        </w:rPr>
        <w:t xml:space="preserve"> </w:t>
      </w:r>
      <w:r w:rsidR="00135E8D" w:rsidRPr="00793575">
        <w:rPr>
          <w:rFonts w:ascii="Times New Roman" w:hAnsi="Times New Roman" w:cs="Times New Roman"/>
          <w:sz w:val="24"/>
          <w:szCs w:val="24"/>
          <w:lang w:val="es-MX"/>
        </w:rPr>
        <w:t>como mecanismo</w:t>
      </w:r>
      <w:r w:rsidR="00135E8D" w:rsidRPr="00793575">
        <w:rPr>
          <w:rFonts w:ascii="Times New Roman" w:hAnsi="Times New Roman" w:cs="Times New Roman"/>
          <w:sz w:val="24"/>
          <w:szCs w:val="24"/>
          <w:lang w:val="es-MX"/>
        </w:rPr>
        <w:t xml:space="preserve"> </w:t>
      </w:r>
      <w:r w:rsidR="00135E8D" w:rsidRPr="00793575">
        <w:rPr>
          <w:rFonts w:ascii="Times New Roman" w:hAnsi="Times New Roman" w:cs="Times New Roman"/>
          <w:sz w:val="24"/>
          <w:szCs w:val="24"/>
          <w:lang w:val="es-MX"/>
        </w:rPr>
        <w:t>de control monetario</w:t>
      </w:r>
      <w:r w:rsidR="00135E8D" w:rsidRPr="00793575">
        <w:rPr>
          <w:rFonts w:ascii="Times New Roman" w:hAnsi="Times New Roman" w:cs="Times New Roman"/>
          <w:sz w:val="24"/>
          <w:szCs w:val="24"/>
          <w:lang w:val="es-MX"/>
        </w:rPr>
        <w:t>, l</w:t>
      </w:r>
      <w:r w:rsidR="00A03C8E">
        <w:rPr>
          <w:rFonts w:ascii="Times New Roman" w:hAnsi="Times New Roman" w:cs="Times New Roman"/>
          <w:sz w:val="24"/>
          <w:szCs w:val="24"/>
          <w:lang w:val="es-MX"/>
        </w:rPr>
        <w:t>o</w:t>
      </w:r>
      <w:r w:rsidR="00135E8D" w:rsidRPr="00793575">
        <w:rPr>
          <w:rFonts w:ascii="Times New Roman" w:hAnsi="Times New Roman" w:cs="Times New Roman"/>
          <w:sz w:val="24"/>
          <w:szCs w:val="24"/>
          <w:lang w:val="es-MX"/>
        </w:rPr>
        <w:t xml:space="preserve"> cual </w:t>
      </w:r>
      <w:r w:rsidR="00B61C9D" w:rsidRPr="00793575">
        <w:rPr>
          <w:rFonts w:ascii="Times New Roman" w:hAnsi="Times New Roman" w:cs="Times New Roman"/>
          <w:sz w:val="24"/>
          <w:szCs w:val="24"/>
          <w:lang w:val="es-MX"/>
        </w:rPr>
        <w:t xml:space="preserve">bajo la luz de sus resultados se comprueba su ineficiencia o poco impacto como medida estabilizadora, es decir, el encaje legal debe limitarse a ser una </w:t>
      </w:r>
      <w:r w:rsidR="00B61C9D" w:rsidRPr="00793575">
        <w:rPr>
          <w:rFonts w:ascii="Times New Roman" w:hAnsi="Times New Roman" w:cs="Times New Roman"/>
          <w:sz w:val="24"/>
          <w:szCs w:val="24"/>
          <w:lang w:val="es-MX"/>
        </w:rPr>
        <w:t>medida prudencial</w:t>
      </w:r>
      <w:r w:rsidR="00B61C9D" w:rsidRPr="00793575">
        <w:rPr>
          <w:rFonts w:ascii="Times New Roman" w:hAnsi="Times New Roman" w:cs="Times New Roman"/>
          <w:sz w:val="24"/>
          <w:szCs w:val="24"/>
          <w:lang w:val="es-MX"/>
        </w:rPr>
        <w:t xml:space="preserve"> para</w:t>
      </w:r>
      <w:r w:rsidR="00B61C9D" w:rsidRPr="00793575">
        <w:rPr>
          <w:rFonts w:ascii="Times New Roman" w:hAnsi="Times New Roman" w:cs="Times New Roman"/>
          <w:sz w:val="24"/>
          <w:szCs w:val="24"/>
          <w:lang w:val="es-MX"/>
        </w:rPr>
        <w:t xml:space="preserve"> el manejo</w:t>
      </w:r>
      <w:r w:rsidR="00B61C9D" w:rsidRPr="00793575">
        <w:rPr>
          <w:rFonts w:ascii="Times New Roman" w:hAnsi="Times New Roman" w:cs="Times New Roman"/>
          <w:sz w:val="24"/>
          <w:szCs w:val="24"/>
          <w:lang w:val="es-MX"/>
        </w:rPr>
        <w:t xml:space="preserve"> </w:t>
      </w:r>
      <w:r w:rsidR="00B61C9D" w:rsidRPr="00793575">
        <w:rPr>
          <w:rFonts w:ascii="Times New Roman" w:hAnsi="Times New Roman" w:cs="Times New Roman"/>
          <w:sz w:val="24"/>
          <w:szCs w:val="24"/>
          <w:lang w:val="es-MX"/>
        </w:rPr>
        <w:t>de depósitos</w:t>
      </w:r>
      <w:r w:rsidR="00B61C9D" w:rsidRPr="00793575">
        <w:rPr>
          <w:rFonts w:ascii="Times New Roman" w:hAnsi="Times New Roman" w:cs="Times New Roman"/>
          <w:sz w:val="24"/>
          <w:szCs w:val="24"/>
          <w:lang w:val="es-MX"/>
        </w:rPr>
        <w:t xml:space="preserve"> </w:t>
      </w:r>
      <w:r w:rsidR="00B61C9D" w:rsidRPr="00793575">
        <w:rPr>
          <w:rFonts w:ascii="Times New Roman" w:hAnsi="Times New Roman" w:cs="Times New Roman"/>
          <w:sz w:val="24"/>
          <w:szCs w:val="24"/>
          <w:lang w:val="es-MX"/>
        </w:rPr>
        <w:t>del público.</w:t>
      </w:r>
    </w:p>
    <w:p w14:paraId="0FC80D70" w14:textId="570F5073" w:rsidR="00793575" w:rsidRDefault="00B61C9D" w:rsidP="00793575">
      <w:pPr>
        <w:pStyle w:val="Prrafodelista"/>
        <w:numPr>
          <w:ilvl w:val="0"/>
          <w:numId w:val="3"/>
        </w:numPr>
        <w:spacing w:line="288" w:lineRule="auto"/>
        <w:jc w:val="both"/>
        <w:rPr>
          <w:rFonts w:ascii="Times New Roman" w:hAnsi="Times New Roman" w:cs="Times New Roman"/>
          <w:sz w:val="24"/>
          <w:szCs w:val="24"/>
          <w:lang w:val="es-MX"/>
        </w:rPr>
      </w:pPr>
      <w:r w:rsidRPr="00793575">
        <w:rPr>
          <w:rFonts w:ascii="Times New Roman" w:hAnsi="Times New Roman" w:cs="Times New Roman"/>
          <w:sz w:val="24"/>
          <w:szCs w:val="24"/>
          <w:lang w:val="es-MX"/>
        </w:rPr>
        <w:t>Continuando con el auge de la economía de los años setenta</w:t>
      </w:r>
      <w:r w:rsidR="00B112EE">
        <w:rPr>
          <w:rFonts w:ascii="Times New Roman" w:hAnsi="Times New Roman" w:cs="Times New Roman"/>
          <w:sz w:val="24"/>
          <w:szCs w:val="24"/>
          <w:lang w:val="es-MX"/>
        </w:rPr>
        <w:t xml:space="preserve"> iniciado o forjado desde 1956</w:t>
      </w:r>
      <w:r w:rsidRPr="00793575">
        <w:rPr>
          <w:rFonts w:ascii="Times New Roman" w:hAnsi="Times New Roman" w:cs="Times New Roman"/>
          <w:sz w:val="24"/>
          <w:szCs w:val="24"/>
          <w:lang w:val="es-MX"/>
        </w:rPr>
        <w:t xml:space="preserve">, </w:t>
      </w:r>
      <w:r w:rsidR="00B112EE">
        <w:rPr>
          <w:rFonts w:ascii="Times New Roman" w:hAnsi="Times New Roman" w:cs="Times New Roman"/>
          <w:sz w:val="24"/>
          <w:szCs w:val="24"/>
          <w:lang w:val="es-MX"/>
        </w:rPr>
        <w:t xml:space="preserve">que </w:t>
      </w:r>
      <w:r w:rsidRPr="00793575">
        <w:rPr>
          <w:rFonts w:ascii="Times New Roman" w:hAnsi="Times New Roman" w:cs="Times New Roman"/>
          <w:sz w:val="24"/>
          <w:szCs w:val="24"/>
          <w:lang w:val="es-MX"/>
        </w:rPr>
        <w:t xml:space="preserve">en paralelo </w:t>
      </w:r>
      <w:r w:rsidRPr="00793575">
        <w:rPr>
          <w:rFonts w:ascii="Times New Roman" w:hAnsi="Times New Roman" w:cs="Times New Roman"/>
          <w:sz w:val="24"/>
          <w:szCs w:val="24"/>
          <w:lang w:val="es-MX"/>
        </w:rPr>
        <w:t>se produce</w:t>
      </w:r>
      <w:r w:rsidRPr="00793575">
        <w:rPr>
          <w:rFonts w:ascii="Times New Roman" w:hAnsi="Times New Roman" w:cs="Times New Roman"/>
          <w:sz w:val="24"/>
          <w:szCs w:val="24"/>
          <w:lang w:val="es-MX"/>
        </w:rPr>
        <w:t xml:space="preserve"> </w:t>
      </w:r>
      <w:r w:rsidRPr="00793575">
        <w:rPr>
          <w:rFonts w:ascii="Times New Roman" w:hAnsi="Times New Roman" w:cs="Times New Roman"/>
          <w:sz w:val="24"/>
          <w:szCs w:val="24"/>
          <w:lang w:val="es-MX"/>
        </w:rPr>
        <w:t>una importante</w:t>
      </w:r>
      <w:r w:rsidRPr="00793575">
        <w:rPr>
          <w:rFonts w:ascii="Times New Roman" w:hAnsi="Times New Roman" w:cs="Times New Roman"/>
          <w:sz w:val="24"/>
          <w:szCs w:val="24"/>
          <w:lang w:val="es-MX"/>
        </w:rPr>
        <w:t xml:space="preserve"> </w:t>
      </w:r>
      <w:r w:rsidRPr="00793575">
        <w:rPr>
          <w:rFonts w:ascii="Times New Roman" w:hAnsi="Times New Roman" w:cs="Times New Roman"/>
          <w:sz w:val="24"/>
          <w:szCs w:val="24"/>
          <w:lang w:val="es-MX"/>
        </w:rPr>
        <w:t>ampliación de las</w:t>
      </w:r>
      <w:r w:rsidRPr="00793575">
        <w:rPr>
          <w:rFonts w:ascii="Times New Roman" w:hAnsi="Times New Roman" w:cs="Times New Roman"/>
          <w:sz w:val="24"/>
          <w:szCs w:val="24"/>
          <w:lang w:val="es-MX"/>
        </w:rPr>
        <w:t xml:space="preserve"> </w:t>
      </w:r>
      <w:r w:rsidRPr="00793575">
        <w:rPr>
          <w:rFonts w:ascii="Times New Roman" w:hAnsi="Times New Roman" w:cs="Times New Roman"/>
          <w:sz w:val="24"/>
          <w:szCs w:val="24"/>
          <w:lang w:val="es-MX"/>
        </w:rPr>
        <w:t>entidades bancarias,</w:t>
      </w:r>
      <w:r w:rsidRPr="00793575">
        <w:rPr>
          <w:rFonts w:ascii="Times New Roman" w:hAnsi="Times New Roman" w:cs="Times New Roman"/>
          <w:sz w:val="24"/>
          <w:szCs w:val="24"/>
          <w:lang w:val="es-MX"/>
        </w:rPr>
        <w:t xml:space="preserve"> </w:t>
      </w:r>
      <w:r w:rsidRPr="00793575">
        <w:rPr>
          <w:rFonts w:ascii="Times New Roman" w:hAnsi="Times New Roman" w:cs="Times New Roman"/>
          <w:sz w:val="24"/>
          <w:szCs w:val="24"/>
          <w:lang w:val="es-MX"/>
        </w:rPr>
        <w:t>con la autorización</w:t>
      </w:r>
      <w:r w:rsidRPr="00793575">
        <w:rPr>
          <w:rFonts w:ascii="Times New Roman" w:hAnsi="Times New Roman" w:cs="Times New Roman"/>
          <w:sz w:val="24"/>
          <w:szCs w:val="24"/>
          <w:lang w:val="es-MX"/>
        </w:rPr>
        <w:t xml:space="preserve"> </w:t>
      </w:r>
      <w:r w:rsidRPr="00793575">
        <w:rPr>
          <w:rFonts w:ascii="Times New Roman" w:hAnsi="Times New Roman" w:cs="Times New Roman"/>
          <w:sz w:val="24"/>
          <w:szCs w:val="24"/>
          <w:lang w:val="es-MX"/>
        </w:rPr>
        <w:t>para el</w:t>
      </w:r>
      <w:r w:rsidRPr="00793575">
        <w:rPr>
          <w:rFonts w:ascii="Times New Roman" w:hAnsi="Times New Roman" w:cs="Times New Roman"/>
          <w:sz w:val="24"/>
          <w:szCs w:val="24"/>
          <w:lang w:val="es-MX"/>
        </w:rPr>
        <w:t xml:space="preserve"> </w:t>
      </w:r>
      <w:r w:rsidRPr="00793575">
        <w:rPr>
          <w:rFonts w:ascii="Times New Roman" w:hAnsi="Times New Roman" w:cs="Times New Roman"/>
          <w:sz w:val="24"/>
          <w:szCs w:val="24"/>
          <w:lang w:val="es-MX"/>
        </w:rPr>
        <w:t>establecimiento de</w:t>
      </w:r>
      <w:r w:rsidRPr="00793575">
        <w:rPr>
          <w:rFonts w:ascii="Times New Roman" w:hAnsi="Times New Roman" w:cs="Times New Roman"/>
          <w:sz w:val="24"/>
          <w:szCs w:val="24"/>
          <w:lang w:val="es-MX"/>
        </w:rPr>
        <w:t xml:space="preserve"> </w:t>
      </w:r>
      <w:r w:rsidRPr="00793575">
        <w:rPr>
          <w:rFonts w:ascii="Times New Roman" w:hAnsi="Times New Roman" w:cs="Times New Roman"/>
          <w:sz w:val="24"/>
          <w:szCs w:val="24"/>
          <w:lang w:val="es-MX"/>
        </w:rPr>
        <w:t>diversos bancos</w:t>
      </w:r>
      <w:r w:rsidRPr="00793575">
        <w:rPr>
          <w:rFonts w:ascii="Times New Roman" w:hAnsi="Times New Roman" w:cs="Times New Roman"/>
          <w:sz w:val="24"/>
          <w:szCs w:val="24"/>
          <w:lang w:val="es-MX"/>
        </w:rPr>
        <w:t xml:space="preserve"> en todo el país.</w:t>
      </w:r>
      <w:r w:rsidR="00793575" w:rsidRPr="00793575">
        <w:rPr>
          <w:rFonts w:ascii="Times New Roman" w:hAnsi="Times New Roman" w:cs="Times New Roman"/>
          <w:sz w:val="24"/>
          <w:szCs w:val="24"/>
          <w:lang w:val="es-MX"/>
        </w:rPr>
        <w:t xml:space="preserve"> </w:t>
      </w:r>
    </w:p>
    <w:p w14:paraId="7C2FDCE8" w14:textId="145A3EDC" w:rsidR="00793575" w:rsidRDefault="00B61C9D" w:rsidP="00793575">
      <w:pPr>
        <w:pStyle w:val="Prrafodelista"/>
        <w:numPr>
          <w:ilvl w:val="0"/>
          <w:numId w:val="3"/>
        </w:numPr>
        <w:spacing w:line="288" w:lineRule="auto"/>
        <w:jc w:val="both"/>
        <w:rPr>
          <w:rFonts w:ascii="Times New Roman" w:hAnsi="Times New Roman" w:cs="Times New Roman"/>
          <w:sz w:val="24"/>
          <w:szCs w:val="24"/>
          <w:lang w:val="es-MX"/>
        </w:rPr>
      </w:pPr>
      <w:r w:rsidRPr="00793575">
        <w:rPr>
          <w:rFonts w:ascii="Times New Roman" w:hAnsi="Times New Roman" w:cs="Times New Roman"/>
          <w:sz w:val="24"/>
          <w:szCs w:val="24"/>
          <w:lang w:val="es-MX"/>
        </w:rPr>
        <w:t xml:space="preserve">Finalizando esta etapa hasta 1982 con el periodo denominado “ciclo militar” iniciada por el </w:t>
      </w:r>
      <w:r w:rsidRPr="00793575">
        <w:rPr>
          <w:rFonts w:ascii="Times New Roman" w:hAnsi="Times New Roman" w:cs="Times New Roman"/>
          <w:sz w:val="24"/>
          <w:szCs w:val="24"/>
          <w:lang w:val="es-MX"/>
        </w:rPr>
        <w:t>General René Barrientos</w:t>
      </w:r>
      <w:r w:rsidR="00793575" w:rsidRPr="00793575">
        <w:rPr>
          <w:rFonts w:ascii="Times New Roman" w:hAnsi="Times New Roman" w:cs="Times New Roman"/>
          <w:sz w:val="24"/>
          <w:szCs w:val="24"/>
          <w:lang w:val="es-MX"/>
        </w:rPr>
        <w:t xml:space="preserve">, donde se impuso como política principal la sustitución de importaciones, con resultados no tan favorables a los esperados, lo que mas se resalta de esta etapa es el impulso de </w:t>
      </w:r>
      <w:r w:rsidR="00793575" w:rsidRPr="00793575">
        <w:rPr>
          <w:rFonts w:ascii="Times New Roman" w:hAnsi="Times New Roman" w:cs="Times New Roman"/>
          <w:sz w:val="24"/>
          <w:szCs w:val="24"/>
          <w:lang w:val="es-MX"/>
        </w:rPr>
        <w:t>la</w:t>
      </w:r>
      <w:r w:rsidR="00793575" w:rsidRPr="00793575">
        <w:rPr>
          <w:rFonts w:ascii="Times New Roman" w:hAnsi="Times New Roman" w:cs="Times New Roman"/>
          <w:sz w:val="24"/>
          <w:szCs w:val="24"/>
          <w:lang w:val="es-MX"/>
        </w:rPr>
        <w:t xml:space="preserve"> </w:t>
      </w:r>
      <w:r w:rsidR="00793575" w:rsidRPr="00793575">
        <w:rPr>
          <w:rFonts w:ascii="Times New Roman" w:hAnsi="Times New Roman" w:cs="Times New Roman"/>
          <w:sz w:val="24"/>
          <w:szCs w:val="24"/>
          <w:lang w:val="es-MX"/>
        </w:rPr>
        <w:t>política crediticia</w:t>
      </w:r>
      <w:r w:rsidR="00793575" w:rsidRPr="00793575">
        <w:rPr>
          <w:rFonts w:ascii="Times New Roman" w:hAnsi="Times New Roman" w:cs="Times New Roman"/>
          <w:sz w:val="24"/>
          <w:szCs w:val="24"/>
          <w:lang w:val="es-MX"/>
        </w:rPr>
        <w:t xml:space="preserve"> </w:t>
      </w:r>
      <w:r w:rsidR="00793575" w:rsidRPr="00793575">
        <w:rPr>
          <w:rFonts w:ascii="Times New Roman" w:hAnsi="Times New Roman" w:cs="Times New Roman"/>
          <w:sz w:val="24"/>
          <w:szCs w:val="24"/>
          <w:lang w:val="es-MX"/>
        </w:rPr>
        <w:t>del sistema bancario</w:t>
      </w:r>
      <w:r w:rsidR="00793575" w:rsidRPr="00793575">
        <w:rPr>
          <w:rFonts w:ascii="Times New Roman" w:hAnsi="Times New Roman" w:cs="Times New Roman"/>
          <w:sz w:val="24"/>
          <w:szCs w:val="24"/>
          <w:lang w:val="es-MX"/>
        </w:rPr>
        <w:t xml:space="preserve"> orientado </w:t>
      </w:r>
      <w:r w:rsidR="00793575" w:rsidRPr="00793575">
        <w:rPr>
          <w:rFonts w:ascii="Times New Roman" w:hAnsi="Times New Roman" w:cs="Times New Roman"/>
          <w:sz w:val="24"/>
          <w:szCs w:val="24"/>
          <w:lang w:val="es-MX"/>
        </w:rPr>
        <w:t>fundamentalmente a</w:t>
      </w:r>
      <w:r w:rsidR="00793575" w:rsidRPr="00793575">
        <w:rPr>
          <w:rFonts w:ascii="Times New Roman" w:hAnsi="Times New Roman" w:cs="Times New Roman"/>
          <w:sz w:val="24"/>
          <w:szCs w:val="24"/>
          <w:lang w:val="es-MX"/>
        </w:rPr>
        <w:t xml:space="preserve"> </w:t>
      </w:r>
      <w:r w:rsidR="00793575" w:rsidRPr="00793575">
        <w:rPr>
          <w:rFonts w:ascii="Times New Roman" w:hAnsi="Times New Roman" w:cs="Times New Roman"/>
          <w:sz w:val="24"/>
          <w:szCs w:val="24"/>
          <w:lang w:val="es-MX"/>
        </w:rPr>
        <w:t>incentivar al sector</w:t>
      </w:r>
      <w:r w:rsidR="00793575" w:rsidRPr="00793575">
        <w:rPr>
          <w:rFonts w:ascii="Times New Roman" w:hAnsi="Times New Roman" w:cs="Times New Roman"/>
          <w:sz w:val="24"/>
          <w:szCs w:val="24"/>
          <w:lang w:val="es-MX"/>
        </w:rPr>
        <w:t xml:space="preserve"> </w:t>
      </w:r>
      <w:r w:rsidR="00793575" w:rsidRPr="00793575">
        <w:rPr>
          <w:rFonts w:ascii="Times New Roman" w:hAnsi="Times New Roman" w:cs="Times New Roman"/>
          <w:sz w:val="24"/>
          <w:szCs w:val="24"/>
          <w:lang w:val="es-MX"/>
        </w:rPr>
        <w:t>privado</w:t>
      </w:r>
      <w:r w:rsidR="00793575" w:rsidRPr="00793575">
        <w:rPr>
          <w:rFonts w:ascii="Times New Roman" w:hAnsi="Times New Roman" w:cs="Times New Roman"/>
          <w:sz w:val="24"/>
          <w:szCs w:val="24"/>
          <w:lang w:val="es-MX"/>
        </w:rPr>
        <w:t xml:space="preserve"> del país.</w:t>
      </w:r>
    </w:p>
    <w:p w14:paraId="652A29D4" w14:textId="77777777" w:rsidR="00793575" w:rsidRPr="00793575" w:rsidRDefault="00793575" w:rsidP="00793575">
      <w:pPr>
        <w:pStyle w:val="Prrafodelista"/>
        <w:spacing w:line="288" w:lineRule="auto"/>
        <w:jc w:val="both"/>
        <w:rPr>
          <w:rFonts w:ascii="Times New Roman" w:hAnsi="Times New Roman" w:cs="Times New Roman"/>
          <w:sz w:val="24"/>
          <w:szCs w:val="24"/>
          <w:lang w:val="es-MX"/>
        </w:rPr>
      </w:pPr>
    </w:p>
    <w:p w14:paraId="0E0FD11B" w14:textId="7F63C6F9" w:rsidR="00793575" w:rsidRDefault="00793575" w:rsidP="00793575">
      <w:pPr>
        <w:spacing w:line="276" w:lineRule="auto"/>
        <w:jc w:val="both"/>
        <w:rPr>
          <w:rFonts w:ascii="Times New Roman" w:hAnsi="Times New Roman" w:cs="Times New Roman"/>
          <w:sz w:val="24"/>
          <w:szCs w:val="24"/>
          <w:lang w:val="es-MX"/>
        </w:rPr>
      </w:pPr>
      <w:r>
        <w:rPr>
          <w:rFonts w:ascii="Times New Roman" w:hAnsi="Times New Roman" w:cs="Times New Roman"/>
          <w:sz w:val="24"/>
          <w:szCs w:val="24"/>
          <w:lang w:val="es-MX"/>
        </w:rPr>
        <w:t>Continuando con los antecedentes externos que influyeron en la relación entre el estado y su sistema financiero:</w:t>
      </w:r>
    </w:p>
    <w:p w14:paraId="6428792B" w14:textId="369169B4" w:rsidR="009F79EB" w:rsidRDefault="009F79EB" w:rsidP="00A7540D">
      <w:pPr>
        <w:pStyle w:val="Prrafodelista"/>
        <w:numPr>
          <w:ilvl w:val="0"/>
          <w:numId w:val="4"/>
        </w:numPr>
        <w:spacing w:line="276" w:lineRule="auto"/>
        <w:jc w:val="both"/>
        <w:rPr>
          <w:rFonts w:ascii="Times New Roman" w:hAnsi="Times New Roman" w:cs="Times New Roman"/>
          <w:sz w:val="24"/>
          <w:szCs w:val="24"/>
          <w:lang w:val="es-MX"/>
        </w:rPr>
      </w:pPr>
      <w:r w:rsidRPr="00A7540D">
        <w:rPr>
          <w:rFonts w:ascii="Times New Roman" w:hAnsi="Times New Roman" w:cs="Times New Roman"/>
          <w:sz w:val="24"/>
          <w:szCs w:val="24"/>
          <w:lang w:val="es-MX"/>
        </w:rPr>
        <w:t xml:space="preserve">En el periodo </w:t>
      </w:r>
      <w:r w:rsidRPr="00A7540D">
        <w:rPr>
          <w:rFonts w:ascii="Times New Roman" w:hAnsi="Times New Roman" w:cs="Times New Roman"/>
          <w:sz w:val="24"/>
          <w:szCs w:val="24"/>
          <w:lang w:val="es-MX"/>
        </w:rPr>
        <w:t xml:space="preserve">1985 </w:t>
      </w:r>
      <w:r w:rsidR="005E6742">
        <w:rPr>
          <w:rFonts w:ascii="Times New Roman" w:hAnsi="Times New Roman" w:cs="Times New Roman"/>
          <w:sz w:val="24"/>
          <w:szCs w:val="24"/>
          <w:lang w:val="es-MX"/>
        </w:rPr>
        <w:t>a</w:t>
      </w:r>
      <w:r w:rsidRPr="00A7540D">
        <w:rPr>
          <w:rFonts w:ascii="Times New Roman" w:hAnsi="Times New Roman" w:cs="Times New Roman"/>
          <w:sz w:val="24"/>
          <w:szCs w:val="24"/>
          <w:lang w:val="es-MX"/>
        </w:rPr>
        <w:t xml:space="preserve"> 1998</w:t>
      </w:r>
      <w:r w:rsidRPr="00A7540D">
        <w:rPr>
          <w:rFonts w:ascii="Times New Roman" w:hAnsi="Times New Roman" w:cs="Times New Roman"/>
          <w:sz w:val="24"/>
          <w:szCs w:val="24"/>
          <w:lang w:val="es-MX"/>
        </w:rPr>
        <w:t xml:space="preserve"> se realiza la reforma total de </w:t>
      </w:r>
      <w:r w:rsidRPr="00A7540D">
        <w:rPr>
          <w:rFonts w:ascii="Times New Roman" w:hAnsi="Times New Roman" w:cs="Times New Roman"/>
          <w:sz w:val="24"/>
          <w:szCs w:val="24"/>
          <w:lang w:val="es-MX"/>
        </w:rPr>
        <w:t>la regulación y supervisión en el sistema de intermediación financiera</w:t>
      </w:r>
      <w:r w:rsidR="00B112EE">
        <w:rPr>
          <w:rFonts w:ascii="Times New Roman" w:hAnsi="Times New Roman" w:cs="Times New Roman"/>
          <w:sz w:val="24"/>
          <w:szCs w:val="24"/>
          <w:lang w:val="es-MX"/>
        </w:rPr>
        <w:t>, dirigida a un mayor control del estado hacia el sistema financiero</w:t>
      </w:r>
      <w:r w:rsidR="00A20135">
        <w:rPr>
          <w:rFonts w:ascii="Times New Roman" w:hAnsi="Times New Roman" w:cs="Times New Roman"/>
          <w:sz w:val="24"/>
          <w:szCs w:val="24"/>
          <w:lang w:val="es-MX"/>
        </w:rPr>
        <w:t xml:space="preserve">, como la creación de la central de información de riesgos crediticios (CIC), que como fin último busca generar </w:t>
      </w:r>
      <w:r w:rsidR="00A20135" w:rsidRPr="00A20135">
        <w:rPr>
          <w:rFonts w:ascii="Times New Roman" w:hAnsi="Times New Roman" w:cs="Times New Roman"/>
          <w:sz w:val="24"/>
          <w:szCs w:val="24"/>
          <w:lang w:val="es-MX"/>
        </w:rPr>
        <w:t xml:space="preserve">una base de datos </w:t>
      </w:r>
      <w:r w:rsidR="00A20135">
        <w:rPr>
          <w:rFonts w:ascii="Times New Roman" w:hAnsi="Times New Roman" w:cs="Times New Roman"/>
          <w:sz w:val="24"/>
          <w:szCs w:val="24"/>
          <w:lang w:val="es-MX"/>
        </w:rPr>
        <w:t>con información d</w:t>
      </w:r>
      <w:r w:rsidR="00A20135" w:rsidRPr="00A20135">
        <w:rPr>
          <w:rFonts w:ascii="Times New Roman" w:hAnsi="Times New Roman" w:cs="Times New Roman"/>
          <w:sz w:val="24"/>
          <w:szCs w:val="24"/>
          <w:lang w:val="es-MX"/>
        </w:rPr>
        <w:t xml:space="preserve">el comportamiento histórico mensual de los pagos realizados por prestatarios del sistema financiero </w:t>
      </w:r>
      <w:r w:rsidR="00A20135">
        <w:rPr>
          <w:rFonts w:ascii="Times New Roman" w:hAnsi="Times New Roman" w:cs="Times New Roman"/>
          <w:sz w:val="24"/>
          <w:szCs w:val="24"/>
          <w:lang w:val="es-MX"/>
        </w:rPr>
        <w:t>junto a</w:t>
      </w:r>
      <w:r w:rsidR="00A20135" w:rsidRPr="00A20135">
        <w:rPr>
          <w:rFonts w:ascii="Times New Roman" w:hAnsi="Times New Roman" w:cs="Times New Roman"/>
          <w:sz w:val="24"/>
          <w:szCs w:val="24"/>
          <w:lang w:val="es-MX"/>
        </w:rPr>
        <w:t xml:space="preserve"> sus niveles de endeudamiento</w:t>
      </w:r>
    </w:p>
    <w:p w14:paraId="12A434A6" w14:textId="2B6491C8" w:rsidR="00B112EE" w:rsidRPr="00A7540D" w:rsidRDefault="00B112EE" w:rsidP="00A7540D">
      <w:pPr>
        <w:pStyle w:val="Prrafodelista"/>
        <w:numPr>
          <w:ilvl w:val="0"/>
          <w:numId w:val="4"/>
        </w:numPr>
        <w:spacing w:line="276"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Ley SAFCO de 1990, donde dicha ley aborda la </w:t>
      </w:r>
      <w:r w:rsidRPr="00B112EE">
        <w:rPr>
          <w:rFonts w:ascii="Times New Roman" w:hAnsi="Times New Roman" w:cs="Times New Roman"/>
          <w:sz w:val="24"/>
          <w:szCs w:val="24"/>
          <w:lang w:val="es-MX"/>
        </w:rPr>
        <w:t xml:space="preserve">Administración y Control Gubernamental, </w:t>
      </w:r>
      <w:r>
        <w:rPr>
          <w:rFonts w:ascii="Times New Roman" w:hAnsi="Times New Roman" w:cs="Times New Roman"/>
          <w:sz w:val="24"/>
          <w:szCs w:val="24"/>
          <w:lang w:val="es-MX"/>
        </w:rPr>
        <w:t>estableciendo</w:t>
      </w:r>
      <w:r w:rsidRPr="00B112EE">
        <w:rPr>
          <w:rFonts w:ascii="Times New Roman" w:hAnsi="Times New Roman" w:cs="Times New Roman"/>
          <w:sz w:val="24"/>
          <w:szCs w:val="24"/>
          <w:lang w:val="es-MX"/>
        </w:rPr>
        <w:t xml:space="preserve"> sistemas de gestión que se relacionan entre sí y con otros sistemas en el país.</w:t>
      </w:r>
    </w:p>
    <w:p w14:paraId="6D8DBEAD" w14:textId="434F2561" w:rsidR="009F79EB" w:rsidRPr="00A7540D" w:rsidRDefault="00A7540D" w:rsidP="00A7540D">
      <w:pPr>
        <w:pStyle w:val="Prrafodelista"/>
        <w:numPr>
          <w:ilvl w:val="0"/>
          <w:numId w:val="4"/>
        </w:numPr>
        <w:spacing w:line="276" w:lineRule="auto"/>
        <w:jc w:val="both"/>
        <w:rPr>
          <w:rFonts w:ascii="Times New Roman" w:hAnsi="Times New Roman" w:cs="Times New Roman"/>
          <w:sz w:val="24"/>
          <w:szCs w:val="24"/>
          <w:lang w:val="es-MX"/>
        </w:rPr>
      </w:pPr>
      <w:r w:rsidRPr="00A7540D">
        <w:rPr>
          <w:rFonts w:ascii="Times New Roman" w:hAnsi="Times New Roman" w:cs="Times New Roman"/>
          <w:sz w:val="24"/>
          <w:szCs w:val="24"/>
          <w:lang w:val="es-MX"/>
        </w:rPr>
        <w:t>L</w:t>
      </w:r>
      <w:r w:rsidR="009F79EB" w:rsidRPr="00A7540D">
        <w:rPr>
          <w:rFonts w:ascii="Times New Roman" w:hAnsi="Times New Roman" w:cs="Times New Roman"/>
          <w:sz w:val="24"/>
          <w:szCs w:val="24"/>
          <w:lang w:val="es-MX"/>
        </w:rPr>
        <w:t>os estándares internacionales de regulación a partir de los acuerdos de Basilea</w:t>
      </w:r>
      <w:r w:rsidRPr="00A7540D">
        <w:rPr>
          <w:rFonts w:ascii="Times New Roman" w:hAnsi="Times New Roman" w:cs="Times New Roman"/>
          <w:sz w:val="24"/>
          <w:szCs w:val="24"/>
          <w:lang w:val="es-MX"/>
        </w:rPr>
        <w:t xml:space="preserve"> de 1988, donde los mismos pueden entenderse como a</w:t>
      </w:r>
      <w:r w:rsidRPr="00A7540D">
        <w:rPr>
          <w:rFonts w:ascii="Times New Roman" w:hAnsi="Times New Roman" w:cs="Times New Roman"/>
          <w:sz w:val="24"/>
          <w:szCs w:val="24"/>
          <w:lang w:val="es-MX"/>
        </w:rPr>
        <w:t>cuerdos</w:t>
      </w:r>
      <w:r w:rsidRPr="00A7540D">
        <w:rPr>
          <w:rFonts w:ascii="Times New Roman" w:hAnsi="Times New Roman" w:cs="Times New Roman"/>
          <w:sz w:val="24"/>
          <w:szCs w:val="24"/>
          <w:lang w:val="es-MX"/>
        </w:rPr>
        <w:t xml:space="preserve"> </w:t>
      </w:r>
      <w:r w:rsidRPr="00A7540D">
        <w:rPr>
          <w:rFonts w:ascii="Times New Roman" w:hAnsi="Times New Roman" w:cs="Times New Roman"/>
          <w:sz w:val="24"/>
          <w:szCs w:val="24"/>
          <w:lang w:val="es-MX"/>
        </w:rPr>
        <w:t xml:space="preserve">de supervisión bancaria o recomendaciones sobre regulación </w:t>
      </w:r>
      <w:r w:rsidRPr="00A7540D">
        <w:rPr>
          <w:rFonts w:ascii="Times New Roman" w:hAnsi="Times New Roman" w:cs="Times New Roman"/>
          <w:sz w:val="24"/>
          <w:szCs w:val="24"/>
          <w:lang w:val="es-MX"/>
        </w:rPr>
        <w:t>de entidades financieras</w:t>
      </w:r>
      <w:r w:rsidRPr="00A7540D">
        <w:rPr>
          <w:rFonts w:ascii="Times New Roman" w:hAnsi="Times New Roman" w:cs="Times New Roman"/>
          <w:sz w:val="24"/>
          <w:szCs w:val="24"/>
          <w:lang w:val="es-MX"/>
        </w:rPr>
        <w:t xml:space="preserve"> emitidos por el Comité de Basilea de Supervisión Bancaria.</w:t>
      </w:r>
    </w:p>
    <w:p w14:paraId="6FA5A87F" w14:textId="440AECEC" w:rsidR="005B0EEC" w:rsidRDefault="009F79EB" w:rsidP="00793575">
      <w:pPr>
        <w:spacing w:line="276"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Con todo lo antes expuesto podemos concluir que el estado ha tenido el rol continuo de fungir de arbitro, en ocasiones flexibilizando o limitando </w:t>
      </w:r>
      <w:r w:rsidR="005E6742">
        <w:rPr>
          <w:rFonts w:ascii="Times New Roman" w:hAnsi="Times New Roman" w:cs="Times New Roman"/>
          <w:sz w:val="24"/>
          <w:szCs w:val="24"/>
          <w:lang w:val="es-MX"/>
        </w:rPr>
        <w:t>las</w:t>
      </w:r>
      <w:r>
        <w:rPr>
          <w:rFonts w:ascii="Times New Roman" w:hAnsi="Times New Roman" w:cs="Times New Roman"/>
          <w:sz w:val="24"/>
          <w:szCs w:val="24"/>
          <w:lang w:val="es-MX"/>
        </w:rPr>
        <w:t xml:space="preserve"> acciones de los participantes del sistema financiero donde estos han estado en función del pensamiento predominante del momento, que nos lleva al contexto actual, que si bien el sistema financiero en si mismo es necesario para el crecimiento del país, este debe sujetarse a un </w:t>
      </w:r>
      <w:r w:rsidR="00A03C8E">
        <w:rPr>
          <w:rFonts w:ascii="Times New Roman" w:hAnsi="Times New Roman" w:cs="Times New Roman"/>
          <w:sz w:val="24"/>
          <w:szCs w:val="24"/>
          <w:lang w:val="es-MX"/>
        </w:rPr>
        <w:t xml:space="preserve">equilibrado </w:t>
      </w:r>
      <w:r>
        <w:rPr>
          <w:rFonts w:ascii="Times New Roman" w:hAnsi="Times New Roman" w:cs="Times New Roman"/>
          <w:sz w:val="24"/>
          <w:szCs w:val="24"/>
          <w:lang w:val="es-MX"/>
        </w:rPr>
        <w:t>control continuo y monitoreo</w:t>
      </w:r>
      <w:r w:rsidR="00A03C8E">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por parte del estado, dirigiendo sus esfuerzos a un desarrollo sostenible del país en su conjunto. </w:t>
      </w:r>
    </w:p>
    <w:p w14:paraId="05C362D2" w14:textId="33B2C8D7" w:rsidR="005B0EEC" w:rsidRDefault="005B0EEC" w:rsidP="00793575">
      <w:pPr>
        <w:spacing w:line="276" w:lineRule="auto"/>
        <w:jc w:val="both"/>
        <w:rPr>
          <w:rFonts w:ascii="Times New Roman" w:hAnsi="Times New Roman" w:cs="Times New Roman"/>
          <w:sz w:val="24"/>
          <w:szCs w:val="24"/>
          <w:lang w:val="es-MX"/>
        </w:rPr>
      </w:pPr>
    </w:p>
    <w:p w14:paraId="6CCF9C92" w14:textId="4CA2336A" w:rsidR="005B0EEC" w:rsidRPr="00175288" w:rsidRDefault="005B0EEC" w:rsidP="00793575">
      <w:pPr>
        <w:spacing w:line="276" w:lineRule="auto"/>
        <w:jc w:val="both"/>
        <w:rPr>
          <w:rFonts w:ascii="Times New Roman" w:hAnsi="Times New Roman" w:cs="Times New Roman"/>
          <w:sz w:val="24"/>
          <w:szCs w:val="24"/>
          <w:lang w:val="es-MX"/>
        </w:rPr>
      </w:pPr>
      <w:r>
        <w:rPr>
          <w:rFonts w:ascii="Times New Roman" w:hAnsi="Times New Roman" w:cs="Times New Roman"/>
          <w:sz w:val="24"/>
          <w:szCs w:val="24"/>
          <w:lang w:val="es-MX"/>
        </w:rPr>
        <w:t>Palabras Clave: Bolivia, Sistema financiero</w:t>
      </w:r>
      <w:r w:rsidR="009F79EB">
        <w:rPr>
          <w:rFonts w:ascii="Times New Roman" w:hAnsi="Times New Roman" w:cs="Times New Roman"/>
          <w:sz w:val="24"/>
          <w:szCs w:val="24"/>
          <w:lang w:val="es-MX"/>
        </w:rPr>
        <w:t>, Regulación, M</w:t>
      </w:r>
      <w:r w:rsidR="009F79EB" w:rsidRPr="00793575">
        <w:rPr>
          <w:rFonts w:ascii="Times New Roman" w:hAnsi="Times New Roman" w:cs="Times New Roman"/>
          <w:sz w:val="24"/>
          <w:szCs w:val="24"/>
          <w:lang w:val="es-MX"/>
        </w:rPr>
        <w:t>isión Kemmerer</w:t>
      </w:r>
      <w:r w:rsidR="009F79EB">
        <w:rPr>
          <w:rFonts w:ascii="Times New Roman" w:hAnsi="Times New Roman" w:cs="Times New Roman"/>
          <w:sz w:val="24"/>
          <w:szCs w:val="24"/>
          <w:lang w:val="es-MX"/>
        </w:rPr>
        <w:t>, Acuerdos de Basilea</w:t>
      </w:r>
    </w:p>
    <w:sectPr w:rsidR="005B0EEC" w:rsidRPr="00175288" w:rsidSect="00175288">
      <w:headerReference w:type="default" r:id="rId7"/>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03D31" w14:textId="77777777" w:rsidR="00D94B1C" w:rsidRDefault="00D94B1C" w:rsidP="00175288">
      <w:pPr>
        <w:spacing w:after="0" w:line="240" w:lineRule="auto"/>
      </w:pPr>
      <w:r>
        <w:separator/>
      </w:r>
    </w:p>
  </w:endnote>
  <w:endnote w:type="continuationSeparator" w:id="0">
    <w:p w14:paraId="6D326A51" w14:textId="77777777" w:rsidR="00D94B1C" w:rsidRDefault="00D94B1C" w:rsidP="00175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2EAAE" w14:textId="77777777" w:rsidR="00D94B1C" w:rsidRDefault="00D94B1C" w:rsidP="00175288">
      <w:pPr>
        <w:spacing w:after="0" w:line="240" w:lineRule="auto"/>
      </w:pPr>
      <w:r>
        <w:separator/>
      </w:r>
    </w:p>
  </w:footnote>
  <w:footnote w:type="continuationSeparator" w:id="0">
    <w:p w14:paraId="2755F59A" w14:textId="77777777" w:rsidR="00D94B1C" w:rsidRDefault="00D94B1C" w:rsidP="001752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2C407" w14:textId="1DBD4D3B" w:rsidR="00175288" w:rsidRPr="00454475" w:rsidRDefault="00454475">
    <w:pPr>
      <w:pStyle w:val="Encabezado"/>
      <w:rPr>
        <w:rStyle w:val="Textoennegrita"/>
        <w:rFonts w:ascii="Times New Roman" w:hAnsi="Times New Roman" w:cs="Times New Roman"/>
        <w:b w:val="0"/>
        <w:bCs w:val="0"/>
        <w:color w:val="000000"/>
        <w:sz w:val="24"/>
        <w:szCs w:val="24"/>
        <w:shd w:val="clear" w:color="auto" w:fill="FFFFFF"/>
      </w:rPr>
    </w:pPr>
    <w:r w:rsidRPr="00454475">
      <w:rPr>
        <w:rStyle w:val="Textoennegrita"/>
        <w:rFonts w:ascii="Times New Roman" w:hAnsi="Times New Roman" w:cs="Times New Roman"/>
        <w:color w:val="000000"/>
        <w:sz w:val="24"/>
        <w:szCs w:val="24"/>
        <w:shd w:val="clear" w:color="auto" w:fill="FFFFFF"/>
      </w:rPr>
      <w:t>TEMA:</w:t>
    </w:r>
    <w:r>
      <w:rPr>
        <w:rStyle w:val="Textoennegrita"/>
        <w:rFonts w:ascii="Times New Roman" w:hAnsi="Times New Roman" w:cs="Times New Roman"/>
        <w:b w:val="0"/>
        <w:bCs w:val="0"/>
        <w:color w:val="000000"/>
        <w:sz w:val="24"/>
        <w:szCs w:val="24"/>
        <w:shd w:val="clear" w:color="auto" w:fill="FFFFFF"/>
      </w:rPr>
      <w:t xml:space="preserve"> </w:t>
    </w:r>
    <w:r w:rsidR="00175288" w:rsidRPr="00454475">
      <w:rPr>
        <w:rStyle w:val="Textoennegrita"/>
        <w:rFonts w:ascii="Times New Roman" w:hAnsi="Times New Roman" w:cs="Times New Roman"/>
        <w:b w:val="0"/>
        <w:bCs w:val="0"/>
        <w:color w:val="000000"/>
        <w:sz w:val="24"/>
        <w:szCs w:val="24"/>
        <w:shd w:val="clear" w:color="auto" w:fill="FFFFFF"/>
      </w:rPr>
      <w:t>ANTECEDENTES HISTORICOS DEL SISTEMA FINANCIERO EN BOLIVIA</w:t>
    </w:r>
  </w:p>
  <w:p w14:paraId="79530EEE" w14:textId="02E6F80B" w:rsidR="00175288" w:rsidRPr="00454475" w:rsidRDefault="00454475">
    <w:pPr>
      <w:pStyle w:val="Encabezado"/>
      <w:rPr>
        <w:rFonts w:ascii="Times New Roman" w:hAnsi="Times New Roman" w:cs="Times New Roman"/>
        <w:sz w:val="24"/>
        <w:szCs w:val="24"/>
      </w:rPr>
    </w:pPr>
    <w:r w:rsidRPr="00454475">
      <w:rPr>
        <w:rStyle w:val="Textoennegrita"/>
        <w:rFonts w:ascii="Times New Roman" w:hAnsi="Times New Roman" w:cs="Times New Roman"/>
        <w:color w:val="000000"/>
        <w:sz w:val="24"/>
        <w:szCs w:val="24"/>
        <w:shd w:val="clear" w:color="auto" w:fill="FFFFFF"/>
      </w:rPr>
      <w:t>REDACTADO POR:</w:t>
    </w:r>
    <w:r>
      <w:rPr>
        <w:rStyle w:val="Textoennegrita"/>
        <w:rFonts w:ascii="Times New Roman" w:hAnsi="Times New Roman" w:cs="Times New Roman"/>
        <w:b w:val="0"/>
        <w:bCs w:val="0"/>
        <w:color w:val="000000"/>
        <w:sz w:val="24"/>
        <w:szCs w:val="24"/>
        <w:shd w:val="clear" w:color="auto" w:fill="FFFFFF"/>
      </w:rPr>
      <w:t xml:space="preserve"> </w:t>
    </w:r>
    <w:r w:rsidR="00175288" w:rsidRPr="00454475">
      <w:rPr>
        <w:rStyle w:val="Textoennegrita"/>
        <w:rFonts w:ascii="Times New Roman" w:hAnsi="Times New Roman" w:cs="Times New Roman"/>
        <w:b w:val="0"/>
        <w:bCs w:val="0"/>
        <w:color w:val="000000"/>
        <w:sz w:val="24"/>
        <w:szCs w:val="24"/>
        <w:shd w:val="clear" w:color="auto" w:fill="FFFFFF"/>
      </w:rPr>
      <w:t>LUIS ALBERTO SOLIS PEÑA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341A7"/>
    <w:multiLevelType w:val="hybridMultilevel"/>
    <w:tmpl w:val="B238BE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324967DB"/>
    <w:multiLevelType w:val="hybridMultilevel"/>
    <w:tmpl w:val="C9A6907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36A9288D"/>
    <w:multiLevelType w:val="multilevel"/>
    <w:tmpl w:val="E3A0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E55148"/>
    <w:multiLevelType w:val="hybridMultilevel"/>
    <w:tmpl w:val="7B82936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274989311">
    <w:abstractNumId w:val="2"/>
  </w:num>
  <w:num w:numId="2" w16cid:durableId="1681659035">
    <w:abstractNumId w:val="1"/>
  </w:num>
  <w:num w:numId="3" w16cid:durableId="36319760">
    <w:abstractNumId w:val="3"/>
  </w:num>
  <w:num w:numId="4" w16cid:durableId="161521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06"/>
    <w:rsid w:val="000A73C9"/>
    <w:rsid w:val="00135E8D"/>
    <w:rsid w:val="00175288"/>
    <w:rsid w:val="002C47DF"/>
    <w:rsid w:val="003D4DC6"/>
    <w:rsid w:val="003D575C"/>
    <w:rsid w:val="00454475"/>
    <w:rsid w:val="005B0EEC"/>
    <w:rsid w:val="005E6742"/>
    <w:rsid w:val="006D0DA2"/>
    <w:rsid w:val="00793575"/>
    <w:rsid w:val="007A4685"/>
    <w:rsid w:val="008A6206"/>
    <w:rsid w:val="009F79EB"/>
    <w:rsid w:val="00A03C8E"/>
    <w:rsid w:val="00A20135"/>
    <w:rsid w:val="00A7540D"/>
    <w:rsid w:val="00B112EE"/>
    <w:rsid w:val="00B61C9D"/>
    <w:rsid w:val="00CA1736"/>
    <w:rsid w:val="00D94B1C"/>
    <w:rsid w:val="00E40A43"/>
    <w:rsid w:val="00E40D08"/>
    <w:rsid w:val="00E83AA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C810"/>
  <w15:chartTrackingRefBased/>
  <w15:docId w15:val="{98691E35-60F4-4637-8AF0-61C7FF3C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752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5288"/>
  </w:style>
  <w:style w:type="paragraph" w:styleId="Piedepgina">
    <w:name w:val="footer"/>
    <w:basedOn w:val="Normal"/>
    <w:link w:val="PiedepginaCar"/>
    <w:uiPriority w:val="99"/>
    <w:unhideWhenUsed/>
    <w:rsid w:val="001752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5288"/>
  </w:style>
  <w:style w:type="character" w:styleId="Textoennegrita">
    <w:name w:val="Strong"/>
    <w:basedOn w:val="Fuentedeprrafopredeter"/>
    <w:uiPriority w:val="22"/>
    <w:qFormat/>
    <w:rsid w:val="00175288"/>
    <w:rPr>
      <w:b/>
      <w:bCs/>
    </w:rPr>
  </w:style>
  <w:style w:type="paragraph" w:styleId="Prrafodelista">
    <w:name w:val="List Paragraph"/>
    <w:basedOn w:val="Normal"/>
    <w:uiPriority w:val="34"/>
    <w:qFormat/>
    <w:rsid w:val="007935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64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Pages>
  <Words>706</Words>
  <Characters>3889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13</cp:revision>
  <cp:lastPrinted>2024-08-18T17:16:00Z</cp:lastPrinted>
  <dcterms:created xsi:type="dcterms:W3CDTF">2024-08-15T15:29:00Z</dcterms:created>
  <dcterms:modified xsi:type="dcterms:W3CDTF">2024-08-18T17:35:00Z</dcterms:modified>
</cp:coreProperties>
</file>