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D9259" w14:textId="2D436CCA" w:rsidR="00CA1736" w:rsidRDefault="00A500FD" w:rsidP="00A500F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150504">
        <w:rPr>
          <w:rFonts w:ascii="Times New Roman" w:hAnsi="Times New Roman" w:cs="Times New Roman"/>
          <w:b/>
          <w:bCs/>
          <w:sz w:val="24"/>
          <w:szCs w:val="24"/>
          <w:lang w:val="es-MX"/>
        </w:rPr>
        <w:t>Resumen</w:t>
      </w:r>
    </w:p>
    <w:p w14:paraId="45D6A448" w14:textId="3717620A" w:rsidR="00150504" w:rsidRPr="00150504" w:rsidRDefault="00150504" w:rsidP="0015050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150504">
        <w:rPr>
          <w:rFonts w:ascii="Times New Roman" w:hAnsi="Times New Roman" w:cs="Times New Roman"/>
          <w:b/>
          <w:bCs/>
          <w:sz w:val="24"/>
          <w:szCs w:val="24"/>
          <w:lang w:val="es-MX"/>
        </w:rPr>
        <w:t>Describa los derechos del</w:t>
      </w:r>
      <w:r w:rsidRPr="00150504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r w:rsidRPr="00150504">
        <w:rPr>
          <w:rFonts w:ascii="Times New Roman" w:hAnsi="Times New Roman" w:cs="Times New Roman"/>
          <w:b/>
          <w:bCs/>
          <w:sz w:val="24"/>
          <w:szCs w:val="24"/>
          <w:lang w:val="es-MX"/>
        </w:rPr>
        <w:t>consumidor financiero</w:t>
      </w:r>
    </w:p>
    <w:p w14:paraId="79F97085" w14:textId="77777777" w:rsidR="006F0A7D" w:rsidRDefault="00150504" w:rsidP="00150504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En primer término, es </w:t>
      </w:r>
      <w:r w:rsidRPr="00150504">
        <w:rPr>
          <w:rFonts w:ascii="Times New Roman" w:hAnsi="Times New Roman" w:cs="Times New Roman"/>
          <w:sz w:val="24"/>
          <w:szCs w:val="24"/>
          <w:lang w:val="es-MX"/>
        </w:rPr>
        <w:t>atribución</w:t>
      </w:r>
      <w:r w:rsidRPr="00150504">
        <w:rPr>
          <w:rFonts w:ascii="Times New Roman" w:hAnsi="Times New Roman" w:cs="Times New Roman"/>
          <w:sz w:val="24"/>
          <w:szCs w:val="24"/>
          <w:lang w:val="es-MX"/>
        </w:rPr>
        <w:t xml:space="preserve"> de la Autoridad de Supervisión del Sistema Financiero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(ASFI) la de g</w:t>
      </w:r>
      <w:r w:rsidRPr="00150504">
        <w:rPr>
          <w:rFonts w:ascii="Times New Roman" w:hAnsi="Times New Roman" w:cs="Times New Roman"/>
          <w:sz w:val="24"/>
          <w:szCs w:val="24"/>
          <w:lang w:val="es-MX"/>
        </w:rPr>
        <w:t>arantizar y defender los derechos e intereses del consumidor financiero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(Articulo 23, Inciso b de la ley 393)</w:t>
      </w:r>
      <w:r w:rsidR="006F0A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2A8C0A11" w14:textId="56DA1BB7" w:rsidR="006F0A7D" w:rsidRDefault="006F0A7D" w:rsidP="00150504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D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onde dichos derechos se definen en el articulo 74 de la ley 393 que son: 1)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Al acceso a los servicios financieros con trato equitativo, sin discriminación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por razones de edad, género, raza, religión o identidad cultural.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2)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A recibir servicios financieros en condiciones de calidad, cuantía,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oportunidad y disponibilidad adecuadas a sus intereses económicos.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3)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A recibir información fidedigna, amplia, íntegra, clara, comprensible,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oportuna y accesible de las entidades financieras, sobre las características y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condiciones de los productos y servicios financieros que ofrecen.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4)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A recibir buena atención y trato digno de parte de las entidades financieras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debiendo éstas actuar en todo momento con la debida diligencia.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5)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Al acceso a medios o canales de reclamo eficientes, si los productos y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servicios financieros recibidos no se ajustan a lo dispuesto en los numerales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precedentes.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6)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A la confidencialidad, con las excepciones establecidas por Ley.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7)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A efectuar consultas, peticiones y solicitudes.</w:t>
      </w:r>
      <w:r w:rsidR="00150504">
        <w:rPr>
          <w:rFonts w:ascii="Times New Roman" w:hAnsi="Times New Roman" w:cs="Times New Roman"/>
          <w:sz w:val="24"/>
          <w:szCs w:val="24"/>
          <w:lang w:val="es-MX"/>
        </w:rPr>
        <w:t xml:space="preserve"> 8) </w:t>
      </w:r>
      <w:r w:rsidR="00150504" w:rsidRPr="00150504">
        <w:rPr>
          <w:rFonts w:ascii="Times New Roman" w:hAnsi="Times New Roman" w:cs="Times New Roman"/>
          <w:sz w:val="24"/>
          <w:szCs w:val="24"/>
          <w:lang w:val="es-MX"/>
        </w:rPr>
        <w:t>Otros derechos reconocidos por disposiciones legales y reglamentarias.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</w:p>
    <w:p w14:paraId="657238B2" w14:textId="3C52C90D" w:rsidR="00150504" w:rsidRPr="00150504" w:rsidRDefault="006F0A7D" w:rsidP="00150504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Por lo tanto, la normativa vigente busca resguardar los derechos del consumidor financiero en sus diferentes aspectos dentro sus operaciones 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>realizadas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 xml:space="preserve">en </w:t>
      </w:r>
      <w:r>
        <w:rPr>
          <w:rFonts w:ascii="Times New Roman" w:hAnsi="Times New Roman" w:cs="Times New Roman"/>
          <w:sz w:val="24"/>
          <w:szCs w:val="24"/>
          <w:lang w:val="es-MX"/>
        </w:rPr>
        <w:t>una entidad financiera.</w:t>
      </w:r>
    </w:p>
    <w:p w14:paraId="1635BD7D" w14:textId="1D8D312D" w:rsidR="00150504" w:rsidRDefault="00150504" w:rsidP="00150504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150504">
        <w:rPr>
          <w:rFonts w:ascii="Times New Roman" w:hAnsi="Times New Roman" w:cs="Times New Roman"/>
          <w:b/>
          <w:bCs/>
          <w:sz w:val="24"/>
          <w:szCs w:val="24"/>
          <w:lang w:val="es-MX"/>
        </w:rPr>
        <w:t>Describa todo lo referente al</w:t>
      </w:r>
      <w:r w:rsidRPr="00150504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r w:rsidRPr="00150504">
        <w:rPr>
          <w:rFonts w:ascii="Times New Roman" w:hAnsi="Times New Roman" w:cs="Times New Roman"/>
          <w:b/>
          <w:bCs/>
          <w:sz w:val="24"/>
          <w:szCs w:val="24"/>
          <w:lang w:val="es-MX"/>
        </w:rPr>
        <w:t>Banco de Desarrollo productivo</w:t>
      </w:r>
      <w:r w:rsidRPr="00150504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r w:rsidRPr="00150504">
        <w:rPr>
          <w:rFonts w:ascii="Times New Roman" w:hAnsi="Times New Roman" w:cs="Times New Roman"/>
          <w:b/>
          <w:bCs/>
          <w:sz w:val="24"/>
          <w:szCs w:val="24"/>
          <w:lang w:val="es-MX"/>
        </w:rPr>
        <w:t>BDP-SAM en la ley 393</w:t>
      </w:r>
    </w:p>
    <w:p w14:paraId="61268416" w14:textId="3BB3393F" w:rsidR="00A05B08" w:rsidRDefault="00A05B08" w:rsidP="00A05B08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Es una entidad de intermediación financiera que tiene como objeto o 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>finalidad principal promover el desarrollo del sector agrícola, ganadero,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>manufacturero, piscícola y forestal maderable y no maderable</w:t>
      </w:r>
      <w:r>
        <w:rPr>
          <w:rFonts w:ascii="Times New Roman" w:hAnsi="Times New Roman" w:cs="Times New Roman"/>
          <w:sz w:val="24"/>
          <w:szCs w:val="24"/>
          <w:lang w:val="es-MX"/>
        </w:rPr>
        <w:t>, donde se puede listar las siguientes características:</w:t>
      </w:r>
    </w:p>
    <w:p w14:paraId="0F44B90A" w14:textId="5C815D9A" w:rsidR="00A05B08" w:rsidRPr="00A05B08" w:rsidRDefault="00A05B08" w:rsidP="00A05B0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05B08">
        <w:rPr>
          <w:rFonts w:ascii="Times New Roman" w:hAnsi="Times New Roman" w:cs="Times New Roman"/>
          <w:sz w:val="24"/>
          <w:szCs w:val="24"/>
          <w:lang w:val="es-MX"/>
        </w:rPr>
        <w:t xml:space="preserve">Contar 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 xml:space="preserve">en todo momento con una participación accionaria mayoritaria del 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>e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>stado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>en su capital pagado.</w:t>
      </w:r>
    </w:p>
    <w:p w14:paraId="69F0C88A" w14:textId="34F11A87" w:rsidR="00A05B08" w:rsidRPr="00A05B08" w:rsidRDefault="00A05B08" w:rsidP="00A05B0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05B08">
        <w:rPr>
          <w:rFonts w:ascii="Times New Roman" w:hAnsi="Times New Roman" w:cs="Times New Roman"/>
          <w:sz w:val="24"/>
          <w:szCs w:val="24"/>
          <w:lang w:val="es-MX"/>
        </w:rPr>
        <w:t xml:space="preserve">Cuenta con recursos 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>provistos por el Tesoro General del Estado - TGE y los obtenidos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>directamente por el Estado de entidades de la cooperación financiera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>internacional o de entidades públicas, privadas o mixtas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DA71141" w14:textId="05AFDCA5" w:rsidR="00A05B08" w:rsidRDefault="00A05B08" w:rsidP="00A05B0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05B08">
        <w:rPr>
          <w:rFonts w:ascii="Times New Roman" w:hAnsi="Times New Roman" w:cs="Times New Roman"/>
          <w:sz w:val="24"/>
          <w:szCs w:val="24"/>
          <w:lang w:val="es-MX"/>
        </w:rPr>
        <w:t>Mejorar el desempeño de las unidades productivas a partir del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>fortalecimiento de habilidades de los productores, acompañando el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>financiamiento con otorgamiento directo o a través de terceros de servicios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>no financieros, de asistencia técnica y otros que sean necesarios</w:t>
      </w:r>
      <w:r w:rsidRPr="00A05B08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6B048EF" w14:textId="7F621A33" w:rsidR="00A05B08" w:rsidRPr="00A05B08" w:rsidRDefault="00A05B08" w:rsidP="00A05B08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Es decir, el banco 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 xml:space="preserve">de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desarrollo productivo 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 xml:space="preserve">dirige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sus esfuerzos de intermediación financiera 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 xml:space="preserve">y otros servicios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al sector productivo del país, obedeciendo 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 xml:space="preserve">en paralelo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a 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>la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misión de promover el crecimiento económico de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 xml:space="preserve"> la nación.</w:t>
      </w:r>
    </w:p>
    <w:p w14:paraId="2AB8CAD8" w14:textId="77777777" w:rsidR="006F0A7D" w:rsidRDefault="006F0A7D" w:rsidP="0015050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E73615A" w14:textId="77777777" w:rsidR="006F0A7D" w:rsidRDefault="006F0A7D" w:rsidP="0015050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17340C32" w14:textId="77777777" w:rsidR="006F0A7D" w:rsidRDefault="006F0A7D" w:rsidP="0015050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18F5413" w14:textId="0B6AB1CF" w:rsidR="00150504" w:rsidRPr="00150504" w:rsidRDefault="00150504" w:rsidP="0015050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150504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Los mecanismos de reclamo</w:t>
      </w:r>
    </w:p>
    <w:p w14:paraId="1D13C563" w14:textId="608689F2" w:rsidR="00950DB2" w:rsidRDefault="00950DB2" w:rsidP="00150504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Los mecanismos de reclamo del consumidor financieros se encuentran definido en el capitulo 1, titulo1, libro 4 – consumidor financiero de la recopilación de normas de 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>servicios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financieros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>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establece que:</w:t>
      </w:r>
    </w:p>
    <w:p w14:paraId="5F128A69" w14:textId="2E406BDF" w:rsidR="00950DB2" w:rsidRPr="006F0A7D" w:rsidRDefault="00950DB2" w:rsidP="006F0A7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>En la sección 2, se recapitula los derechos del consumidor financiero.</w:t>
      </w:r>
    </w:p>
    <w:p w14:paraId="78772486" w14:textId="29261257" w:rsidR="00950DB2" w:rsidRPr="006F0A7D" w:rsidRDefault="00950DB2" w:rsidP="006F0A7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>En la sección 3, enuncia las obligaciones de las entidades financieras respecto a los derechos del consumidor financiero.</w:t>
      </w:r>
    </w:p>
    <w:p w14:paraId="349A6F78" w14:textId="435A8858" w:rsidR="00950DB2" w:rsidRPr="006F0A7D" w:rsidRDefault="00950DB2" w:rsidP="006F0A7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>En la sección 4, se reglamenta lo competente a los puntos de reclamo entendiendo este como los p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roceso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s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 de recepción, evaluación y resolución, por parte de la entidad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financiera o la Defensoría del Consumidor Financiero sobre los reclamos presentados por los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consumidores financieros</w:t>
      </w:r>
    </w:p>
    <w:p w14:paraId="032D6FA4" w14:textId="458BD501" w:rsidR="00950DB2" w:rsidRPr="006F0A7D" w:rsidRDefault="00950DB2" w:rsidP="006F0A7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En la sección 5, se presenta los lineamientos de la defensoría del consumidor financiero (DCF), que tiene por objeto 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la defensa y protección de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los derechos e intereses de los consumidores financieros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206A4EE" w14:textId="2466EF58" w:rsidR="00150504" w:rsidRPr="006F0A7D" w:rsidRDefault="00950DB2" w:rsidP="006F0A7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>Se finaliza con el reglamento de la obligación de las entidades en contribuir en la educación financiera.</w:t>
      </w:r>
    </w:p>
    <w:p w14:paraId="6E0C03C8" w14:textId="5DCF8811" w:rsidR="00150504" w:rsidRDefault="00150504" w:rsidP="0015050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150504">
        <w:rPr>
          <w:rFonts w:ascii="Times New Roman" w:hAnsi="Times New Roman" w:cs="Times New Roman"/>
          <w:b/>
          <w:bCs/>
          <w:sz w:val="24"/>
          <w:szCs w:val="24"/>
          <w:lang w:val="es-MX"/>
        </w:rPr>
        <w:t>Realice un resumen de los tipos</w:t>
      </w:r>
      <w:r w:rsidRPr="00150504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r w:rsidRPr="00150504">
        <w:rPr>
          <w:rFonts w:ascii="Times New Roman" w:hAnsi="Times New Roman" w:cs="Times New Roman"/>
          <w:b/>
          <w:bCs/>
          <w:sz w:val="24"/>
          <w:szCs w:val="24"/>
          <w:lang w:val="es-MX"/>
        </w:rPr>
        <w:t>de garantía</w:t>
      </w:r>
    </w:p>
    <w:p w14:paraId="7DA3D727" w14:textId="48E840F9" w:rsidR="00700E26" w:rsidRDefault="00700E26" w:rsidP="00150504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En primer lugar, las garantías pueden dividirse en garantías generales o reales y garantías no convencionales, donde según el </w:t>
      </w:r>
      <w:r w:rsidR="006F0A7D">
        <w:rPr>
          <w:rFonts w:ascii="Times New Roman" w:hAnsi="Times New Roman" w:cs="Times New Roman"/>
          <w:sz w:val="24"/>
          <w:szCs w:val="24"/>
          <w:lang w:val="es-MX"/>
        </w:rPr>
        <w:t>artículo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3, sección 7, capitulo 4, titulo 2, libro 3 de regulación de riesgo lista las siguientes garantías reales:</w:t>
      </w:r>
    </w:p>
    <w:p w14:paraId="058FF19D" w14:textId="1BF8C210" w:rsidR="00700E26" w:rsidRPr="006F0A7D" w:rsidRDefault="00700E26" w:rsidP="006F0A7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>Hipotecas sobre bienes inmuebles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>,</w:t>
      </w:r>
    </w:p>
    <w:p w14:paraId="34825F66" w14:textId="087E1370" w:rsidR="00700E26" w:rsidRPr="006F0A7D" w:rsidRDefault="00700E26" w:rsidP="006F0A7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>Garantías prendarias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>,</w:t>
      </w:r>
    </w:p>
    <w:p w14:paraId="67BEB44B" w14:textId="60879D9C" w:rsidR="00700E26" w:rsidRPr="006F0A7D" w:rsidRDefault="00700E26" w:rsidP="006F0A7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>Bonos de prenda (warrants),</w:t>
      </w:r>
    </w:p>
    <w:p w14:paraId="4DB65126" w14:textId="67BC6B41" w:rsidR="00700E26" w:rsidRPr="006F0A7D" w:rsidRDefault="00700E26" w:rsidP="006F0A7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>A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vales, fianzas o cartas de crédito “stand by”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>,</w:t>
      </w:r>
    </w:p>
    <w:p w14:paraId="5149AC26" w14:textId="426B85F6" w:rsidR="00700E26" w:rsidRPr="006F0A7D" w:rsidRDefault="00700E26" w:rsidP="006F0A7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>Valores endosados en favor de la EIF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>,</w:t>
      </w:r>
    </w:p>
    <w:p w14:paraId="06386E08" w14:textId="31FF170B" w:rsidR="00700E26" w:rsidRPr="006F0A7D" w:rsidRDefault="00700E26" w:rsidP="006F0A7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Las garantías 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auto liquidables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>,</w:t>
      </w:r>
    </w:p>
    <w:p w14:paraId="2BCB6BA3" w14:textId="532205D6" w:rsidR="00700E26" w:rsidRPr="006F0A7D" w:rsidRDefault="00700E26" w:rsidP="006F0A7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>Documentación que respalda las operaciones de importación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 o exportación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>,</w:t>
      </w:r>
    </w:p>
    <w:p w14:paraId="446B1EFD" w14:textId="5B46D4C8" w:rsidR="00150504" w:rsidRPr="006F0A7D" w:rsidRDefault="006F0A7D" w:rsidP="006F0A7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>Documentación que respalda la otorgación de una garantía de crédito emitida por un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Fondo de Inversión Cerrado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>,</w:t>
      </w:r>
    </w:p>
    <w:p w14:paraId="7B9FDC24" w14:textId="475DE807" w:rsidR="006F0A7D" w:rsidRPr="006F0A7D" w:rsidRDefault="006F0A7D" w:rsidP="006F0A7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>Respaldo de la otorgación de una garantía de crédito emitida por un Fondo de Garantía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>,</w:t>
      </w:r>
    </w:p>
    <w:p w14:paraId="577ACD8C" w14:textId="789B398B" w:rsidR="006F0A7D" w:rsidRDefault="006F0A7D" w:rsidP="006F0A7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>Respaldo de la otorgación de una garantía de crédito emitida por un Fondo de Garantía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constituido como Patrimonio Autónomo</w:t>
      </w:r>
      <w:r w:rsidR="00617802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AF0BE99" w14:textId="74C6BBC8" w:rsidR="006F0A7D" w:rsidRDefault="006F0A7D" w:rsidP="006F0A7D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Respecto a garantías no convencionales según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r>
        <w:rPr>
          <w:rFonts w:ascii="Times New Roman" w:hAnsi="Times New Roman" w:cs="Times New Roman"/>
          <w:sz w:val="24"/>
          <w:szCs w:val="24"/>
          <w:lang w:val="es-MX"/>
        </w:rPr>
        <w:t>artículo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MX"/>
        </w:rPr>
        <w:t>2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, sección </w:t>
      </w:r>
      <w:r>
        <w:rPr>
          <w:rFonts w:ascii="Times New Roman" w:hAnsi="Times New Roman" w:cs="Times New Roman"/>
          <w:sz w:val="24"/>
          <w:szCs w:val="24"/>
          <w:lang w:val="es-MX"/>
        </w:rPr>
        <w:t>2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, capitulo </w:t>
      </w:r>
      <w:r>
        <w:rPr>
          <w:rFonts w:ascii="Times New Roman" w:hAnsi="Times New Roman" w:cs="Times New Roman"/>
          <w:sz w:val="24"/>
          <w:szCs w:val="24"/>
          <w:lang w:val="es-MX"/>
        </w:rPr>
        <w:t>5</w:t>
      </w:r>
      <w:r>
        <w:rPr>
          <w:rFonts w:ascii="Times New Roman" w:hAnsi="Times New Roman" w:cs="Times New Roman"/>
          <w:sz w:val="24"/>
          <w:szCs w:val="24"/>
          <w:lang w:val="es-MX"/>
        </w:rPr>
        <w:t>, titulo 2, libro 3 de regulación de riesgo lista las siguientes garantías:</w:t>
      </w:r>
    </w:p>
    <w:p w14:paraId="071EEF21" w14:textId="5FE76D6C" w:rsidR="006F0A7D" w:rsidRPr="006F0A7D" w:rsidRDefault="006F0A7D" w:rsidP="006F0A7D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Fondo de </w:t>
      </w:r>
      <w:r>
        <w:rPr>
          <w:rFonts w:ascii="Times New Roman" w:hAnsi="Times New Roman" w:cs="Times New Roman"/>
          <w:sz w:val="24"/>
          <w:szCs w:val="24"/>
          <w:lang w:val="es-MX"/>
        </w:rPr>
        <w:t>g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arantía</w:t>
      </w:r>
      <w:r>
        <w:rPr>
          <w:rFonts w:ascii="Times New Roman" w:hAnsi="Times New Roman" w:cs="Times New Roman"/>
          <w:sz w:val="24"/>
          <w:szCs w:val="24"/>
          <w:lang w:val="es-MX"/>
        </w:rPr>
        <w:t>, s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eguro </w:t>
      </w:r>
      <w:r>
        <w:rPr>
          <w:rFonts w:ascii="Times New Roman" w:hAnsi="Times New Roman" w:cs="Times New Roman"/>
          <w:sz w:val="24"/>
          <w:szCs w:val="24"/>
          <w:lang w:val="es-MX"/>
        </w:rPr>
        <w:t>a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grario</w:t>
      </w:r>
      <w:r>
        <w:rPr>
          <w:rFonts w:ascii="Times New Roman" w:hAnsi="Times New Roman" w:cs="Times New Roman"/>
          <w:sz w:val="24"/>
          <w:szCs w:val="24"/>
          <w:lang w:val="es-MX"/>
        </w:rPr>
        <w:t>, d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ocumentos de propiedad en custodia de bienes inmuebles y predios rurales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a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ctivos no sujetos a registro de propiedad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s-MX"/>
        </w:rPr>
        <w:t>c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ontrato o documento de compromiso de venta a futuro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a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vales o certificaciones de organismos comunitarios u organizaciones territoriales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p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roducto almacenado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, s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emoviente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s-MX"/>
        </w:rPr>
        <w:t>p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atente de propiedad intelectual</w:t>
      </w:r>
      <w:r>
        <w:rPr>
          <w:rFonts w:ascii="Times New Roman" w:hAnsi="Times New Roman" w:cs="Times New Roman"/>
          <w:sz w:val="24"/>
          <w:szCs w:val="24"/>
          <w:lang w:val="es-MX"/>
        </w:rPr>
        <w:t>, d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erecho sobre el </w:t>
      </w:r>
      <w:r>
        <w:rPr>
          <w:rFonts w:ascii="Times New Roman" w:hAnsi="Times New Roman" w:cs="Times New Roman"/>
          <w:sz w:val="24"/>
          <w:szCs w:val="24"/>
          <w:lang w:val="es-MX"/>
        </w:rPr>
        <w:t>v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olumen </w:t>
      </w:r>
      <w:r>
        <w:rPr>
          <w:rFonts w:ascii="Times New Roman" w:hAnsi="Times New Roman" w:cs="Times New Roman"/>
          <w:sz w:val="24"/>
          <w:szCs w:val="24"/>
          <w:lang w:val="es-MX"/>
        </w:rPr>
        <w:t>f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orestal </w:t>
      </w:r>
      <w:r>
        <w:rPr>
          <w:rFonts w:ascii="Times New Roman" w:hAnsi="Times New Roman" w:cs="Times New Roman"/>
          <w:sz w:val="24"/>
          <w:szCs w:val="24"/>
          <w:lang w:val="es-MX"/>
        </w:rPr>
        <w:t>a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provechable</w:t>
      </w:r>
      <w:r>
        <w:rPr>
          <w:rFonts w:ascii="Times New Roman" w:hAnsi="Times New Roman" w:cs="Times New Roman"/>
          <w:sz w:val="24"/>
          <w:szCs w:val="24"/>
          <w:lang w:val="es-MX"/>
        </w:rPr>
        <w:t>, p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roducto agrícola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y p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>lanilla</w:t>
      </w:r>
      <w:r>
        <w:rPr>
          <w:rFonts w:ascii="Times New Roman" w:hAnsi="Times New Roman" w:cs="Times New Roman"/>
          <w:sz w:val="24"/>
          <w:szCs w:val="24"/>
          <w:lang w:val="es-MX"/>
        </w:rPr>
        <w:t>s</w:t>
      </w:r>
      <w:r w:rsidRPr="006F0A7D">
        <w:rPr>
          <w:rFonts w:ascii="Times New Roman" w:hAnsi="Times New Roman" w:cs="Times New Roman"/>
          <w:sz w:val="24"/>
          <w:szCs w:val="24"/>
          <w:lang w:val="es-MX"/>
        </w:rPr>
        <w:t xml:space="preserve"> de avance de obra.</w:t>
      </w:r>
    </w:p>
    <w:sectPr w:rsidR="006F0A7D" w:rsidRPr="006F0A7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7DA5B" w14:textId="77777777" w:rsidR="007F3E4B" w:rsidRDefault="007F3E4B" w:rsidP="00A500FD">
      <w:pPr>
        <w:spacing w:after="0" w:line="240" w:lineRule="auto"/>
      </w:pPr>
      <w:r>
        <w:separator/>
      </w:r>
    </w:p>
  </w:endnote>
  <w:endnote w:type="continuationSeparator" w:id="0">
    <w:p w14:paraId="213B637B" w14:textId="77777777" w:rsidR="007F3E4B" w:rsidRDefault="007F3E4B" w:rsidP="00A50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B2F96" w14:textId="77777777" w:rsidR="007F3E4B" w:rsidRDefault="007F3E4B" w:rsidP="00A500FD">
      <w:pPr>
        <w:spacing w:after="0" w:line="240" w:lineRule="auto"/>
      </w:pPr>
      <w:r>
        <w:separator/>
      </w:r>
    </w:p>
  </w:footnote>
  <w:footnote w:type="continuationSeparator" w:id="0">
    <w:p w14:paraId="1D7BFFA6" w14:textId="77777777" w:rsidR="007F3E4B" w:rsidRDefault="007F3E4B" w:rsidP="00A50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2F0BA" w14:textId="722799D3" w:rsidR="00A500FD" w:rsidRPr="0059747E" w:rsidRDefault="0059747E">
    <w:pPr>
      <w:pStyle w:val="Encabezado"/>
      <w:rPr>
        <w:rStyle w:val="Textoennegrita"/>
        <w:rFonts w:ascii="Times New Roman" w:hAnsi="Times New Roman" w:cs="Times New Roman"/>
        <w:b w:val="0"/>
        <w:bCs w:val="0"/>
        <w:color w:val="000000"/>
        <w:shd w:val="clear" w:color="auto" w:fill="FFFFFF"/>
      </w:rPr>
    </w:pPr>
    <w:r w:rsidRPr="0059747E">
      <w:rPr>
        <w:rStyle w:val="Textoennegrita"/>
        <w:rFonts w:ascii="Times New Roman" w:hAnsi="Times New Roman" w:cs="Times New Roman"/>
        <w:color w:val="000000"/>
        <w:shd w:val="clear" w:color="auto" w:fill="FFFFFF"/>
      </w:rPr>
      <w:t>TEMA:</w:t>
    </w:r>
    <w:r>
      <w:rPr>
        <w:rStyle w:val="Textoennegrita"/>
        <w:rFonts w:ascii="Times New Roman" w:hAnsi="Times New Roman" w:cs="Times New Roman"/>
        <w:b w:val="0"/>
        <w:bCs w:val="0"/>
        <w:color w:val="000000"/>
        <w:shd w:val="clear" w:color="auto" w:fill="FFFFFF"/>
      </w:rPr>
      <w:t xml:space="preserve"> </w:t>
    </w:r>
    <w:r w:rsidR="00A500FD" w:rsidRPr="0059747E">
      <w:rPr>
        <w:rStyle w:val="Textoennegrita"/>
        <w:rFonts w:ascii="Times New Roman" w:hAnsi="Times New Roman" w:cs="Times New Roman"/>
        <w:b w:val="0"/>
        <w:bCs w:val="0"/>
        <w:color w:val="000000"/>
        <w:shd w:val="clear" w:color="auto" w:fill="FFFFFF"/>
      </w:rPr>
      <w:t>LEGISLACION DEL SISTEMA FINANCIERO EN BOLIVIA</w:t>
    </w:r>
  </w:p>
  <w:p w14:paraId="3DC41FC2" w14:textId="59BC613B" w:rsidR="00A500FD" w:rsidRPr="0059747E" w:rsidRDefault="0059747E">
    <w:pPr>
      <w:pStyle w:val="Encabezado"/>
      <w:rPr>
        <w:rFonts w:ascii="Times New Roman" w:hAnsi="Times New Roman" w:cs="Times New Roman"/>
      </w:rPr>
    </w:pPr>
    <w:r w:rsidRPr="0059747E">
      <w:rPr>
        <w:rStyle w:val="Textoennegrita"/>
        <w:rFonts w:ascii="Times New Roman" w:hAnsi="Times New Roman" w:cs="Times New Roman"/>
        <w:color w:val="000000"/>
        <w:shd w:val="clear" w:color="auto" w:fill="FFFFFF"/>
      </w:rPr>
      <w:t>REDACTADO POR:</w:t>
    </w:r>
    <w:r>
      <w:rPr>
        <w:rStyle w:val="Textoennegrita"/>
        <w:rFonts w:ascii="Times New Roman" w:hAnsi="Times New Roman" w:cs="Times New Roman"/>
        <w:b w:val="0"/>
        <w:bCs w:val="0"/>
        <w:color w:val="000000"/>
        <w:shd w:val="clear" w:color="auto" w:fill="FFFFFF"/>
      </w:rPr>
      <w:t xml:space="preserve"> </w:t>
    </w:r>
    <w:r w:rsidR="00A500FD" w:rsidRPr="0059747E">
      <w:rPr>
        <w:rStyle w:val="Textoennegrita"/>
        <w:rFonts w:ascii="Times New Roman" w:hAnsi="Times New Roman" w:cs="Times New Roman"/>
        <w:b w:val="0"/>
        <w:bCs w:val="0"/>
        <w:color w:val="000000"/>
        <w:shd w:val="clear" w:color="auto" w:fill="FFFFFF"/>
      </w:rPr>
      <w:t>LUIS ALBERTO SOLIS PEÑA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3231"/>
    <w:multiLevelType w:val="hybridMultilevel"/>
    <w:tmpl w:val="91F02A8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04958"/>
    <w:multiLevelType w:val="hybridMultilevel"/>
    <w:tmpl w:val="03587E6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D72B5"/>
    <w:multiLevelType w:val="hybridMultilevel"/>
    <w:tmpl w:val="A73C283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81F12"/>
    <w:multiLevelType w:val="hybridMultilevel"/>
    <w:tmpl w:val="74266E0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942936">
    <w:abstractNumId w:val="2"/>
  </w:num>
  <w:num w:numId="2" w16cid:durableId="1522427291">
    <w:abstractNumId w:val="3"/>
  </w:num>
  <w:num w:numId="3" w16cid:durableId="369955718">
    <w:abstractNumId w:val="1"/>
  </w:num>
  <w:num w:numId="4" w16cid:durableId="145687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8F"/>
    <w:rsid w:val="00150504"/>
    <w:rsid w:val="0023738F"/>
    <w:rsid w:val="00393F36"/>
    <w:rsid w:val="0059747E"/>
    <w:rsid w:val="00617802"/>
    <w:rsid w:val="0066020C"/>
    <w:rsid w:val="006F0A7D"/>
    <w:rsid w:val="00700E26"/>
    <w:rsid w:val="007F3E4B"/>
    <w:rsid w:val="008B7D46"/>
    <w:rsid w:val="00950DB2"/>
    <w:rsid w:val="009F0328"/>
    <w:rsid w:val="00A05B08"/>
    <w:rsid w:val="00A500FD"/>
    <w:rsid w:val="00CA1736"/>
    <w:rsid w:val="00F3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F503E"/>
  <w15:chartTrackingRefBased/>
  <w15:docId w15:val="{ED486BE5-5C58-45E4-AD86-D617F9BF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00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00FD"/>
  </w:style>
  <w:style w:type="paragraph" w:styleId="Piedepgina">
    <w:name w:val="footer"/>
    <w:basedOn w:val="Normal"/>
    <w:link w:val="PiedepginaCar"/>
    <w:uiPriority w:val="99"/>
    <w:unhideWhenUsed/>
    <w:rsid w:val="00A500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00FD"/>
  </w:style>
  <w:style w:type="character" w:styleId="Textoennegrita">
    <w:name w:val="Strong"/>
    <w:basedOn w:val="Fuentedeprrafopredeter"/>
    <w:uiPriority w:val="22"/>
    <w:qFormat/>
    <w:rsid w:val="00A500FD"/>
    <w:rPr>
      <w:b/>
      <w:bCs/>
    </w:rPr>
  </w:style>
  <w:style w:type="paragraph" w:styleId="Prrafodelista">
    <w:name w:val="List Paragraph"/>
    <w:basedOn w:val="Normal"/>
    <w:uiPriority w:val="34"/>
    <w:qFormat/>
    <w:rsid w:val="00A05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799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9</cp:revision>
  <dcterms:created xsi:type="dcterms:W3CDTF">2024-08-15T15:32:00Z</dcterms:created>
  <dcterms:modified xsi:type="dcterms:W3CDTF">2024-08-18T18:50:00Z</dcterms:modified>
</cp:coreProperties>
</file>