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01A3" w:rsidRDefault="002E01A3" w:rsidP="006859B4">
      <w:pPr>
        <w:pStyle w:val="Ttulo1"/>
      </w:pPr>
      <w:r>
        <w:t>Productos financieros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Adapta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Ecoeficiencia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Mujer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comercio y servicios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PIRWA productiva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cuero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pesca y acuicultura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manufactura y transformación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Emprende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Tu maquinaria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agropecuario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metalmecánica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BDP turismo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>Soy joven BDP</w:t>
      </w:r>
    </w:p>
    <w:p w:rsidR="002E01A3" w:rsidRDefault="002E01A3" w:rsidP="002E01A3">
      <w:pPr>
        <w:pStyle w:val="Prrafodelista"/>
        <w:numPr>
          <w:ilvl w:val="0"/>
          <w:numId w:val="2"/>
        </w:numPr>
      </w:pPr>
      <w:r>
        <w:t xml:space="preserve">Rumiantes menores </w:t>
      </w:r>
    </w:p>
    <w:p w:rsidR="002E01A3" w:rsidRPr="002E01A3" w:rsidRDefault="002E01A3" w:rsidP="002E01A3">
      <w:pPr>
        <w:pStyle w:val="Prrafodelista"/>
        <w:numPr>
          <w:ilvl w:val="0"/>
          <w:numId w:val="2"/>
        </w:numPr>
      </w:pPr>
      <w:r>
        <w:t>BDP riesgo</w:t>
      </w:r>
    </w:p>
    <w:p w:rsidR="002E01A3" w:rsidRDefault="002E01A3" w:rsidP="002E01A3">
      <w:pPr>
        <w:pStyle w:val="Ttulo2"/>
      </w:pPr>
      <w:r>
        <w:t>Condiciones generales para acceder a un crédito en el BD</w:t>
      </w:r>
      <w:r w:rsidR="006859B4">
        <w:t>P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Los montos del crédito serán fijados de acuerdo a la capacidad de pago del solicitante, tipo de actividad y destino.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Aporte propio del 10% del monto propuesto, para capital de inversión.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Tasa de interés de acuerdo al tarifario.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Plazo hasta 10 años para capital de inversión (según producto) y hasta 3 años para capital de operación (según producto)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Periodicidad de pago de acuerdo al ciclo de la actividad económica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Periodo de gracia: Hasta 2 años para capital de inversión y 6 meses para capital de operación; en ambos casos el pago de intereses semestrales.</w:t>
      </w:r>
    </w:p>
    <w:p w:rsidR="002E01A3" w:rsidRDefault="002E01A3" w:rsidP="002E01A3">
      <w:pPr>
        <w:pStyle w:val="Ttulo2"/>
      </w:pPr>
      <w:r>
        <w:t>Requisitos</w:t>
      </w:r>
      <w:r w:rsidR="006859B4">
        <w:t xml:space="preserve"> documentales para el cliente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Fotocopia de carnet de identidad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Factura de servicios o certificado de la comunidad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Respaldo de caja de ahorro del titular, codeudor, vendedor, proveedor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Croquis unidad familiar y unidad productiva</w:t>
      </w:r>
    </w:p>
    <w:p w:rsidR="002E01A3" w:rsidRDefault="002E01A3" w:rsidP="002E01A3">
      <w:pPr>
        <w:pStyle w:val="Prrafodelista"/>
        <w:numPr>
          <w:ilvl w:val="0"/>
          <w:numId w:val="1"/>
        </w:numPr>
      </w:pPr>
      <w:r>
        <w:t>En caso que el codeudor sea asalariado, debe incluir boletas de pago o AFP o certificado de trabajo.</w:t>
      </w:r>
    </w:p>
    <w:p w:rsidR="008B5B48" w:rsidRDefault="008B5B48">
      <w:r>
        <w:br w:type="page"/>
      </w:r>
    </w:p>
    <w:p w:rsidR="008B5B48" w:rsidRDefault="008B5B48" w:rsidP="008B5B48">
      <w:pPr>
        <w:pStyle w:val="Ttulo2"/>
      </w:pPr>
      <w:r>
        <w:lastRenderedPageBreak/>
        <w:t>Adapta BDP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>Descripción: Es un crédito verde destinado a otorgar financiamiento a clientes actuales del sector agropecuario, para capital de inversión u operación, que permita reducir pérdidas por exposición a los siguientes eventos de riesgo dinámico.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>Plazo: Hasta 10 años para capital de inversión (KI) y hasta 3 años para capital de operación (KO)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>Monto: En función a la capacidad de pago, tipo de actividad y destino.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 xml:space="preserve">Aporte propio: Para capital de inversión requiere 10% de aporte, para capital de operación financia el 100% del monto requerido. 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>Frecuencia de pago: Mensual, bimestral, trimestral, semestral, anual y/o personalizado, de acuerdo al ciclo de la actividad.</w:t>
      </w:r>
    </w:p>
    <w:p w:rsidR="008B5B48" w:rsidRDefault="008B5B48" w:rsidP="008B5B48">
      <w:pPr>
        <w:pStyle w:val="Prrafodelista"/>
        <w:numPr>
          <w:ilvl w:val="0"/>
          <w:numId w:val="3"/>
        </w:numPr>
      </w:pPr>
      <w:r>
        <w:t>Periodo de gracia: Para capital de inversión hasta 2 años para amortización de capital, debiendo pagar intereses como máximo de forma semestral, para capital de operaciones hasta 6 meses para amortización de capital, debiendo pagar interés como máximo de forma semestral (excepto operaciones con frecuencia de pago anual)</w:t>
      </w:r>
    </w:p>
    <w:p w:rsidR="002E01A3" w:rsidRDefault="008B5B48" w:rsidP="002E01A3">
      <w:pPr>
        <w:pStyle w:val="Prrafodelista"/>
        <w:numPr>
          <w:ilvl w:val="0"/>
          <w:numId w:val="3"/>
        </w:numPr>
      </w:pPr>
      <w:r>
        <w:t>Tasa de interés: Microempresa (10%), pequeña empresa (7%), mediana y gran empresa (6%)</w:t>
      </w:r>
    </w:p>
    <w:p w:rsidR="00DC2292" w:rsidRDefault="00DC2292" w:rsidP="00DC2292">
      <w:pPr>
        <w:pStyle w:val="Ttulo2"/>
      </w:pPr>
      <w:r>
        <w:t>Ecoeficiencia BDP: Produce verde, respira verde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Descripción: único crédito verde, destinado a financiar actividades productivas que requieren implementar tecnología en eficiencia energética, energía renovable, producción más limpia y economía circular.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Plazo: Hasta 10 años para capital de inversión (KI) y hasta 3 años para capital de operación.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Monto: En función a la capacidad de pago, tipo de actividad y destino.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Aporte propio: Requiere el 10% de aporte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Frecuencia de pago: Mensual, bimestral, trimestral, semestral, anual y/o personalizado, de acuerdo al ciclo de la actividad.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Periodo de gracia: Hasta 2 años para amortización de capital, debiendo pagar intereses como máximo de forma semestral.</w:t>
      </w:r>
    </w:p>
    <w:p w:rsidR="00DC2292" w:rsidRDefault="00DC2292" w:rsidP="00DC2292">
      <w:pPr>
        <w:pStyle w:val="Prrafodelista"/>
        <w:numPr>
          <w:ilvl w:val="0"/>
          <w:numId w:val="4"/>
        </w:numPr>
      </w:pPr>
      <w:r>
        <w:t>Tasa de interés: Microempresa (10%), pequeña empresa (6%), mediana y gran empresa (5%)</w:t>
      </w:r>
    </w:p>
    <w:p w:rsidR="008D0CFF" w:rsidRDefault="008D0CFF" w:rsidP="008D0CFF">
      <w:pPr>
        <w:pStyle w:val="Ttulo2"/>
      </w:pPr>
      <w:r>
        <w:t>BDP Riego, crédito productivo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Descripción: Crédito destinado a tecnificar o mejorar el actual sistema de riego de los productore agrícolas.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Plazo: Hasta 3 años para capital de operación y hasta 10 años para capital de inversión.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Monto: En función a la capacidad de pago, tipo de actividad y destino.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Aporte propio: Para capital de inversión requiere el 10% de aporte; para capital de operación financia hasta el 100% del monto.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Frecuencia de pago: Mensual, bimestral, trimestral, semestral, anual y/o personalizado, de acuerdo al ciclo de la actividad.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Periodo de gracia: Para capital de inversión, hasta 2 años para amortización de capital, debiendo pagar intereses como máximo de forma semestral. Para capital de operación hasta 6 meses para amortización de capital, debiendo pagar intereses como máximo de forma semestral (excepto operaciones con frecuencia de pago anual)</w:t>
      </w:r>
    </w:p>
    <w:p w:rsidR="008D0CFF" w:rsidRDefault="008D0CFF" w:rsidP="008D0CFF">
      <w:pPr>
        <w:pStyle w:val="Prrafodelista"/>
        <w:numPr>
          <w:ilvl w:val="0"/>
          <w:numId w:val="5"/>
        </w:numPr>
      </w:pPr>
      <w:r>
        <w:t>Tasa de interés: microempresa (11.5%), pequeña empresa (7%), mediana y grande empresa (6%)</w:t>
      </w:r>
    </w:p>
    <w:p w:rsidR="00CA1736" w:rsidRDefault="00CA1736"/>
    <w:sectPr w:rsidR="00CA17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94355"/>
    <w:multiLevelType w:val="hybridMultilevel"/>
    <w:tmpl w:val="5016DD7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95271"/>
    <w:multiLevelType w:val="hybridMultilevel"/>
    <w:tmpl w:val="DAC4363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A2AA8"/>
    <w:multiLevelType w:val="hybridMultilevel"/>
    <w:tmpl w:val="76C4B6B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53187"/>
    <w:multiLevelType w:val="hybridMultilevel"/>
    <w:tmpl w:val="78DE5BCE"/>
    <w:lvl w:ilvl="0" w:tplc="7AF695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37586"/>
    <w:multiLevelType w:val="hybridMultilevel"/>
    <w:tmpl w:val="249820F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536175">
    <w:abstractNumId w:val="3"/>
  </w:num>
  <w:num w:numId="2" w16cid:durableId="115179515">
    <w:abstractNumId w:val="2"/>
  </w:num>
  <w:num w:numId="3" w16cid:durableId="465467291">
    <w:abstractNumId w:val="1"/>
  </w:num>
  <w:num w:numId="4" w16cid:durableId="1145004790">
    <w:abstractNumId w:val="0"/>
  </w:num>
  <w:num w:numId="5" w16cid:durableId="954677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A3"/>
    <w:rsid w:val="00263801"/>
    <w:rsid w:val="002E01A3"/>
    <w:rsid w:val="006660AF"/>
    <w:rsid w:val="006859B4"/>
    <w:rsid w:val="008B5B48"/>
    <w:rsid w:val="008D0CFF"/>
    <w:rsid w:val="00CA1736"/>
    <w:rsid w:val="00DC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9091"/>
  <w15:chartTrackingRefBased/>
  <w15:docId w15:val="{2559F3D9-B8C1-4D00-BF0D-8016F7F8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A3"/>
  </w:style>
  <w:style w:type="paragraph" w:styleId="Ttulo1">
    <w:name w:val="heading 1"/>
    <w:basedOn w:val="Normal"/>
    <w:next w:val="Normal"/>
    <w:link w:val="Ttulo1Car"/>
    <w:uiPriority w:val="9"/>
    <w:qFormat/>
    <w:rsid w:val="00685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01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01A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E01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85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6</cp:revision>
  <dcterms:created xsi:type="dcterms:W3CDTF">2024-08-23T23:14:00Z</dcterms:created>
  <dcterms:modified xsi:type="dcterms:W3CDTF">2024-08-24T16:36:00Z</dcterms:modified>
</cp:coreProperties>
</file>