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667A" w14:textId="77777777" w:rsidR="00023560" w:rsidRDefault="00023560" w:rsidP="00C044B4">
      <w:pPr>
        <w:jc w:val="both"/>
      </w:pPr>
      <w:bookmarkStart w:id="0" w:name="_Hlk176714997"/>
      <w:r>
        <w:t>MÓDULO: EDUCACION FINANCIERA</w:t>
      </w:r>
    </w:p>
    <w:p w14:paraId="2318FE04" w14:textId="056E7BEE" w:rsidR="00023560" w:rsidRDefault="00023560" w:rsidP="00600BB0">
      <w:pPr>
        <w:pStyle w:val="Ttulo1"/>
      </w:pPr>
      <w:r>
        <w:t>TEMA: OBLIGACIONES DEL PRESTATARIO DE UN CRÉDITO</w:t>
      </w:r>
    </w:p>
    <w:p w14:paraId="709CF626" w14:textId="7A950597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La obligación principal es devolver todo el dinero del crédito, de acuerdo al plan de pagos y condiciones del contrato de crédito.</w:t>
      </w:r>
    </w:p>
    <w:p w14:paraId="0EE5457A" w14:textId="5E698AEE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Informar nuestra situación financiera en forma real, verdadera y oportuna.</w:t>
      </w:r>
    </w:p>
    <w:p w14:paraId="02F2B9A2" w14:textId="77DF7A43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Destinar el crédito para la actividad que hemos planificado e informado a la entidad financiera.</w:t>
      </w:r>
    </w:p>
    <w:p w14:paraId="00844768" w14:textId="53625ECA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Realizar el pago de gastos adicionales necesarios de acuerdo al tipo de garantía que exige el crédito que solicitamos. (avalúos, gravamen, desgravamen y otros).</w:t>
      </w:r>
    </w:p>
    <w:p w14:paraId="315A2F90" w14:textId="7FDB4E5C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Si nos hemos comprometido con la Entidad Financiera con otros acuerdos adicionales a las condiciones normales, debemos cumplir.</w:t>
      </w:r>
    </w:p>
    <w:p w14:paraId="77E64CC9" w14:textId="5C32E4AD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Ser puntuales con el pago de cada una de las cuotas de crédito. Acudir a pagar las cuotas de crédito en las fechas acordadas con la entidad financiera en el contrato de crédito y de acuerdo al plan de pagos.</w:t>
      </w:r>
    </w:p>
    <w:p w14:paraId="3DDFD01C" w14:textId="0A714105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Informar en forma oportuna cualquier evento inesperado que ocurra en la unidad productiva, que sea verificable y que pueda afectar el cumplimiento de las cuotas del crédito. Para evaluar una posible reprogramación del crédito.</w:t>
      </w:r>
    </w:p>
    <w:p w14:paraId="79878E4D" w14:textId="553A5B27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Informar cualquier cambio en la vida del prestatario que pueda afectar el cumplimiento de las cuotas del crédito. (Cambio de estado civil: divorcio, separación o fallecimiento de uno de los conyugues) (Cambio de domicilio, informar nueva dirección)</w:t>
      </w:r>
    </w:p>
    <w:p w14:paraId="08709384" w14:textId="60D6B47E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 xml:space="preserve">El prestatario debe cerciorarse que la entidad </w:t>
      </w:r>
      <w:r w:rsidR="00C044B4">
        <w:t>financiera</w:t>
      </w:r>
      <w:r>
        <w:t xml:space="preserve"> en la cual desea contratar un producto o servicio </w:t>
      </w:r>
      <w:r w:rsidR="00C044B4">
        <w:t>financiero</w:t>
      </w:r>
      <w:r>
        <w:t>, cuente con Licencia de Funcionamiento emitida por la Autoridad de Supervisión del Sistema Financiero.</w:t>
      </w:r>
    </w:p>
    <w:p w14:paraId="31728F01" w14:textId="27D7344B" w:rsidR="00023560" w:rsidRDefault="00023560" w:rsidP="00C044B4">
      <w:pPr>
        <w:pStyle w:val="Prrafodelista"/>
        <w:numPr>
          <w:ilvl w:val="0"/>
          <w:numId w:val="1"/>
        </w:numPr>
        <w:jc w:val="both"/>
      </w:pPr>
      <w:r>
        <w:t>El prestatario debe conocer ante quién y cómo se puede presentar un reclamo, en primera y segunda instancia.</w:t>
      </w:r>
    </w:p>
    <w:p w14:paraId="2C264BD0" w14:textId="05FDF804" w:rsidR="003666FC" w:rsidRDefault="00023560" w:rsidP="00C044B4">
      <w:pPr>
        <w:jc w:val="both"/>
      </w:pPr>
      <w:r>
        <w:t>Línea gratuita: 800 103 103</w:t>
      </w:r>
      <w:bookmarkEnd w:id="0"/>
    </w:p>
    <w:sectPr w:rsidR="00366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461BC"/>
    <w:multiLevelType w:val="hybridMultilevel"/>
    <w:tmpl w:val="877C1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70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FC"/>
    <w:rsid w:val="00023560"/>
    <w:rsid w:val="003666FC"/>
    <w:rsid w:val="00600BB0"/>
    <w:rsid w:val="00C0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07753"/>
  <w15:chartTrackingRefBased/>
  <w15:docId w15:val="{892D25AD-CEA8-4098-B034-D079EA10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B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44B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00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2024-09-09T00:18:00Z</dcterms:created>
  <dcterms:modified xsi:type="dcterms:W3CDTF">2024-09-09T01:12:00Z</dcterms:modified>
</cp:coreProperties>
</file>