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80" w:lineRule="auto"/>
        <w:rPr/>
      </w:pPr>
      <w:bookmarkStart w:colFirst="0" w:colLast="0" w:name="_ehhwduqr4wpx" w:id="0"/>
      <w:bookmarkEnd w:id="0"/>
      <w:r w:rsidDel="00000000" w:rsidR="00000000" w:rsidRPr="00000000">
        <w:rPr>
          <w:rtl w:val="0"/>
        </w:rPr>
        <w:t xml:space="preserve">Reflection — Thursday, 20 August 2026</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The session focused on consolidating previously learned concepts through practical review, helping to bridge the gap between theory and application.</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Reviewing other students' Markdown files on GitHub highlighted the importance of clean formatting and avoiding oversharing in documentation, as clear communication is just as vital as the code itself.</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Effective reflections should feel like a natural narrative rather than a rigid checklist, allowing for a more genuine exploration of the learning process and personal growth.</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The structural relationship in Java 2D programs was clarified, specifically that the JFrame acts as the main window container while the JPanel is the specific component where all the actual drawing and rendering happen.</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Properly overriding paintComponent() and calling the super method is a crucial step that ensures the background clears correctly before drawing new shapes, preventing visual artifacts.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Casting the Graphics object to Graphics2D is necessary to access more advanced geometric tools and coordinate transformations that aren't available in the basic class.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Inheritance in Object-Oriented Programming was made concrete by seeing how a custom drawing class extends the existing functionality of a JPanel to create something unique.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Mathematical principles, like the Triangle Inequality Theorem, serve as practical validation rules when defining shapes programmatically to ensure the coordinates chosen actually form a valid polygon.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biggest takeaway from the day was seeing how documentation, Java structure, OOP logic, and mathematical foundations all connect into one cohesive system for computer graphics.</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