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62E" w:rsidRPr="00D4362E" w:rsidRDefault="00D4362E" w:rsidP="00D4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D43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Tortoise/Turtle Value Chain GIS Project Report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Lawrence Kofi Amoako </w:t>
      </w: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January 2026 </w:t>
      </w: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Sources: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Primary survey data (51 respondents from Half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Assin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Tamale), HDX (roads and admin boundaries), ICPAC Geoportal (agro-ecological zones). </w:t>
      </w: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QGIS for mapping and analysis,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SankeyMATIC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for diagram.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62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>This GIS project analyzes the value chain of tortoise and turtle products in Ghana, focusing on origin-destination flows, exploitation pressure, habitat differences, and interventio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leverage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points. Based on the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field work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the study surveyed 51 respondents across three locations: Half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Assin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(high rainforest),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(semi-deciduous forest), and Tamale (savannah). The goal is to visualize how products move from sourcing in rural habitats to local communities,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middlemen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>, roadside/highway markets, and urban markets, highlighting conservation opportunities in an unregulated trade.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The project integrates multiple analyses into a composite thematic map and a Sankey diagram, providing a comprehensive view of the chain. Total annual volumes from survey data are 522.5 in Half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Assin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71.5 in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>, and 2687 in Tamale, with savannah showing the highest commercial activity.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62E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</w:t>
      </w: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362E">
        <w:rPr>
          <w:rFonts w:ascii="Times New Roman" w:eastAsia="Times New Roman" w:hAnsi="Times New Roman" w:cs="Times New Roman"/>
          <w:b/>
          <w:bCs/>
          <w:sz w:val="27"/>
          <w:szCs w:val="27"/>
        </w:rPr>
        <w:t>Data Collection and Processing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Survey Data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: Excel CSV with 51 points (latitude, longitude, Location,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Volume_Midpoint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Role). Processed in QGIS: Aggregated to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origin points (mean coordinates, sum volume) using "Mean coordinate(s)" and "Statistics by categories".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Base Layers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>: Ghana admin boundaries (gha_admin2), roads (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hotosm_gha_roads_lines_shp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>), agro-ecological zones (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ghanaAEZ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Flows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: Used Geometry Generator in origins layer to create all-to-all lines to destinations (local, roadside, urban markets like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Kejetia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Makola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Danso</w:t>
      </w:r>
      <w:proofErr w:type="spellEnd"/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Roadside).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Styling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: Graduated origins by total volume (reds), categorized habitats (dark green high rainforest, light green semi-deciduous, yellow guinea savannah, orange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sudan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savannah, light brown coastal savannah, sky blue Volta Lake).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Labels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>: Cartographic placement with manual move tool for non-overlapping positions.</w:t>
      </w:r>
    </w:p>
    <w:p w:rsidR="00D4362E" w:rsidRPr="00D4362E" w:rsidRDefault="00D4362E" w:rsidP="00D43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b/>
          <w:bCs/>
          <w:sz w:val="24"/>
          <w:szCs w:val="24"/>
        </w:rPr>
        <w:t>Sankey Diagram</w:t>
      </w: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: Flows proportional to survey totals, created in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SankeyMATIC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>All layers in EPSG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:4326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exports for standalone use.</w:t>
      </w:r>
    </w:p>
    <w:p w:rsid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6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Results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>The results are presented in a composite thematic map (Figure 1) and Sankey diagram (Figure 2), featuring all analyses as one cohesive view. The map shows spatial flows, pressure, and habitats, while the Sankey quantifies proportions.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362E">
        <w:rPr>
          <w:rFonts w:ascii="Times New Roman" w:eastAsia="Times New Roman" w:hAnsi="Times New Roman" w:cs="Times New Roman"/>
          <w:b/>
          <w:bCs/>
          <w:sz w:val="27"/>
          <w:szCs w:val="27"/>
        </w:rPr>
        <w:t>Figure 1: Composite Thematic Map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This map integrates origin-destination flows, exploitation pressure, and habitat zones into one visual. Origins (Half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Assin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Tamale) are sized and colored by total annual volume (larger/redder = higher pressure, from 71.5 in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to 2687 in Tamale). Red flow lines with arrows show product movement from habitats to destinations (local communities,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Danso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Roadside Market,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Kejetia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Market, </w:t>
      </w:r>
      <w:proofErr w:type="spellStart"/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Makola</w:t>
      </w:r>
      <w:proofErr w:type="spellEnd"/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Market). Habitats are categorized: dark green high rainforest (southwest, direct hunting), light green semi-deciduous (central), yellow guinea savannah (north-central), orange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sudan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savannah (north), light brown coastal savannah (southeast), sky blue Volta Lake. Labels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are placed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cartographically for clarity.</w:t>
      </w:r>
    </w:p>
    <w:p w:rsid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The map highlights differences: short, direct flows in rainforest (decentralized, local-focused), longer commercial flows from savannah to urban markets. Pressure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idea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is embedded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via point sizes, showing highest exploitation in Tamale savannah.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Leverage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points are visible as line convergence at roadside/urban markets.</w:t>
      </w:r>
    </w:p>
    <w:p w:rsid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9350" cy="3507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alueChain_Flow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64" cy="35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62E" w:rsidRDefault="00D4362E" w:rsidP="00D4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36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Figure 2: Sankey Diagram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>With the same idea as the map, this Sankey diagram quantifies flows by habitat, using exact survey totals. It shows proportional movement: High Rainforest (522.5) mostly to local community (60%) with less to markets (40%); Semi-Deciduous (71.5) similar local dominance; Savannah (2687) heavily commercial through middlemen/vendors (100% vendors in data) to roadside/urban (56%). Flows are thicker from savannah, emphasizing commercial chains.</w:t>
      </w:r>
    </w:p>
    <w:p w:rsid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The diagram reinforces the map's spatial story in a quantitative way: convergence at roadside/urban markets (high total inflow) indicates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leverage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for interventions, with savannah showing the highest volumes and rainforest more decentralized.</w:t>
      </w:r>
    </w:p>
    <w:p w:rsid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99000" cy="46990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alueChain_Sanke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6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Discussion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The composite map and Sankey reveal key patterns: savannah (Tamale) has the highest pressure (2687 annual volume) and commercial flows, with middlemen/roadside as bottlenecks for enforcement. Rainforest (Half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Assin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>) shows moderate pressure (522.5) and direct local chains, suggesting community education. Semi-deciduous (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Nkawkaw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) has lowest volumes (71.5), but similar local focus. Overall, urban/roadside convergence (e.g.,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Kejetia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362E">
        <w:rPr>
          <w:rFonts w:ascii="Times New Roman" w:eastAsia="Times New Roman" w:hAnsi="Times New Roman" w:cs="Times New Roman"/>
          <w:sz w:val="24"/>
          <w:szCs w:val="24"/>
        </w:rPr>
        <w:t>Makola</w:t>
      </w:r>
      <w:proofErr w:type="spell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) offers high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leverage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for regulations, monitoring, or awareness campaigns to reduce exploitation.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>Limitations: Survey limited to 51 respondents in three locations; future work could expand to more habitats or track species-specific flows.</w:t>
      </w:r>
    </w:p>
    <w:p w:rsid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362E" w:rsidRPr="00D4362E" w:rsidRDefault="00D4362E" w:rsidP="00D4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62E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D4362E" w:rsidRPr="00D4362E" w:rsidRDefault="00D4362E" w:rsidP="00D4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tortoise/turtle value chain in Ghana through GIS, highlighting habitat differences and intervention points. The composite map and Sankey provide a powerful, unified visual tool for conservation stakeholders. Total volumes underscore savannah as a commercial hotspot, with roadside/urban markets as key </w:t>
      </w:r>
      <w:proofErr w:type="gramStart"/>
      <w:r w:rsidRPr="00D4362E">
        <w:rPr>
          <w:rFonts w:ascii="Times New Roman" w:eastAsia="Times New Roman" w:hAnsi="Times New Roman" w:cs="Times New Roman"/>
          <w:sz w:val="24"/>
          <w:szCs w:val="24"/>
        </w:rPr>
        <w:t>leverage</w:t>
      </w:r>
      <w:proofErr w:type="gramEnd"/>
      <w:r w:rsidRPr="00D4362E">
        <w:rPr>
          <w:rFonts w:ascii="Times New Roman" w:eastAsia="Times New Roman" w:hAnsi="Times New Roman" w:cs="Times New Roman"/>
          <w:sz w:val="24"/>
          <w:szCs w:val="24"/>
        </w:rPr>
        <w:t xml:space="preserve"> for sustainable practices.</w:t>
      </w:r>
    </w:p>
    <w:p w:rsidR="00EC0748" w:rsidRDefault="00D4362E"/>
    <w:sectPr w:rsidR="00EC0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476A6"/>
    <w:multiLevelType w:val="multilevel"/>
    <w:tmpl w:val="20D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2E"/>
    <w:rsid w:val="00A4673A"/>
    <w:rsid w:val="00D4362E"/>
    <w:rsid w:val="00D6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888C"/>
  <w15:chartTrackingRefBased/>
  <w15:docId w15:val="{83FF6507-11CD-4552-9E4D-5C878446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3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3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3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3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3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3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1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Elabs LLC</dc:creator>
  <cp:keywords/>
  <dc:description/>
  <cp:lastModifiedBy>Elabs LLC</cp:lastModifiedBy>
  <cp:revision>1</cp:revision>
  <dcterms:created xsi:type="dcterms:W3CDTF">2026-01-02T11:14:00Z</dcterms:created>
  <dcterms:modified xsi:type="dcterms:W3CDTF">2026-01-02T11:19:00Z</dcterms:modified>
</cp:coreProperties>
</file>