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5D3D" w:rsidRDefault="00957CDC">
      <w:pPr>
        <w:spacing w:after="248" w:line="265" w:lineRule="auto"/>
        <w:ind w:left="-5"/>
      </w:pPr>
      <w:r>
        <w:rPr>
          <w:b/>
        </w:rPr>
        <w:t xml:space="preserve">Healthcare Accessibility Analysis in Mampong Municipality, Ghana </w:t>
      </w:r>
    </w:p>
    <w:p w:rsidR="00225D3D" w:rsidRDefault="00957CDC">
      <w:pPr>
        <w:pStyle w:val="Heading1"/>
        <w:ind w:left="-5"/>
      </w:pPr>
      <w:r>
        <w:t xml:space="preserve">Lawrence Kofi Amoako December 2025 </w:t>
      </w:r>
    </w:p>
    <w:p w:rsidR="00225D3D" w:rsidRDefault="00957CDC">
      <w:pPr>
        <w:pStyle w:val="Heading2"/>
        <w:ind w:left="-5"/>
      </w:pPr>
      <w:r>
        <w:t xml:space="preserve">Abstract </w:t>
      </w:r>
    </w:p>
    <w:p w:rsidR="00225D3D" w:rsidRDefault="00957CDC">
      <w:pPr>
        <w:ind w:left="-5"/>
      </w:pPr>
      <w:r>
        <w:t>Access to healthcare is a fundamental component of human well-</w:t>
      </w:r>
      <w:r>
        <w:t>being and sustainable development. This study utilized Geographic Information Systems (GIS) to assess healthcare accessibility in Mampong Municipality, Ashanti Region, Ghana. Spatial datasets, including health facilities, communities, and administrative bo</w:t>
      </w:r>
      <w:r>
        <w:t xml:space="preserve">undaries, were analyzed using buffer and distance techniques to classify communities based on accessibility levels. The results revealed significant spatial disparities, with underserved areas identified as priorities for targeted interventions to promote </w:t>
      </w:r>
      <w:r>
        <w:t xml:space="preserve">equity. </w:t>
      </w:r>
    </w:p>
    <w:p w:rsidR="00225D3D" w:rsidRDefault="00957CDC">
      <w:pPr>
        <w:pStyle w:val="Heading2"/>
        <w:ind w:left="-5"/>
      </w:pPr>
      <w:r>
        <w:t xml:space="preserve">Introduction </w:t>
      </w:r>
    </w:p>
    <w:p w:rsidR="00225D3D" w:rsidRDefault="00957CDC">
      <w:pPr>
        <w:ind w:left="-5"/>
      </w:pPr>
      <w:r>
        <w:t xml:space="preserve">Equitable access to healthcare services remains a persistent challenge in many developing regions. Geographic barriers, such as long distances, inadequate transportation infrastructure, and uneven facility distribution, often hinder </w:t>
      </w:r>
      <w:r>
        <w:t>timely medical care. GIS provides a powerful framework for evaluating spatial accessibility and supporting evidence-based planning. This study employs GIS techniques to investigate healthcare accessibility in Mampong Municipality, highlighting gaps and rec</w:t>
      </w:r>
      <w:r>
        <w:t xml:space="preserve">ommending improvements. </w:t>
      </w:r>
    </w:p>
    <w:p w:rsidR="00225D3D" w:rsidRDefault="00957CDC">
      <w:pPr>
        <w:pStyle w:val="Heading2"/>
        <w:ind w:left="-5"/>
      </w:pPr>
      <w:r>
        <w:t xml:space="preserve">Study Area </w:t>
      </w:r>
    </w:p>
    <w:p w:rsidR="00225D3D" w:rsidRDefault="00957CDC">
      <w:pPr>
        <w:ind w:left="-5"/>
      </w:pPr>
      <w:r>
        <w:t>Mampong Municipality, located in Ghana's Ashanti Region, comprises a blend of urban and rural communities. As an administrative and commercial center, it hosts a variety of healthcare facilities, including hospitals, cl</w:t>
      </w:r>
      <w:r>
        <w:t xml:space="preserve">inics, and Community-based Health Planning and Services (CHPS) compounds. However, accessibility varies widely, with rural areas particularly affected by geographic and infrastructural constraints. </w:t>
      </w:r>
    </w:p>
    <w:p w:rsidR="00225D3D" w:rsidRDefault="00957CDC">
      <w:pPr>
        <w:pStyle w:val="Heading2"/>
        <w:ind w:left="-5"/>
      </w:pPr>
      <w:r>
        <w:t xml:space="preserve">Data Sources </w:t>
      </w:r>
    </w:p>
    <w:p w:rsidR="00225D3D" w:rsidRDefault="00957CDC">
      <w:pPr>
        <w:ind w:left="-5"/>
      </w:pPr>
      <w:r>
        <w:t xml:space="preserve">Administrative boundaries </w:t>
      </w:r>
      <w:proofErr w:type="gramStart"/>
      <w:r>
        <w:t>were obtained</w:t>
      </w:r>
      <w:proofErr w:type="gramEnd"/>
      <w:r>
        <w:t xml:space="preserve"> fro</w:t>
      </w:r>
      <w:r>
        <w:t xml:space="preserve">m the GADM database. Health facility and road network data </w:t>
      </w:r>
      <w:proofErr w:type="gramStart"/>
      <w:r>
        <w:t>were sourced</w:t>
      </w:r>
      <w:proofErr w:type="gramEnd"/>
      <w:r>
        <w:t xml:space="preserve"> from OpenStreetMap, while community settlement data were compiled and validated. All datasets were processed in QGIS and projected to a common coordinate reference system (EPSG</w:t>
      </w:r>
      <w:proofErr w:type="gramStart"/>
      <w:r>
        <w:t>:32630</w:t>
      </w:r>
      <w:proofErr w:type="gramEnd"/>
      <w:r>
        <w:t xml:space="preserve">) </w:t>
      </w:r>
      <w:r>
        <w:t xml:space="preserve">for consistency. </w:t>
      </w:r>
    </w:p>
    <w:p w:rsidR="00225D3D" w:rsidRDefault="00957CDC">
      <w:pPr>
        <w:pStyle w:val="Heading2"/>
        <w:ind w:left="-5"/>
      </w:pPr>
      <w:r>
        <w:t xml:space="preserve">Methodology </w:t>
      </w:r>
    </w:p>
    <w:p w:rsidR="00225D3D" w:rsidRDefault="00957CDC">
      <w:pPr>
        <w:ind w:left="-5"/>
      </w:pPr>
      <w:r>
        <w:t xml:space="preserve">The analysis employed </w:t>
      </w:r>
      <w:r>
        <w:rPr>
          <w:b/>
        </w:rPr>
        <w:t>buffer</w:t>
      </w:r>
      <w:r>
        <w:t xml:space="preserve"> and </w:t>
      </w:r>
      <w:r>
        <w:rPr>
          <w:b/>
        </w:rPr>
        <w:t>distance-to-nearest-facility</w:t>
      </w:r>
      <w:r>
        <w:t xml:space="preserve"> techniques to evaluate spatial accessibility. </w:t>
      </w:r>
    </w:p>
    <w:p w:rsidR="00225D3D" w:rsidRDefault="00957CDC">
      <w:pPr>
        <w:ind w:left="-5"/>
      </w:pPr>
      <w:r>
        <w:rPr>
          <w:b/>
        </w:rPr>
        <w:t>Circular buffers</w:t>
      </w:r>
      <w:r>
        <w:t xml:space="preserve"> of </w:t>
      </w:r>
      <w:r>
        <w:rPr>
          <w:b/>
        </w:rPr>
        <w:t>1 km</w:t>
      </w:r>
      <w:r>
        <w:t xml:space="preserve"> and </w:t>
      </w:r>
      <w:r>
        <w:rPr>
          <w:b/>
        </w:rPr>
        <w:t>3 km</w:t>
      </w:r>
      <w:r>
        <w:t xml:space="preserve"> </w:t>
      </w:r>
      <w:proofErr w:type="gramStart"/>
      <w:r>
        <w:t>were created</w:t>
      </w:r>
      <w:proofErr w:type="gramEnd"/>
      <w:r>
        <w:t xml:space="preserve"> around health facilities using the QGIS Buffer tool, defining: </w:t>
      </w:r>
    </w:p>
    <w:p w:rsidR="00225D3D" w:rsidRDefault="00957CDC">
      <w:pPr>
        <w:tabs>
          <w:tab w:val="center" w:pos="406"/>
          <w:tab w:val="center" w:pos="2608"/>
        </w:tabs>
        <w:spacing w:after="12"/>
        <w:ind w:left="0" w:firstLine="0"/>
      </w:pPr>
      <w:r>
        <w:rPr>
          <w:rFonts w:ascii="Calibri" w:eastAsia="Calibri" w:hAnsi="Calibri" w:cs="Calibri"/>
          <w:sz w:val="22"/>
        </w:rPr>
        <w:lastRenderedPageBreak/>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w:t>
      </w:r>
      <w:r>
        <w:rPr>
          <w:b/>
        </w:rPr>
        <w:t>1 km</w:t>
      </w:r>
      <w:r>
        <w:t xml:space="preserve">: </w:t>
      </w:r>
      <w:r>
        <w:rPr>
          <w:b/>
        </w:rPr>
        <w:t>Good Access</w:t>
      </w:r>
      <w:r>
        <w:t xml:space="preserve"> (easily walkable) </w:t>
      </w:r>
    </w:p>
    <w:p w:rsidR="00225D3D" w:rsidRDefault="00957CDC">
      <w:pPr>
        <w:pStyle w:val="Heading1"/>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1–3 km</w:t>
      </w:r>
      <w:r>
        <w:rPr>
          <w:b w:val="0"/>
        </w:rPr>
        <w:t xml:space="preserve">: </w:t>
      </w:r>
      <w:r>
        <w:t>Moderate Access</w:t>
      </w:r>
      <w:r>
        <w:rPr>
          <w:b w:val="0"/>
        </w:rPr>
        <w:t xml:space="preserve">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&gt;3 km</w:t>
      </w:r>
      <w:r>
        <w:rPr>
          <w:b w:val="0"/>
        </w:rPr>
        <w:t xml:space="preserve">: </w:t>
      </w:r>
      <w:r>
        <w:t>Poor Access</w:t>
      </w:r>
      <w:r>
        <w:rPr>
          <w:b w:val="0"/>
        </w:rPr>
        <w:t xml:space="preserve"> </w:t>
      </w:r>
    </w:p>
    <w:p w:rsidR="00225D3D" w:rsidRDefault="00957CDC">
      <w:pPr>
        <w:ind w:left="-5"/>
      </w:pPr>
      <w:r>
        <w:rPr>
          <w:b/>
        </w:rPr>
        <w:t>Straight-line (Euclidean) distances</w:t>
      </w:r>
      <w:r>
        <w:t xml:space="preserve"> from community centroids to the nearest facility were then calculated using the </w:t>
      </w:r>
      <w:r>
        <w:rPr>
          <w:b/>
        </w:rPr>
        <w:t>"Distance to Nearest Hub (Points)"</w:t>
      </w:r>
      <w:r>
        <w:t xml:space="preserve"> tool in QGIS Proce</w:t>
      </w:r>
      <w:r>
        <w:t xml:space="preserve">ssing Toolbox. Distances </w:t>
      </w:r>
      <w:proofErr w:type="gramStart"/>
      <w:r>
        <w:t>were converted to kilometers and reclassified into the same three categories</w:t>
      </w:r>
      <w:proofErr w:type="gramEnd"/>
      <w:r>
        <w:t xml:space="preserve">. </w:t>
      </w:r>
    </w:p>
    <w:p w:rsidR="00225D3D" w:rsidRDefault="00957CDC">
      <w:pPr>
        <w:ind w:left="-5"/>
      </w:pPr>
      <w:r>
        <w:t>A new field was added to the community layer via the Field Calculator to store the accessibility level, facilitating thematic mapping and comparison bet</w:t>
      </w:r>
      <w:r>
        <w:t xml:space="preserve">ween </w:t>
      </w:r>
      <w:r>
        <w:rPr>
          <w:b/>
        </w:rPr>
        <w:t xml:space="preserve">Phase 1 (4 </w:t>
      </w:r>
      <w:bookmarkStart w:id="0" w:name="_GoBack"/>
      <w:bookmarkEnd w:id="0"/>
      <w:r>
        <w:rPr>
          <w:b/>
        </w:rPr>
        <w:t>Captured  facilities only)</w:t>
      </w:r>
      <w:r>
        <w:t xml:space="preserve"> and </w:t>
      </w:r>
      <w:r>
        <w:rPr>
          <w:b/>
        </w:rPr>
        <w:t>Phase 2 (enriched dataset).</w:t>
      </w:r>
      <w:r>
        <w:t xml:space="preserve"> </w:t>
      </w:r>
    </w:p>
    <w:p w:rsidR="00225D3D" w:rsidRDefault="00957CDC">
      <w:pPr>
        <w:spacing w:after="210" w:line="259" w:lineRule="auto"/>
        <w:ind w:left="0" w:firstLine="0"/>
      </w:pPr>
      <w:r>
        <w:rPr>
          <w:rFonts w:ascii="Cambria" w:eastAsia="Cambria" w:hAnsi="Cambria" w:cs="Cambria"/>
          <w:sz w:val="22"/>
        </w:rPr>
        <w:t xml:space="preserve"> </w:t>
      </w:r>
    </w:p>
    <w:p w:rsidR="00225D3D" w:rsidRDefault="00957CDC">
      <w:pPr>
        <w:pStyle w:val="Heading2"/>
        <w:ind w:left="-5"/>
      </w:pPr>
      <w:r>
        <w:t xml:space="preserve">Results </w:t>
      </w:r>
    </w:p>
    <w:p w:rsidR="00225D3D" w:rsidRDefault="00957CDC">
      <w:pPr>
        <w:ind w:left="-5"/>
      </w:pPr>
      <w:r>
        <w:t xml:space="preserve">The Phase 1 analysis, based on public facilities from OpenStreetMap, indicated substantial spatial disparities. Most communities exhibited poor access, with only urban centers showing good or moderate levels. </w:t>
      </w:r>
    </w:p>
    <w:p w:rsidR="00225D3D" w:rsidRDefault="00957CDC">
      <w:pPr>
        <w:spacing w:after="213" w:line="259" w:lineRule="auto"/>
        <w:ind w:left="0" w:firstLine="0"/>
      </w:pPr>
      <w:r w:rsidRPr="00957CDC">
        <w:t xml:space="preserve">In </w:t>
      </w:r>
      <w:r w:rsidRPr="00957CDC">
        <w:rPr>
          <w:bCs/>
        </w:rPr>
        <w:t>Phase 2</w:t>
      </w:r>
      <w:r>
        <w:t xml:space="preserve">, I performed primary data enrichment by manually digitizing an additional </w:t>
      </w:r>
      <w:proofErr w:type="gramStart"/>
      <w:r>
        <w:rPr>
          <w:b/>
          <w:bCs/>
        </w:rPr>
        <w:t>8</w:t>
      </w:r>
      <w:proofErr w:type="gramEnd"/>
      <w:r>
        <w:rPr>
          <w:b/>
          <w:bCs/>
        </w:rPr>
        <w:t xml:space="preserve"> </w:t>
      </w:r>
      <w:r w:rsidRPr="00957CDC">
        <w:rPr>
          <w:bCs/>
        </w:rPr>
        <w:t>facilities</w:t>
      </w:r>
      <w:r w:rsidRPr="00957CDC">
        <w:t>,</w:t>
      </w:r>
      <w:r>
        <w:t xml:space="preserve"> bringing the total to </w:t>
      </w:r>
      <w:r>
        <w:rPr>
          <w:b/>
          <w:bCs/>
        </w:rPr>
        <w:t>12 mapped health facilities</w:t>
      </w:r>
      <w:r>
        <w:t xml:space="preserve">. These included private clinics (e.g., Quality Health Care), mission hospitals, and rural CHPS compounds (e.g., </w:t>
      </w:r>
      <w:proofErr w:type="spellStart"/>
      <w:r>
        <w:t>Krobo</w:t>
      </w:r>
      <w:proofErr w:type="spellEnd"/>
      <w:r>
        <w:t>).</w:t>
      </w:r>
    </w:p>
    <w:p w:rsidR="00225D3D" w:rsidRDefault="00957CDC">
      <w:pPr>
        <w:spacing w:after="216" w:line="259" w:lineRule="auto"/>
        <w:ind w:left="0" w:firstLine="0"/>
      </w:pPr>
      <w:r>
        <w:rPr>
          <w:b/>
          <w:sz w:val="22"/>
        </w:rPr>
        <w:t xml:space="preserve"> </w:t>
      </w:r>
    </w:p>
    <w:p w:rsidR="00225D3D" w:rsidRDefault="00957CDC">
      <w:pPr>
        <w:pStyle w:val="Heading2"/>
        <w:ind w:left="-5"/>
      </w:pPr>
      <w:r>
        <w:t xml:space="preserve">Map Interpretation </w:t>
      </w:r>
    </w:p>
    <w:p w:rsidR="00225D3D" w:rsidRDefault="00957CDC">
      <w:pPr>
        <w:ind w:left="-5"/>
      </w:pPr>
      <w:r>
        <w:t xml:space="preserve">The thematic maps employ a graduated color scheme: green for good access, yellow for moderate, and red for poor. Figure </w:t>
      </w:r>
      <w:proofErr w:type="gramStart"/>
      <w:r>
        <w:t>1</w:t>
      </w:r>
      <w:proofErr w:type="gramEnd"/>
      <w:r>
        <w:t xml:space="preserve"> (Phase 1) illustrates widespread poor access, with clusters of moderate and good access limited to central areas. Figure </w:t>
      </w:r>
      <w:proofErr w:type="gramStart"/>
      <w:r>
        <w:t>2</w:t>
      </w:r>
      <w:proofErr w:type="gramEnd"/>
      <w:r>
        <w:t xml:space="preserve"> (Phase 2) </w:t>
      </w:r>
      <w:r>
        <w:t xml:space="preserve">demonstrates reduced poor-access zones due to additional facilities, though gaps persist in peripheral regions. </w:t>
      </w:r>
    </w:p>
    <w:p w:rsidR="00225D3D" w:rsidRDefault="00957CDC">
      <w:pPr>
        <w:pStyle w:val="Heading1"/>
        <w:spacing w:after="61"/>
        <w:ind w:left="-5"/>
      </w:pPr>
      <w:r>
        <w:lastRenderedPageBreak/>
        <w:t>Figure 1. Phase 1 Accessibility Map showing poor access in red</w:t>
      </w:r>
      <w:r>
        <w:rPr>
          <w:b w:val="0"/>
        </w:rPr>
        <w:t xml:space="preserve"> </w:t>
      </w:r>
    </w:p>
    <w:p w:rsidR="00225D3D" w:rsidRDefault="00957CDC">
      <w:pPr>
        <w:spacing w:after="106" w:line="259" w:lineRule="auto"/>
        <w:ind w:left="391" w:firstLine="0"/>
      </w:pPr>
      <w:r>
        <w:rPr>
          <w:rFonts w:ascii="Calibri" w:eastAsia="Calibri" w:hAnsi="Calibri" w:cs="Calibri"/>
          <w:noProof/>
          <w:sz w:val="22"/>
        </w:rPr>
        <mc:AlternateContent>
          <mc:Choice Requires="wpg">
            <w:drawing>
              <wp:inline distT="0" distB="0" distL="0" distR="0">
                <wp:extent cx="5219700" cy="2895600"/>
                <wp:effectExtent l="0" t="0" r="0" b="0"/>
                <wp:docPr id="4550" name="Group 4550"/>
                <wp:cNvGraphicFramePr/>
                <a:graphic xmlns:a="http://schemas.openxmlformats.org/drawingml/2006/main">
                  <a:graphicData uri="http://schemas.microsoft.com/office/word/2010/wordprocessingGroup">
                    <wpg:wgp>
                      <wpg:cNvGrpSpPr/>
                      <wpg:grpSpPr>
                        <a:xfrm>
                          <a:off x="0" y="0"/>
                          <a:ext cx="5219700" cy="2895600"/>
                          <a:chOff x="0" y="0"/>
                          <a:chExt cx="5219700" cy="2895600"/>
                        </a:xfrm>
                      </wpg:grpSpPr>
                      <wps:wsp>
                        <wps:cNvPr id="204" name="Shape 204"/>
                        <wps:cNvSpPr/>
                        <wps:spPr>
                          <a:xfrm>
                            <a:off x="0" y="0"/>
                            <a:ext cx="5219700" cy="2895600"/>
                          </a:xfrm>
                          <a:custGeom>
                            <a:avLst/>
                            <a:gdLst/>
                            <a:ahLst/>
                            <a:cxnLst/>
                            <a:rect l="0" t="0" r="0" b="0"/>
                            <a:pathLst>
                              <a:path w="5219700" h="2895600">
                                <a:moveTo>
                                  <a:pt x="0" y="2895600"/>
                                </a:moveTo>
                                <a:lnTo>
                                  <a:pt x="5219700" y="2895600"/>
                                </a:lnTo>
                                <a:lnTo>
                                  <a:pt x="5219700"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84" name="Picture 5584"/>
                          <pic:cNvPicPr/>
                        </pic:nvPicPr>
                        <pic:blipFill>
                          <a:blip r:embed="rId5"/>
                          <a:stretch>
                            <a:fillRect/>
                          </a:stretch>
                        </pic:blipFill>
                        <pic:spPr>
                          <a:xfrm>
                            <a:off x="89916" y="46228"/>
                            <a:ext cx="5032248" cy="2798064"/>
                          </a:xfrm>
                          <a:prstGeom prst="rect">
                            <a:avLst/>
                          </a:prstGeom>
                        </pic:spPr>
                      </pic:pic>
                    </wpg:wgp>
                  </a:graphicData>
                </a:graphic>
              </wp:inline>
            </w:drawing>
          </mc:Choice>
          <mc:Fallback xmlns:a="http://schemas.openxmlformats.org/drawingml/2006/main">
            <w:pict>
              <v:group id="Group 4550" style="width:411pt;height:228pt;mso-position-horizontal-relative:char;mso-position-vertical-relative:line" coordsize="52197,28956">
                <v:shape id="Shape 204" style="position:absolute;width:52197;height:28956;left:0;top:0;" coordsize="5219700,2895600" path="m0,2895600l5219700,2895600l5219700,0l0,0x">
                  <v:stroke weight="0.72pt" endcap="flat" joinstyle="miter" miterlimit="10" on="true" color="#000000"/>
                  <v:fill on="false" color="#000000" opacity="0"/>
                </v:shape>
                <v:shape id="Picture 5584" style="position:absolute;width:50322;height:27980;left:899;top:462;" filled="f">
                  <v:imagedata r:id="rId6"/>
                </v:shape>
              </v:group>
            </w:pict>
          </mc:Fallback>
        </mc:AlternateContent>
      </w:r>
    </w:p>
    <w:p w:rsidR="00225D3D" w:rsidRDefault="00957CDC">
      <w:pPr>
        <w:spacing w:after="254" w:line="259" w:lineRule="auto"/>
        <w:ind w:left="0" w:firstLine="0"/>
      </w:pPr>
      <w:r>
        <w:t xml:space="preserve"> </w:t>
      </w:r>
    </w:p>
    <w:p w:rsidR="00225D3D" w:rsidRDefault="00957CDC">
      <w:pPr>
        <w:spacing w:after="256" w:line="259" w:lineRule="auto"/>
        <w:ind w:left="0" w:firstLine="0"/>
      </w:pPr>
      <w:r>
        <w:t xml:space="preserve"> </w:t>
      </w:r>
    </w:p>
    <w:p w:rsidR="00225D3D" w:rsidRDefault="00957CDC">
      <w:pPr>
        <w:spacing w:after="257" w:line="259" w:lineRule="auto"/>
        <w:ind w:left="0" w:firstLine="0"/>
      </w:pPr>
      <w:r>
        <w:t xml:space="preserve"> </w:t>
      </w:r>
    </w:p>
    <w:p w:rsidR="00225D3D" w:rsidRDefault="00957CDC">
      <w:pPr>
        <w:spacing w:after="254" w:line="259" w:lineRule="auto"/>
        <w:ind w:left="0" w:firstLine="0"/>
      </w:pPr>
      <w:r>
        <w:t xml:space="preserve"> </w:t>
      </w:r>
    </w:p>
    <w:p w:rsidR="00225D3D" w:rsidRDefault="00957CDC">
      <w:pPr>
        <w:spacing w:after="261" w:line="259" w:lineRule="auto"/>
        <w:ind w:left="0" w:firstLine="0"/>
      </w:pPr>
      <w:r>
        <w:t xml:space="preserve"> </w:t>
      </w:r>
    </w:p>
    <w:p w:rsidR="00225D3D" w:rsidRDefault="00957CDC">
      <w:pPr>
        <w:pStyle w:val="Heading1"/>
        <w:spacing w:after="0"/>
        <w:ind w:left="-5"/>
      </w:pPr>
      <w:r>
        <w:t>Figure 2. Phase2 Healthcare Accessibility Map</w:t>
      </w:r>
      <w:r>
        <w:rPr>
          <w:b w:val="0"/>
        </w:rPr>
        <w:t xml:space="preserve"> </w:t>
      </w:r>
    </w:p>
    <w:p w:rsidR="00225D3D" w:rsidRDefault="00957CDC">
      <w:pPr>
        <w:spacing w:after="0" w:line="259" w:lineRule="auto"/>
        <w:ind w:left="31" w:firstLine="0"/>
      </w:pPr>
      <w:r>
        <w:rPr>
          <w:rFonts w:ascii="Calibri" w:eastAsia="Calibri" w:hAnsi="Calibri" w:cs="Calibri"/>
          <w:noProof/>
          <w:sz w:val="22"/>
        </w:rPr>
        <mc:AlternateContent>
          <mc:Choice Requires="wpg">
            <w:drawing>
              <wp:inline distT="0" distB="0" distL="0" distR="0">
                <wp:extent cx="5144770" cy="2832380"/>
                <wp:effectExtent l="0" t="0" r="0" b="0"/>
                <wp:docPr id="4551" name="Group 4551"/>
                <wp:cNvGraphicFramePr/>
                <a:graphic xmlns:a="http://schemas.openxmlformats.org/drawingml/2006/main">
                  <a:graphicData uri="http://schemas.microsoft.com/office/word/2010/wordprocessingGroup">
                    <wpg:wgp>
                      <wpg:cNvGrpSpPr/>
                      <wpg:grpSpPr>
                        <a:xfrm>
                          <a:off x="0" y="0"/>
                          <a:ext cx="5144770" cy="2832380"/>
                          <a:chOff x="0" y="0"/>
                          <a:chExt cx="5144770" cy="2832380"/>
                        </a:xfrm>
                      </wpg:grpSpPr>
                      <wps:wsp>
                        <wps:cNvPr id="196" name="Rectangle 196"/>
                        <wps:cNvSpPr/>
                        <wps:spPr>
                          <a:xfrm>
                            <a:off x="5106670" y="0"/>
                            <a:ext cx="50673" cy="224381"/>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197" name="Rectangle 197"/>
                        <wps:cNvSpPr/>
                        <wps:spPr>
                          <a:xfrm>
                            <a:off x="5106670" y="352044"/>
                            <a:ext cx="50673" cy="224380"/>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198" name="Rectangle 198"/>
                        <wps:cNvSpPr/>
                        <wps:spPr>
                          <a:xfrm>
                            <a:off x="5106670" y="705612"/>
                            <a:ext cx="50673" cy="224380"/>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199" name="Rectangle 199"/>
                        <wps:cNvSpPr/>
                        <wps:spPr>
                          <a:xfrm>
                            <a:off x="5106670" y="1058037"/>
                            <a:ext cx="50673" cy="224380"/>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200" name="Rectangle 200"/>
                        <wps:cNvSpPr/>
                        <wps:spPr>
                          <a:xfrm>
                            <a:off x="5106670" y="1411605"/>
                            <a:ext cx="50673" cy="224380"/>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201" name="Rectangle 201"/>
                        <wps:cNvSpPr/>
                        <wps:spPr>
                          <a:xfrm>
                            <a:off x="5106670" y="1765173"/>
                            <a:ext cx="50673" cy="224381"/>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202" name="Rectangle 202"/>
                        <wps:cNvSpPr/>
                        <wps:spPr>
                          <a:xfrm>
                            <a:off x="5106670" y="2117217"/>
                            <a:ext cx="50673" cy="224380"/>
                          </a:xfrm>
                          <a:prstGeom prst="rect">
                            <a:avLst/>
                          </a:prstGeom>
                          <a:ln>
                            <a:noFill/>
                          </a:ln>
                        </wps:spPr>
                        <wps:txbx>
                          <w:txbxContent>
                            <w:p w:rsidR="00225D3D" w:rsidRDefault="00957CDC">
                              <w:pPr>
                                <w:spacing w:after="160" w:line="259" w:lineRule="auto"/>
                                <w:ind w:left="0" w:firstLine="0"/>
                              </w:pPr>
                              <w:r>
                                <w:t xml:space="preserve"> </w:t>
                              </w:r>
                            </w:p>
                          </w:txbxContent>
                        </wps:txbx>
                        <wps:bodyPr horzOverflow="overflow" vert="horz" lIns="0" tIns="0" rIns="0" bIns="0" rtlCol="0">
                          <a:noAutofit/>
                        </wps:bodyPr>
                      </wps:wsp>
                      <wps:wsp>
                        <wps:cNvPr id="208" name="Shape 208"/>
                        <wps:cNvSpPr/>
                        <wps:spPr>
                          <a:xfrm>
                            <a:off x="0" y="81559"/>
                            <a:ext cx="4965192" cy="2750821"/>
                          </a:xfrm>
                          <a:custGeom>
                            <a:avLst/>
                            <a:gdLst/>
                            <a:ahLst/>
                            <a:cxnLst/>
                            <a:rect l="0" t="0" r="0" b="0"/>
                            <a:pathLst>
                              <a:path w="4965192" h="2750821">
                                <a:moveTo>
                                  <a:pt x="0" y="2750821"/>
                                </a:moveTo>
                                <a:lnTo>
                                  <a:pt x="4965192" y="2750821"/>
                                </a:lnTo>
                                <a:lnTo>
                                  <a:pt x="4965192"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85" name="Picture 5585"/>
                          <pic:cNvPicPr/>
                        </pic:nvPicPr>
                        <pic:blipFill>
                          <a:blip r:embed="rId7"/>
                          <a:stretch>
                            <a:fillRect/>
                          </a:stretch>
                        </pic:blipFill>
                        <pic:spPr>
                          <a:xfrm>
                            <a:off x="89916" y="129820"/>
                            <a:ext cx="4779264" cy="2651760"/>
                          </a:xfrm>
                          <a:prstGeom prst="rect">
                            <a:avLst/>
                          </a:prstGeom>
                        </pic:spPr>
                      </pic:pic>
                    </wpg:wgp>
                  </a:graphicData>
                </a:graphic>
              </wp:inline>
            </w:drawing>
          </mc:Choice>
          <mc:Fallback xmlns:a="http://schemas.openxmlformats.org/drawingml/2006/main">
            <w:pict>
              <v:group id="Group 4551" style="width:405.1pt;height:223.022pt;mso-position-horizontal-relative:char;mso-position-vertical-relative:line" coordsize="51447,28323">
                <v:rect id="Rectangle 196" style="position:absolute;width:506;height:2243;left:51066;top:0;" filled="f" stroked="f">
                  <v:textbox inset="0,0,0,0">
                    <w:txbxContent>
                      <w:p>
                        <w:pPr>
                          <w:spacing w:before="0" w:after="160" w:line="259" w:lineRule="auto"/>
                          <w:ind w:left="0" w:firstLine="0"/>
                        </w:pPr>
                        <w:r>
                          <w:rPr/>
                          <w:t xml:space="preserve"> </w:t>
                        </w:r>
                      </w:p>
                    </w:txbxContent>
                  </v:textbox>
                </v:rect>
                <v:rect id="Rectangle 197" style="position:absolute;width:506;height:2243;left:51066;top:3520;" filled="f" stroked="f">
                  <v:textbox inset="0,0,0,0">
                    <w:txbxContent>
                      <w:p>
                        <w:pPr>
                          <w:spacing w:before="0" w:after="160" w:line="259" w:lineRule="auto"/>
                          <w:ind w:left="0" w:firstLine="0"/>
                        </w:pPr>
                        <w:r>
                          <w:rPr/>
                          <w:t xml:space="preserve"> </w:t>
                        </w:r>
                      </w:p>
                    </w:txbxContent>
                  </v:textbox>
                </v:rect>
                <v:rect id="Rectangle 198" style="position:absolute;width:506;height:2243;left:51066;top:7056;" filled="f" stroked="f">
                  <v:textbox inset="0,0,0,0">
                    <w:txbxContent>
                      <w:p>
                        <w:pPr>
                          <w:spacing w:before="0" w:after="160" w:line="259" w:lineRule="auto"/>
                          <w:ind w:left="0" w:firstLine="0"/>
                        </w:pPr>
                        <w:r>
                          <w:rPr/>
                          <w:t xml:space="preserve"> </w:t>
                        </w:r>
                      </w:p>
                    </w:txbxContent>
                  </v:textbox>
                </v:rect>
                <v:rect id="Rectangle 199" style="position:absolute;width:506;height:2243;left:51066;top:10580;" filled="f" stroked="f">
                  <v:textbox inset="0,0,0,0">
                    <w:txbxContent>
                      <w:p>
                        <w:pPr>
                          <w:spacing w:before="0" w:after="160" w:line="259" w:lineRule="auto"/>
                          <w:ind w:left="0" w:firstLine="0"/>
                        </w:pPr>
                        <w:r>
                          <w:rPr/>
                          <w:t xml:space="preserve"> </w:t>
                        </w:r>
                      </w:p>
                    </w:txbxContent>
                  </v:textbox>
                </v:rect>
                <v:rect id="Rectangle 200" style="position:absolute;width:506;height:2243;left:51066;top:14116;" filled="f" stroked="f">
                  <v:textbox inset="0,0,0,0">
                    <w:txbxContent>
                      <w:p>
                        <w:pPr>
                          <w:spacing w:before="0" w:after="160" w:line="259" w:lineRule="auto"/>
                          <w:ind w:left="0" w:firstLine="0"/>
                        </w:pPr>
                        <w:r>
                          <w:rPr/>
                          <w:t xml:space="preserve"> </w:t>
                        </w:r>
                      </w:p>
                    </w:txbxContent>
                  </v:textbox>
                </v:rect>
                <v:rect id="Rectangle 201" style="position:absolute;width:506;height:2243;left:51066;top:17651;" filled="f" stroked="f">
                  <v:textbox inset="0,0,0,0">
                    <w:txbxContent>
                      <w:p>
                        <w:pPr>
                          <w:spacing w:before="0" w:after="160" w:line="259" w:lineRule="auto"/>
                          <w:ind w:left="0" w:firstLine="0"/>
                        </w:pPr>
                        <w:r>
                          <w:rPr/>
                          <w:t xml:space="preserve"> </w:t>
                        </w:r>
                      </w:p>
                    </w:txbxContent>
                  </v:textbox>
                </v:rect>
                <v:rect id="Rectangle 202" style="position:absolute;width:506;height:2243;left:51066;top:21172;" filled="f" stroked="f">
                  <v:textbox inset="0,0,0,0">
                    <w:txbxContent>
                      <w:p>
                        <w:pPr>
                          <w:spacing w:before="0" w:after="160" w:line="259" w:lineRule="auto"/>
                          <w:ind w:left="0" w:firstLine="0"/>
                        </w:pPr>
                        <w:r>
                          <w:rPr/>
                          <w:t xml:space="preserve"> </w:t>
                        </w:r>
                      </w:p>
                    </w:txbxContent>
                  </v:textbox>
                </v:rect>
                <v:shape id="Shape 208" style="position:absolute;width:49651;height:27508;left:0;top:815;" coordsize="4965192,2750821" path="m0,2750821l4965192,2750821l4965192,0l0,0x">
                  <v:stroke weight="0.72pt" endcap="flat" joinstyle="miter" miterlimit="10" on="true" color="#000000"/>
                  <v:fill on="false" color="#000000" opacity="0"/>
                </v:shape>
                <v:shape id="Picture 5585" style="position:absolute;width:47792;height:26517;left:899;top:1298;" filled="f">
                  <v:imagedata r:id="rId8"/>
                </v:shape>
              </v:group>
            </w:pict>
          </mc:Fallback>
        </mc:AlternateContent>
      </w:r>
    </w:p>
    <w:p w:rsidR="00225D3D" w:rsidRDefault="00957CDC">
      <w:pPr>
        <w:spacing w:after="256" w:line="259" w:lineRule="auto"/>
        <w:ind w:left="0" w:firstLine="0"/>
      </w:pPr>
      <w:r>
        <w:t xml:space="preserve"> </w:t>
      </w:r>
    </w:p>
    <w:p w:rsidR="00225D3D" w:rsidRDefault="00957CDC">
      <w:pPr>
        <w:spacing w:after="242" w:line="259" w:lineRule="auto"/>
        <w:ind w:left="0" w:firstLine="0"/>
      </w:pPr>
      <w:r>
        <w:lastRenderedPageBreak/>
        <w:t xml:space="preserve"> </w:t>
      </w:r>
    </w:p>
    <w:p w:rsidR="00225D3D" w:rsidRDefault="00957CDC">
      <w:pPr>
        <w:pStyle w:val="Heading2"/>
        <w:ind w:left="-5"/>
      </w:pPr>
      <w:r>
        <w:t xml:space="preserve">Visual Comparison of Initial and Refined Analyses </w:t>
      </w:r>
    </w:p>
    <w:p w:rsidR="00225D3D" w:rsidRDefault="00957CDC">
      <w:pPr>
        <w:ind w:left="-5"/>
      </w:pPr>
      <w:r>
        <w:t>Figure 3 presents a side-by-</w:t>
      </w:r>
      <w:r>
        <w:t xml:space="preserve">side comparison of Phase 1 and Phase 2, highlighting enhancements from data enrichment. The inclusion of private and CHPS facilities narrows accessibility gaps, but rural disparities endure. </w:t>
      </w:r>
    </w:p>
    <w:p w:rsidR="00225D3D" w:rsidRDefault="00957CDC">
      <w:pPr>
        <w:pStyle w:val="Heading1"/>
        <w:spacing w:after="222"/>
        <w:ind w:left="-5"/>
      </w:pPr>
      <w:r>
        <w:t xml:space="preserve">Figure 3. </w:t>
      </w:r>
      <w:proofErr w:type="gramStart"/>
      <w:r>
        <w:t>presents</w:t>
      </w:r>
      <w:proofErr w:type="gramEnd"/>
      <w:r>
        <w:t xml:space="preserve"> a side-by-side comparison of Phase 1 and Phas</w:t>
      </w:r>
      <w:r>
        <w:t>e 2</w:t>
      </w:r>
      <w:r>
        <w:rPr>
          <w:b w:val="0"/>
        </w:rPr>
        <w:t xml:space="preserve"> </w:t>
      </w:r>
    </w:p>
    <w:p w:rsidR="00225D3D" w:rsidRDefault="00957CDC">
      <w:pPr>
        <w:spacing w:after="102" w:line="259" w:lineRule="auto"/>
        <w:ind w:left="220" w:firstLine="0"/>
      </w:pPr>
      <w:r>
        <w:rPr>
          <w:rFonts w:ascii="Calibri" w:eastAsia="Calibri" w:hAnsi="Calibri" w:cs="Calibri"/>
          <w:noProof/>
          <w:sz w:val="22"/>
        </w:rPr>
        <mc:AlternateContent>
          <mc:Choice Requires="wpg">
            <w:drawing>
              <wp:inline distT="0" distB="0" distL="0" distR="0">
                <wp:extent cx="5251704" cy="3110484"/>
                <wp:effectExtent l="0" t="0" r="0" b="0"/>
                <wp:docPr id="5452" name="Group 5452"/>
                <wp:cNvGraphicFramePr/>
                <a:graphic xmlns:a="http://schemas.openxmlformats.org/drawingml/2006/main">
                  <a:graphicData uri="http://schemas.microsoft.com/office/word/2010/wordprocessingGroup">
                    <wpg:wgp>
                      <wpg:cNvGrpSpPr/>
                      <wpg:grpSpPr>
                        <a:xfrm>
                          <a:off x="0" y="0"/>
                          <a:ext cx="5251704" cy="3110484"/>
                          <a:chOff x="0" y="0"/>
                          <a:chExt cx="5251704" cy="3110484"/>
                        </a:xfrm>
                      </wpg:grpSpPr>
                      <wps:wsp>
                        <wps:cNvPr id="242" name="Shape 242"/>
                        <wps:cNvSpPr/>
                        <wps:spPr>
                          <a:xfrm>
                            <a:off x="0" y="0"/>
                            <a:ext cx="5251704" cy="3110484"/>
                          </a:xfrm>
                          <a:custGeom>
                            <a:avLst/>
                            <a:gdLst/>
                            <a:ahLst/>
                            <a:cxnLst/>
                            <a:rect l="0" t="0" r="0" b="0"/>
                            <a:pathLst>
                              <a:path w="5251704" h="3110484">
                                <a:moveTo>
                                  <a:pt x="0" y="3110484"/>
                                </a:moveTo>
                                <a:lnTo>
                                  <a:pt x="5251704" y="3110484"/>
                                </a:lnTo>
                                <a:lnTo>
                                  <a:pt x="525170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86" name="Picture 5586"/>
                          <pic:cNvPicPr/>
                        </pic:nvPicPr>
                        <pic:blipFill>
                          <a:blip r:embed="rId9"/>
                          <a:stretch>
                            <a:fillRect/>
                          </a:stretch>
                        </pic:blipFill>
                        <pic:spPr>
                          <a:xfrm>
                            <a:off x="93472" y="48260"/>
                            <a:ext cx="5059681" cy="2980944"/>
                          </a:xfrm>
                          <a:prstGeom prst="rect">
                            <a:avLst/>
                          </a:prstGeom>
                        </pic:spPr>
                      </pic:pic>
                    </wpg:wgp>
                  </a:graphicData>
                </a:graphic>
              </wp:inline>
            </w:drawing>
          </mc:Choice>
          <mc:Fallback xmlns:a="http://schemas.openxmlformats.org/drawingml/2006/main">
            <w:pict>
              <v:group id="Group 5452" style="width:413.52pt;height:244.92pt;mso-position-horizontal-relative:char;mso-position-vertical-relative:line" coordsize="52517,31104">
                <v:shape id="Shape 242" style="position:absolute;width:52517;height:31104;left:0;top:0;" coordsize="5251704,3110484" path="m0,3110484l5251704,3110484l5251704,0l0,0x">
                  <v:stroke weight="0.72pt" endcap="flat" joinstyle="miter" miterlimit="10" on="true" color="#000000"/>
                  <v:fill on="false" color="#000000" opacity="0"/>
                </v:shape>
                <v:shape id="Picture 5586" style="position:absolute;width:50596;height:29809;left:934;top:482;" filled="f">
                  <v:imagedata r:id="rId10"/>
                </v:shape>
              </v:group>
            </w:pict>
          </mc:Fallback>
        </mc:AlternateContent>
      </w:r>
    </w:p>
    <w:p w:rsidR="00225D3D" w:rsidRDefault="00957CDC">
      <w:pPr>
        <w:spacing w:after="254" w:line="259" w:lineRule="auto"/>
        <w:ind w:left="0" w:firstLine="0"/>
      </w:pPr>
      <w:r>
        <w:rPr>
          <w:b/>
        </w:rPr>
        <w:t xml:space="preserve"> </w:t>
      </w:r>
    </w:p>
    <w:p w:rsidR="00225D3D" w:rsidRDefault="00957CDC">
      <w:pPr>
        <w:spacing w:after="256" w:line="259" w:lineRule="auto"/>
        <w:ind w:left="0" w:firstLine="0"/>
      </w:pPr>
      <w:r>
        <w:rPr>
          <w:b/>
        </w:rPr>
        <w:t xml:space="preserve"> </w:t>
      </w:r>
    </w:p>
    <w:p w:rsidR="00225D3D" w:rsidRDefault="00957CDC">
      <w:pPr>
        <w:spacing w:after="257" w:line="259" w:lineRule="auto"/>
        <w:ind w:left="0" w:firstLine="0"/>
      </w:pPr>
      <w:r>
        <w:rPr>
          <w:b/>
        </w:rPr>
        <w:t xml:space="preserve"> </w:t>
      </w:r>
    </w:p>
    <w:p w:rsidR="00225D3D" w:rsidRDefault="00957CDC">
      <w:pPr>
        <w:spacing w:after="254" w:line="259" w:lineRule="auto"/>
        <w:ind w:left="0" w:firstLine="0"/>
      </w:pPr>
      <w:r>
        <w:rPr>
          <w:b/>
        </w:rPr>
        <w:t xml:space="preserve"> </w:t>
      </w:r>
    </w:p>
    <w:p w:rsidR="00225D3D" w:rsidRDefault="00957CDC">
      <w:pPr>
        <w:spacing w:after="256" w:line="259" w:lineRule="auto"/>
        <w:ind w:left="0" w:firstLine="0"/>
      </w:pPr>
      <w:r>
        <w:rPr>
          <w:b/>
        </w:rPr>
        <w:t xml:space="preserve"> </w:t>
      </w:r>
    </w:p>
    <w:p w:rsidR="00225D3D" w:rsidRDefault="00957CDC">
      <w:pPr>
        <w:spacing w:after="256" w:line="259" w:lineRule="auto"/>
        <w:ind w:left="0" w:firstLine="0"/>
      </w:pPr>
      <w:r>
        <w:rPr>
          <w:b/>
        </w:rPr>
        <w:t xml:space="preserve"> </w:t>
      </w:r>
    </w:p>
    <w:p w:rsidR="00225D3D" w:rsidRDefault="00957CDC">
      <w:pPr>
        <w:spacing w:after="254" w:line="259" w:lineRule="auto"/>
        <w:ind w:left="0" w:firstLine="0"/>
      </w:pPr>
      <w:r>
        <w:rPr>
          <w:b/>
        </w:rPr>
        <w:t xml:space="preserve"> </w:t>
      </w:r>
    </w:p>
    <w:p w:rsidR="00225D3D" w:rsidRDefault="00957CDC">
      <w:pPr>
        <w:spacing w:after="0" w:line="259" w:lineRule="auto"/>
        <w:ind w:left="0" w:firstLine="0"/>
      </w:pPr>
      <w:r>
        <w:rPr>
          <w:b/>
        </w:rPr>
        <w:t xml:space="preserve"> </w:t>
      </w:r>
    </w:p>
    <w:p w:rsidR="00225D3D" w:rsidRDefault="00957CDC">
      <w:pPr>
        <w:pStyle w:val="Heading1"/>
        <w:ind w:left="-5"/>
      </w:pPr>
      <w:r>
        <w:lastRenderedPageBreak/>
        <w:t>Figure 4. Phase 2 Healthcare Accessibility Analysis Workflow</w:t>
      </w:r>
      <w:r>
        <w:rPr>
          <w:b w:val="0"/>
        </w:rPr>
        <w:t xml:space="preserve">  </w:t>
      </w:r>
    </w:p>
    <w:p w:rsidR="00225D3D" w:rsidRDefault="00957CDC">
      <w:pPr>
        <w:spacing w:after="121"/>
        <w:ind w:left="-5"/>
      </w:pPr>
      <w:r>
        <w:t xml:space="preserve">The workflow for the refined (Phase 2) analysis </w:t>
      </w:r>
      <w:proofErr w:type="gramStart"/>
      <w:r>
        <w:t>is depicted</w:t>
      </w:r>
      <w:proofErr w:type="gramEnd"/>
      <w:r>
        <w:t xml:space="preserve"> below, illustrating the sequential steps from data collection and merging to re-</w:t>
      </w:r>
      <w:r>
        <w:t xml:space="preserve">analysis, visualization, and impact comparison with Phase 1. </w:t>
      </w:r>
    </w:p>
    <w:p w:rsidR="00225D3D" w:rsidRDefault="00957CDC">
      <w:pPr>
        <w:spacing w:after="151" w:line="259" w:lineRule="auto"/>
        <w:ind w:left="100" w:firstLine="0"/>
      </w:pPr>
      <w:r>
        <w:rPr>
          <w:rFonts w:ascii="Calibri" w:eastAsia="Calibri" w:hAnsi="Calibri" w:cs="Calibri"/>
          <w:noProof/>
          <w:sz w:val="22"/>
        </w:rPr>
        <mc:AlternateContent>
          <mc:Choice Requires="wpg">
            <w:drawing>
              <wp:inline distT="0" distB="0" distL="0" distR="0">
                <wp:extent cx="5410200" cy="2737104"/>
                <wp:effectExtent l="0" t="0" r="0" b="0"/>
                <wp:docPr id="5360" name="Group 5360"/>
                <wp:cNvGraphicFramePr/>
                <a:graphic xmlns:a="http://schemas.openxmlformats.org/drawingml/2006/main">
                  <a:graphicData uri="http://schemas.microsoft.com/office/word/2010/wordprocessingGroup">
                    <wpg:wgp>
                      <wpg:cNvGrpSpPr/>
                      <wpg:grpSpPr>
                        <a:xfrm>
                          <a:off x="0" y="0"/>
                          <a:ext cx="5410200" cy="2737104"/>
                          <a:chOff x="0" y="0"/>
                          <a:chExt cx="5410200" cy="2737104"/>
                        </a:xfrm>
                      </wpg:grpSpPr>
                      <wps:wsp>
                        <wps:cNvPr id="281" name="Shape 281"/>
                        <wps:cNvSpPr/>
                        <wps:spPr>
                          <a:xfrm>
                            <a:off x="0" y="0"/>
                            <a:ext cx="5410200" cy="2737104"/>
                          </a:xfrm>
                          <a:custGeom>
                            <a:avLst/>
                            <a:gdLst/>
                            <a:ahLst/>
                            <a:cxnLst/>
                            <a:rect l="0" t="0" r="0" b="0"/>
                            <a:pathLst>
                              <a:path w="5410200" h="2737104">
                                <a:moveTo>
                                  <a:pt x="0" y="2737104"/>
                                </a:moveTo>
                                <a:lnTo>
                                  <a:pt x="5410200" y="2737104"/>
                                </a:lnTo>
                                <a:lnTo>
                                  <a:pt x="5410200"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282" name="Rectangle 282"/>
                        <wps:cNvSpPr/>
                        <wps:spPr>
                          <a:xfrm>
                            <a:off x="5361178" y="2578389"/>
                            <a:ext cx="41024" cy="186477"/>
                          </a:xfrm>
                          <a:prstGeom prst="rect">
                            <a:avLst/>
                          </a:prstGeom>
                          <a:ln>
                            <a:noFill/>
                          </a:ln>
                        </wps:spPr>
                        <wps:txbx>
                          <w:txbxContent>
                            <w:p w:rsidR="00225D3D" w:rsidRDefault="00957CDC">
                              <w:pPr>
                                <w:spacing w:after="160" w:line="259" w:lineRule="auto"/>
                                <w:ind w:left="0" w:firstLine="0"/>
                              </w:pPr>
                              <w:r>
                                <w:rPr>
                                  <w:rFonts w:ascii="Cambria" w:eastAsia="Cambria" w:hAnsi="Cambria" w:cs="Cambria"/>
                                  <w:sz w:val="22"/>
                                </w:rPr>
                                <w:t xml:space="preserve"> </w:t>
                              </w:r>
                            </w:p>
                          </w:txbxContent>
                        </wps:txbx>
                        <wps:bodyPr horzOverflow="overflow" vert="horz" lIns="0" tIns="0" rIns="0" bIns="0" rtlCol="0">
                          <a:noAutofit/>
                        </wps:bodyPr>
                      </wps:wsp>
                      <pic:pic xmlns:pic="http://schemas.openxmlformats.org/drawingml/2006/picture">
                        <pic:nvPicPr>
                          <pic:cNvPr id="5587" name="Picture 5587"/>
                          <pic:cNvPicPr/>
                        </pic:nvPicPr>
                        <pic:blipFill>
                          <a:blip r:embed="rId11"/>
                          <a:stretch>
                            <a:fillRect/>
                          </a:stretch>
                        </pic:blipFill>
                        <pic:spPr>
                          <a:xfrm>
                            <a:off x="93472" y="48260"/>
                            <a:ext cx="5218177" cy="2639568"/>
                          </a:xfrm>
                          <a:prstGeom prst="rect">
                            <a:avLst/>
                          </a:prstGeom>
                        </pic:spPr>
                      </pic:pic>
                    </wpg:wgp>
                  </a:graphicData>
                </a:graphic>
              </wp:inline>
            </w:drawing>
          </mc:Choice>
          <mc:Fallback xmlns:a="http://schemas.openxmlformats.org/drawingml/2006/main">
            <w:pict>
              <v:group id="Group 5360" style="width:426pt;height:215.52pt;mso-position-horizontal-relative:char;mso-position-vertical-relative:line" coordsize="54102,27371">
                <v:shape id="Shape 281" style="position:absolute;width:54102;height:27371;left:0;top:0;" coordsize="5410200,2737104" path="m0,2737104l5410200,2737104l5410200,0l0,0x">
                  <v:stroke weight="0.72pt" endcap="flat" joinstyle="miter" miterlimit="10" on="true" color="#000000"/>
                  <v:fill on="false" color="#000000" opacity="0"/>
                </v:shape>
                <v:rect id="Rectangle 282" style="position:absolute;width:410;height:1864;left:53611;top:25783;" filled="f" stroked="f">
                  <v:textbox inset="0,0,0,0">
                    <w:txbxContent>
                      <w:p>
                        <w:pPr>
                          <w:spacing w:before="0" w:after="160" w:line="259" w:lineRule="auto"/>
                          <w:ind w:left="0" w:firstLine="0"/>
                        </w:pPr>
                        <w:r>
                          <w:rPr>
                            <w:rFonts w:cs="Cambria" w:hAnsi="Cambria" w:eastAsia="Cambria" w:ascii="Cambria"/>
                            <w:sz w:val="22"/>
                          </w:rPr>
                          <w:t xml:space="preserve"> </w:t>
                        </w:r>
                      </w:p>
                    </w:txbxContent>
                  </v:textbox>
                </v:rect>
                <v:shape id="Picture 5587" style="position:absolute;width:52181;height:26395;left:934;top:482;" filled="f">
                  <v:imagedata r:id="rId12"/>
                </v:shape>
              </v:group>
            </w:pict>
          </mc:Fallback>
        </mc:AlternateContent>
      </w:r>
    </w:p>
    <w:p w:rsidR="00225D3D" w:rsidRDefault="00957CDC">
      <w:pPr>
        <w:spacing w:after="213" w:line="259" w:lineRule="auto"/>
        <w:ind w:left="0" w:firstLine="0"/>
      </w:pPr>
      <w:r>
        <w:rPr>
          <w:rFonts w:ascii="Cambria" w:eastAsia="Cambria" w:hAnsi="Cambria" w:cs="Cambria"/>
          <w:sz w:val="22"/>
        </w:rPr>
        <w:t xml:space="preserve"> </w:t>
      </w:r>
    </w:p>
    <w:p w:rsidR="00225D3D" w:rsidRDefault="00957CDC">
      <w:pPr>
        <w:spacing w:after="213" w:line="259" w:lineRule="auto"/>
        <w:ind w:left="0" w:firstLine="0"/>
      </w:pPr>
      <w:r>
        <w:rPr>
          <w:rFonts w:ascii="Calibri" w:eastAsia="Calibri" w:hAnsi="Calibri" w:cs="Calibri"/>
          <w:b/>
          <w:color w:val="4F81BD"/>
          <w:sz w:val="22"/>
        </w:rPr>
        <w:t xml:space="preserve"> </w:t>
      </w:r>
    </w:p>
    <w:p w:rsidR="00225D3D" w:rsidRDefault="00957CDC">
      <w:pPr>
        <w:pStyle w:val="Heading2"/>
        <w:ind w:left="-5"/>
      </w:pPr>
      <w:r>
        <w:t xml:space="preserve">Identification of Underserved Communities </w:t>
      </w:r>
    </w:p>
    <w:p w:rsidR="00225D3D" w:rsidRDefault="00957CDC">
      <w:pPr>
        <w:ind w:left="-5"/>
      </w:pPr>
      <w:r>
        <w:t xml:space="preserve">Underserved communities </w:t>
      </w:r>
      <w:proofErr w:type="gramStart"/>
      <w:r>
        <w:t>were identified</w:t>
      </w:r>
      <w:proofErr w:type="gramEnd"/>
      <w:r>
        <w:t xml:space="preserve"> as those exceeding 3 km from the nearest facility, posing risks of delayed care and poorer health outcomes. In Phase 1, a majority fell into this category; Phase 2 reduced the number, but rural communities like </w:t>
      </w:r>
      <w:proofErr w:type="spellStart"/>
      <w:r>
        <w:t>Ninti</w:t>
      </w:r>
      <w:r>
        <w:t>ng</w:t>
      </w:r>
      <w:proofErr w:type="spellEnd"/>
      <w:r>
        <w:t xml:space="preserve"> and </w:t>
      </w:r>
      <w:proofErr w:type="spellStart"/>
      <w:r>
        <w:t>Kofiase</w:t>
      </w:r>
      <w:proofErr w:type="spellEnd"/>
      <w:r>
        <w:t xml:space="preserve"> remained underserved. </w:t>
      </w:r>
    </w:p>
    <w:p w:rsidR="00225D3D" w:rsidRDefault="00957CDC">
      <w:pPr>
        <w:spacing w:after="216" w:line="259" w:lineRule="auto"/>
        <w:ind w:left="0" w:firstLine="0"/>
      </w:pPr>
      <w:r>
        <w:rPr>
          <w:b/>
          <w:sz w:val="22"/>
        </w:rPr>
        <w:t xml:space="preserve"> </w:t>
      </w:r>
    </w:p>
    <w:p w:rsidR="00225D3D" w:rsidRDefault="00957CDC">
      <w:pPr>
        <w:pStyle w:val="Heading2"/>
        <w:ind w:left="-5"/>
      </w:pPr>
      <w:r>
        <w:t xml:space="preserve">Policy Implications </w:t>
      </w:r>
    </w:p>
    <w:p w:rsidR="00225D3D" w:rsidRDefault="00957CDC">
      <w:pPr>
        <w:ind w:left="-5"/>
      </w:pPr>
      <w:r>
        <w:t>The findings emphasize the importance of data-driven healthcare planning. Recommendations include prioritizing new facility construction, enhancing road infrastructure, and deploying mobile clini</w:t>
      </w:r>
      <w:r>
        <w:t xml:space="preserve">cs in underserved areas to foster equitable access. </w:t>
      </w:r>
    </w:p>
    <w:p w:rsidR="00225D3D" w:rsidRDefault="00957CDC">
      <w:pPr>
        <w:spacing w:after="256" w:line="259" w:lineRule="auto"/>
        <w:ind w:left="0" w:firstLine="0"/>
      </w:pPr>
      <w:r>
        <w:t xml:space="preserve"> </w:t>
      </w:r>
    </w:p>
    <w:p w:rsidR="00225D3D" w:rsidRDefault="00957CDC">
      <w:pPr>
        <w:spacing w:after="0" w:line="259" w:lineRule="auto"/>
        <w:ind w:left="0" w:firstLine="0"/>
      </w:pPr>
      <w:r>
        <w:t xml:space="preserve"> </w:t>
      </w:r>
    </w:p>
    <w:p w:rsidR="00225D3D" w:rsidRDefault="00957CDC">
      <w:pPr>
        <w:pStyle w:val="Heading1"/>
        <w:ind w:left="-5"/>
      </w:pPr>
      <w:r>
        <w:lastRenderedPageBreak/>
        <w:t xml:space="preserve">Data Refinement and Enhanced Analysis </w:t>
      </w:r>
    </w:p>
    <w:p w:rsidR="00225D3D" w:rsidRDefault="00957CDC">
      <w:pPr>
        <w:ind w:left="-5"/>
      </w:pPr>
      <w:r>
        <w:t>Initial evaluation revealed omissions of select private hospitals and clinics from the dataset. Recognizing the substantial contribution of private providers to</w:t>
      </w:r>
      <w:r>
        <w:t xml:space="preserve"> healthcare delivery, this limitation posed risks to analytical accuracy. </w:t>
      </w:r>
    </w:p>
    <w:p w:rsidR="00225D3D" w:rsidRDefault="00957CDC">
      <w:pPr>
        <w:ind w:left="-5"/>
      </w:pPr>
      <w:r>
        <w:t>The second phase of analysis followed the same methodological framework as the initial assessment, with the key difference being the inclusion of private hospitals, private clinics,</w:t>
      </w:r>
      <w:r>
        <w:t xml:space="preserve"> and CHPS compounds to enhance data completeness and analytical accuracy. </w:t>
      </w:r>
    </w:p>
    <w:p w:rsidR="00225D3D" w:rsidRDefault="00957CDC">
      <w:pPr>
        <w:ind w:left="-5"/>
      </w:pPr>
      <w:r>
        <w:t xml:space="preserve">This subsequent phase yielded a more exhaustive depiction of service distribution. The revised analysis afforded greater precision in community classification, thereby facilitating robust planning and resource allocation. </w:t>
      </w:r>
    </w:p>
    <w:p w:rsidR="00225D3D" w:rsidRDefault="00957CDC">
      <w:pPr>
        <w:ind w:left="-5"/>
      </w:pPr>
      <w:r>
        <w:t>The initial healthcare facility d</w:t>
      </w:r>
      <w:r>
        <w:t xml:space="preserve">ataset, obtained via </w:t>
      </w:r>
      <w:proofErr w:type="spellStart"/>
      <w:r>
        <w:t>QuickOSM</w:t>
      </w:r>
      <w:proofErr w:type="spellEnd"/>
      <w:r>
        <w:t xml:space="preserve"> queries in QGIS (using tags such as amenity=hospital, amenity=clinic, and healthcare=*), primarily captured public facilities within Mampong Municipality. However, these queries yielded limited or no results for additional pri</w:t>
      </w:r>
      <w:r>
        <w:t xml:space="preserve">vate hospitals, private clinics, and Community-based Health Planning and Services (CHPS) compounds. This reflects known limitations in OpenStreetMap coverage for private and community-level health facilities in rural and </w:t>
      </w:r>
      <w:proofErr w:type="spellStart"/>
      <w:r>
        <w:t>peri</w:t>
      </w:r>
      <w:proofErr w:type="spellEnd"/>
      <w:r>
        <w:t xml:space="preserve">-urban areas of Ghana. </w:t>
      </w:r>
    </w:p>
    <w:p w:rsidR="00225D3D" w:rsidRDefault="00957CDC">
      <w:pPr>
        <w:ind w:left="-5"/>
      </w:pPr>
      <w:r>
        <w:t>To over</w:t>
      </w:r>
      <w:r>
        <w:t xml:space="preserve">come this data gap and achieve a more comprehensive representation of healthcare services, Phase 2 involved manual digitization of the missing facilities. Private hospitals, private clinics, and CHPS compounds </w:t>
      </w:r>
      <w:proofErr w:type="gramStart"/>
      <w:r>
        <w:t>were identified</w:t>
      </w:r>
      <w:proofErr w:type="gramEnd"/>
      <w:r>
        <w:t xml:space="preserve"> from secondary sources, includ</w:t>
      </w:r>
      <w:r>
        <w:t xml:space="preserve">ing municipal health directories and local knowledge. Facility locations </w:t>
      </w:r>
      <w:proofErr w:type="gramStart"/>
      <w:r>
        <w:t>were precisely digitized</w:t>
      </w:r>
      <w:proofErr w:type="gramEnd"/>
      <w:r>
        <w:t xml:space="preserve"> in QGIS using Google Maps as a </w:t>
      </w:r>
      <w:proofErr w:type="spellStart"/>
      <w:r>
        <w:t>basemap</w:t>
      </w:r>
      <w:proofErr w:type="spellEnd"/>
      <w:r>
        <w:t xml:space="preserve"> layer, which provided detailed road networks, place labels, and health facility icons to guide accurate point placement</w:t>
      </w:r>
      <w:r>
        <w:t xml:space="preserve">. </w:t>
      </w:r>
    </w:p>
    <w:p w:rsidR="00225D3D" w:rsidRDefault="00957CDC">
      <w:pPr>
        <w:ind w:left="-5"/>
      </w:pPr>
      <w:r>
        <w:t xml:space="preserve">The manually added facilities included: </w:t>
      </w:r>
    </w:p>
    <w:p w:rsidR="00225D3D" w:rsidRDefault="00957CDC">
      <w:pPr>
        <w:numPr>
          <w:ilvl w:val="0"/>
          <w:numId w:val="1"/>
        </w:numPr>
        <w:spacing w:after="15"/>
        <w:ind w:hanging="360"/>
      </w:pPr>
      <w:r>
        <w:rPr>
          <w:rFonts w:ascii="Cambria" w:eastAsia="Cambria" w:hAnsi="Cambria" w:cs="Cambria"/>
          <w:sz w:val="22"/>
        </w:rPr>
        <w:t xml:space="preserve">Quality Health Care Clinic (Private) </w:t>
      </w:r>
    </w:p>
    <w:p w:rsidR="00225D3D" w:rsidRDefault="00957CDC">
      <w:pPr>
        <w:numPr>
          <w:ilvl w:val="0"/>
          <w:numId w:val="1"/>
        </w:numPr>
        <w:spacing w:after="15"/>
        <w:ind w:hanging="360"/>
      </w:pPr>
      <w:r>
        <w:rPr>
          <w:rFonts w:ascii="Cambria" w:eastAsia="Cambria" w:hAnsi="Cambria" w:cs="Cambria"/>
          <w:sz w:val="22"/>
        </w:rPr>
        <w:t xml:space="preserve">Calvary Hospital (Private/Mission) </w:t>
      </w:r>
    </w:p>
    <w:p w:rsidR="00225D3D" w:rsidRDefault="00957CDC">
      <w:pPr>
        <w:numPr>
          <w:ilvl w:val="0"/>
          <w:numId w:val="1"/>
        </w:numPr>
        <w:spacing w:after="15"/>
        <w:ind w:hanging="360"/>
      </w:pPr>
      <w:proofErr w:type="spellStart"/>
      <w:r>
        <w:rPr>
          <w:rFonts w:ascii="Cambria" w:eastAsia="Cambria" w:hAnsi="Cambria" w:cs="Cambria"/>
          <w:sz w:val="22"/>
        </w:rPr>
        <w:t>Philipa</w:t>
      </w:r>
      <w:proofErr w:type="spellEnd"/>
      <w:r>
        <w:rPr>
          <w:rFonts w:ascii="Cambria" w:eastAsia="Cambria" w:hAnsi="Cambria" w:cs="Cambria"/>
          <w:sz w:val="22"/>
        </w:rPr>
        <w:t xml:space="preserve"> Maternity Home (Private) </w:t>
      </w:r>
    </w:p>
    <w:p w:rsidR="00225D3D" w:rsidRDefault="00957CDC">
      <w:pPr>
        <w:numPr>
          <w:ilvl w:val="0"/>
          <w:numId w:val="1"/>
        </w:numPr>
        <w:spacing w:after="15"/>
        <w:ind w:hanging="360"/>
      </w:pPr>
      <w:proofErr w:type="spellStart"/>
      <w:r>
        <w:rPr>
          <w:rFonts w:ascii="Cambria" w:eastAsia="Cambria" w:hAnsi="Cambria" w:cs="Cambria"/>
          <w:sz w:val="22"/>
        </w:rPr>
        <w:t>Boanim</w:t>
      </w:r>
      <w:proofErr w:type="spellEnd"/>
      <w:r>
        <w:rPr>
          <w:rFonts w:ascii="Cambria" w:eastAsia="Cambria" w:hAnsi="Cambria" w:cs="Cambria"/>
          <w:sz w:val="22"/>
        </w:rPr>
        <w:t xml:space="preserve"> Health Center (Public) </w:t>
      </w:r>
    </w:p>
    <w:p w:rsidR="00225D3D" w:rsidRDefault="00957CDC">
      <w:pPr>
        <w:numPr>
          <w:ilvl w:val="0"/>
          <w:numId w:val="1"/>
        </w:numPr>
        <w:spacing w:after="15"/>
        <w:ind w:hanging="360"/>
      </w:pPr>
      <w:r>
        <w:rPr>
          <w:rFonts w:ascii="Cambria" w:eastAsia="Cambria" w:hAnsi="Cambria" w:cs="Cambria"/>
          <w:sz w:val="22"/>
        </w:rPr>
        <w:t xml:space="preserve">Mampong Maternity Hospital (Public) </w:t>
      </w:r>
    </w:p>
    <w:p w:rsidR="00225D3D" w:rsidRDefault="00957CDC">
      <w:pPr>
        <w:numPr>
          <w:ilvl w:val="0"/>
          <w:numId w:val="1"/>
        </w:numPr>
        <w:spacing w:after="15"/>
        <w:ind w:hanging="360"/>
      </w:pPr>
      <w:proofErr w:type="spellStart"/>
      <w:r>
        <w:rPr>
          <w:rFonts w:ascii="Cambria" w:eastAsia="Cambria" w:hAnsi="Cambria" w:cs="Cambria"/>
          <w:sz w:val="22"/>
        </w:rPr>
        <w:t>Ninting</w:t>
      </w:r>
      <w:proofErr w:type="spellEnd"/>
      <w:r>
        <w:rPr>
          <w:rFonts w:ascii="Cambria" w:eastAsia="Cambria" w:hAnsi="Cambria" w:cs="Cambria"/>
          <w:sz w:val="22"/>
        </w:rPr>
        <w:t xml:space="preserve"> Traditional Stroke Center (T</w:t>
      </w:r>
      <w:r>
        <w:rPr>
          <w:rFonts w:ascii="Cambria" w:eastAsia="Cambria" w:hAnsi="Cambria" w:cs="Cambria"/>
          <w:sz w:val="22"/>
        </w:rPr>
        <w:t xml:space="preserve">raditional) </w:t>
      </w:r>
    </w:p>
    <w:p w:rsidR="00225D3D" w:rsidRDefault="00957CDC">
      <w:pPr>
        <w:numPr>
          <w:ilvl w:val="0"/>
          <w:numId w:val="1"/>
        </w:numPr>
        <w:spacing w:after="15"/>
        <w:ind w:hanging="360"/>
      </w:pPr>
      <w:proofErr w:type="spellStart"/>
      <w:r>
        <w:rPr>
          <w:rFonts w:ascii="Cambria" w:eastAsia="Cambria" w:hAnsi="Cambria" w:cs="Cambria"/>
          <w:sz w:val="22"/>
        </w:rPr>
        <w:t>Christaa</w:t>
      </w:r>
      <w:proofErr w:type="spellEnd"/>
      <w:r>
        <w:rPr>
          <w:rFonts w:ascii="Cambria" w:eastAsia="Cambria" w:hAnsi="Cambria" w:cs="Cambria"/>
          <w:sz w:val="22"/>
        </w:rPr>
        <w:t xml:space="preserve"> Mission Clinic (Private/Mission) </w:t>
      </w:r>
    </w:p>
    <w:p w:rsidR="00225D3D" w:rsidRDefault="00957CDC">
      <w:pPr>
        <w:numPr>
          <w:ilvl w:val="0"/>
          <w:numId w:val="1"/>
        </w:numPr>
        <w:spacing w:after="269"/>
        <w:ind w:hanging="360"/>
      </w:pPr>
      <w:r>
        <w:rPr>
          <w:rFonts w:ascii="Cambria" w:eastAsia="Cambria" w:hAnsi="Cambria" w:cs="Cambria"/>
          <w:sz w:val="22"/>
        </w:rPr>
        <w:t>Selected CHPS compounds in rural communities (</w:t>
      </w:r>
      <w:proofErr w:type="spellStart"/>
      <w:r>
        <w:rPr>
          <w:rFonts w:ascii="Cambria" w:eastAsia="Cambria" w:hAnsi="Cambria" w:cs="Cambria"/>
          <w:sz w:val="22"/>
        </w:rPr>
        <w:t>Krobo</w:t>
      </w:r>
      <w:proofErr w:type="spellEnd"/>
      <w:r>
        <w:rPr>
          <w:rFonts w:ascii="Cambria" w:eastAsia="Cambria" w:hAnsi="Cambria" w:cs="Cambria"/>
          <w:sz w:val="22"/>
        </w:rPr>
        <w:t xml:space="preserve">) </w:t>
      </w:r>
    </w:p>
    <w:p w:rsidR="00225D3D" w:rsidRDefault="00957CDC">
      <w:pPr>
        <w:ind w:left="-5"/>
      </w:pPr>
      <w:r>
        <w:t>This manual enrichment process significantly improved dataset completeness, enabling a more realistic assessment of healthcare accessibility and h</w:t>
      </w:r>
      <w:r>
        <w:t xml:space="preserve">ighlighting the vital role of private providers in urban areas and CHPS compounds in rural communities. </w:t>
      </w:r>
    </w:p>
    <w:p w:rsidR="00225D3D" w:rsidRDefault="00957CDC">
      <w:pPr>
        <w:spacing w:after="0" w:line="259" w:lineRule="auto"/>
        <w:ind w:left="0" w:firstLine="0"/>
      </w:pPr>
      <w:r>
        <w:rPr>
          <w:rFonts w:ascii="Cambria" w:eastAsia="Cambria" w:hAnsi="Cambria" w:cs="Cambria"/>
          <w:sz w:val="22"/>
        </w:rPr>
        <w:t xml:space="preserve"> </w:t>
      </w:r>
    </w:p>
    <w:p w:rsidR="00225D3D" w:rsidRDefault="00957CDC">
      <w:pPr>
        <w:pStyle w:val="Heading2"/>
        <w:ind w:left="-5"/>
      </w:pPr>
      <w:r>
        <w:lastRenderedPageBreak/>
        <w:t xml:space="preserve">Conclusion and Recommendations </w:t>
      </w:r>
    </w:p>
    <w:p w:rsidR="00225D3D" w:rsidRDefault="00957CDC">
      <w:pPr>
        <w:ind w:left="-5"/>
      </w:pPr>
      <w:r>
        <w:t>This study highlights the power of Geographic Information Systems (GIS) in uncovering spatial inequalities in healthcare accessibility within Mampong Municipality. The Phase 1 analysis, based solely on Health facilities captured from OpenStreetMap, reveale</w:t>
      </w:r>
      <w:r>
        <w:t xml:space="preserve">d widespread poor access, with the majority of communities located more than 3 km from the nearest facility. Rural and </w:t>
      </w:r>
      <w:proofErr w:type="spellStart"/>
      <w:r>
        <w:t>peri</w:t>
      </w:r>
      <w:proofErr w:type="spellEnd"/>
      <w:r>
        <w:t xml:space="preserve">-urban areas were particularly disadvantaged, illustrating significant gaps in coverage under the </w:t>
      </w:r>
      <w:proofErr w:type="gramStart"/>
      <w:r>
        <w:t>4</w:t>
      </w:r>
      <w:proofErr w:type="gramEnd"/>
      <w:r>
        <w:t xml:space="preserve"> Captured Health Facilities only s</w:t>
      </w:r>
      <w:r>
        <w:t xml:space="preserve">cenario. </w:t>
      </w:r>
    </w:p>
    <w:p w:rsidR="00225D3D" w:rsidRDefault="00957CDC">
      <w:pPr>
        <w:ind w:left="-5"/>
      </w:pPr>
      <w:r>
        <w:t>The Phase 2 enrichment, through manual digitization of private clinics, mission hospitals, and CHPS compounds, demonstrated modest but meaningful improvements. Some communities shifted from poor to moderate access, particularly those near newly a</w:t>
      </w:r>
      <w:r>
        <w:t xml:space="preserve">dded facilities, underscoring the critical role of private and community-based providers in bridging gaps. However, poor accessibility persisted in many rural areas, indicating that current facility distribution remains insufficient for equitable coverage </w:t>
      </w:r>
      <w:r>
        <w:t xml:space="preserve">across the municipality. </w:t>
      </w:r>
    </w:p>
    <w:p w:rsidR="00225D3D" w:rsidRDefault="00957CDC">
      <w:pPr>
        <w:ind w:left="-5"/>
      </w:pPr>
      <w:r>
        <w:t xml:space="preserve">These findings emphasize that while private sector contributions enhance urban and semi-urban access, targeted interventions </w:t>
      </w:r>
      <w:proofErr w:type="gramStart"/>
      <w:r>
        <w:t>are still needed</w:t>
      </w:r>
      <w:proofErr w:type="gramEnd"/>
      <w:r>
        <w:t xml:space="preserve"> in peripheral zones to achieve universal healthcare goals aligned with Sustainable Devel</w:t>
      </w:r>
      <w:r>
        <w:t xml:space="preserve">opment Goal 3 (Good Health and Well-being). </w:t>
      </w:r>
    </w:p>
    <w:p w:rsidR="00225D3D" w:rsidRDefault="00957CDC">
      <w:pPr>
        <w:pStyle w:val="Heading1"/>
        <w:ind w:left="-5"/>
      </w:pPr>
      <w:r>
        <w:t>Recommendations</w:t>
      </w:r>
      <w:r>
        <w:rPr>
          <w:b w:val="0"/>
        </w:rPr>
        <w:t xml:space="preserve"> </w:t>
      </w:r>
    </w:p>
    <w:p w:rsidR="00225D3D" w:rsidRDefault="00957CDC">
      <w:pPr>
        <w:numPr>
          <w:ilvl w:val="0"/>
          <w:numId w:val="2"/>
        </w:numPr>
        <w:spacing w:after="15"/>
        <w:ind w:hanging="360"/>
      </w:pPr>
      <w:r>
        <w:rPr>
          <w:rFonts w:ascii="Cambria" w:eastAsia="Cambria" w:hAnsi="Cambria" w:cs="Cambria"/>
          <w:b/>
          <w:sz w:val="22"/>
        </w:rPr>
        <w:t>Prioritize Facility Expansion in Underserved Areas</w:t>
      </w:r>
      <w:r>
        <w:rPr>
          <w:rFonts w:ascii="Cambria" w:eastAsia="Cambria" w:hAnsi="Cambria" w:cs="Cambria"/>
          <w:sz w:val="22"/>
        </w:rPr>
        <w:t>: The Municipal Assembly and Ghana Health Service should establish new CHPS compounds or upgrade existing health posts in persistently underserv</w:t>
      </w:r>
      <w:r>
        <w:rPr>
          <w:rFonts w:ascii="Cambria" w:eastAsia="Cambria" w:hAnsi="Cambria" w:cs="Cambria"/>
          <w:sz w:val="22"/>
        </w:rPr>
        <w:t xml:space="preserve">ed communities such as </w:t>
      </w:r>
      <w:proofErr w:type="spellStart"/>
      <w:r>
        <w:rPr>
          <w:rFonts w:ascii="Cambria" w:eastAsia="Cambria" w:hAnsi="Cambria" w:cs="Cambria"/>
          <w:sz w:val="22"/>
        </w:rPr>
        <w:t>Ninting</w:t>
      </w:r>
      <w:proofErr w:type="spellEnd"/>
      <w:r>
        <w:rPr>
          <w:rFonts w:ascii="Cambria" w:eastAsia="Cambria" w:hAnsi="Cambria" w:cs="Cambria"/>
          <w:sz w:val="22"/>
        </w:rPr>
        <w:t xml:space="preserve">, </w:t>
      </w:r>
      <w:proofErr w:type="spellStart"/>
      <w:r>
        <w:rPr>
          <w:rFonts w:ascii="Cambria" w:eastAsia="Cambria" w:hAnsi="Cambria" w:cs="Cambria"/>
          <w:sz w:val="22"/>
        </w:rPr>
        <w:t>Kofiase</w:t>
      </w:r>
      <w:proofErr w:type="spellEnd"/>
      <w:r>
        <w:rPr>
          <w:rFonts w:ascii="Cambria" w:eastAsia="Cambria" w:hAnsi="Cambria" w:cs="Cambria"/>
          <w:sz w:val="22"/>
        </w:rPr>
        <w:t xml:space="preserve">, and other rural settlements identified in Phase 2. </w:t>
      </w:r>
    </w:p>
    <w:p w:rsidR="00225D3D" w:rsidRDefault="00957CDC">
      <w:pPr>
        <w:numPr>
          <w:ilvl w:val="0"/>
          <w:numId w:val="2"/>
        </w:numPr>
        <w:spacing w:after="15"/>
        <w:ind w:hanging="360"/>
      </w:pPr>
      <w:r>
        <w:rPr>
          <w:rFonts w:ascii="Cambria" w:eastAsia="Cambria" w:hAnsi="Cambria" w:cs="Cambria"/>
          <w:b/>
          <w:sz w:val="22"/>
        </w:rPr>
        <w:t>Integrate Private and Mission Facilities into Planning</w:t>
      </w:r>
      <w:r>
        <w:rPr>
          <w:rFonts w:ascii="Cambria" w:eastAsia="Cambria" w:hAnsi="Cambria" w:cs="Cambria"/>
          <w:sz w:val="22"/>
        </w:rPr>
        <w:t xml:space="preserve">: Formal partnerships with private and mission providers (e.g., Calvary Hospital, </w:t>
      </w:r>
      <w:proofErr w:type="spellStart"/>
      <w:r>
        <w:rPr>
          <w:rFonts w:ascii="Cambria" w:eastAsia="Cambria" w:hAnsi="Cambria" w:cs="Cambria"/>
          <w:sz w:val="22"/>
        </w:rPr>
        <w:t>Christaa</w:t>
      </w:r>
      <w:proofErr w:type="spellEnd"/>
      <w:r>
        <w:rPr>
          <w:rFonts w:ascii="Cambria" w:eastAsia="Cambria" w:hAnsi="Cambria" w:cs="Cambria"/>
          <w:sz w:val="22"/>
        </w:rPr>
        <w:t xml:space="preserve"> Mission Clinic) </w:t>
      </w:r>
      <w:proofErr w:type="gramStart"/>
      <w:r>
        <w:rPr>
          <w:rFonts w:ascii="Cambria" w:eastAsia="Cambria" w:hAnsi="Cambria" w:cs="Cambria"/>
          <w:sz w:val="22"/>
        </w:rPr>
        <w:t>sh</w:t>
      </w:r>
      <w:r>
        <w:rPr>
          <w:rFonts w:ascii="Cambria" w:eastAsia="Cambria" w:hAnsi="Cambria" w:cs="Cambria"/>
          <w:sz w:val="22"/>
        </w:rPr>
        <w:t>ould be strengthened</w:t>
      </w:r>
      <w:proofErr w:type="gramEnd"/>
      <w:r>
        <w:rPr>
          <w:rFonts w:ascii="Cambria" w:eastAsia="Cambria" w:hAnsi="Cambria" w:cs="Cambria"/>
          <w:sz w:val="22"/>
        </w:rPr>
        <w:t xml:space="preserve"> to leverage their role in improving accessibility. </w:t>
      </w:r>
    </w:p>
    <w:p w:rsidR="00225D3D" w:rsidRDefault="00957CDC">
      <w:pPr>
        <w:numPr>
          <w:ilvl w:val="0"/>
          <w:numId w:val="2"/>
        </w:numPr>
        <w:spacing w:after="15"/>
        <w:ind w:hanging="360"/>
      </w:pPr>
      <w:r>
        <w:rPr>
          <w:rFonts w:ascii="Cambria" w:eastAsia="Cambria" w:hAnsi="Cambria" w:cs="Cambria"/>
          <w:b/>
          <w:sz w:val="22"/>
        </w:rPr>
        <w:t>Improve Supporting Infrastructure</w:t>
      </w:r>
      <w:r>
        <w:rPr>
          <w:rFonts w:ascii="Cambria" w:eastAsia="Cambria" w:hAnsi="Cambria" w:cs="Cambria"/>
          <w:sz w:val="22"/>
        </w:rPr>
        <w:t>: Investments in road networks and transportation are essential to reduce effective travel distances, especially in areas where physical distance exce</w:t>
      </w:r>
      <w:r>
        <w:rPr>
          <w:rFonts w:ascii="Cambria" w:eastAsia="Cambria" w:hAnsi="Cambria" w:cs="Cambria"/>
          <w:sz w:val="22"/>
        </w:rPr>
        <w:t xml:space="preserve">eds 3 km. </w:t>
      </w:r>
    </w:p>
    <w:p w:rsidR="00225D3D" w:rsidRDefault="00957CDC">
      <w:pPr>
        <w:numPr>
          <w:ilvl w:val="0"/>
          <w:numId w:val="2"/>
        </w:numPr>
        <w:spacing w:after="15"/>
        <w:ind w:hanging="360"/>
      </w:pPr>
      <w:r>
        <w:rPr>
          <w:rFonts w:ascii="Cambria" w:eastAsia="Cambria" w:hAnsi="Cambria" w:cs="Cambria"/>
          <w:b/>
          <w:sz w:val="22"/>
        </w:rPr>
        <w:t>Institutionalize GIS in Health Planning</w:t>
      </w:r>
      <w:r>
        <w:rPr>
          <w:rFonts w:ascii="Cambria" w:eastAsia="Cambria" w:hAnsi="Cambria" w:cs="Cambria"/>
          <w:sz w:val="22"/>
        </w:rPr>
        <w:t xml:space="preserve">: The Municipal Assembly should adopt GIS tools for ongoing monitoring of healthcare accessibility, facility siting, and resource allocation to support evidence-based decision-making. </w:t>
      </w:r>
    </w:p>
    <w:p w:rsidR="00225D3D" w:rsidRDefault="00957CDC">
      <w:pPr>
        <w:numPr>
          <w:ilvl w:val="0"/>
          <w:numId w:val="2"/>
        </w:numPr>
        <w:spacing w:after="279"/>
        <w:ind w:hanging="360"/>
      </w:pPr>
      <w:r>
        <w:rPr>
          <w:rFonts w:ascii="Cambria" w:eastAsia="Cambria" w:hAnsi="Cambria" w:cs="Cambria"/>
          <w:b/>
          <w:sz w:val="22"/>
        </w:rPr>
        <w:t>Conduct Regular Data Updates</w:t>
      </w:r>
      <w:r>
        <w:rPr>
          <w:rFonts w:ascii="Cambria" w:eastAsia="Cambria" w:hAnsi="Cambria" w:cs="Cambria"/>
          <w:sz w:val="22"/>
        </w:rPr>
        <w:t>: Given the limitations of OpenStreetMap in capturing private and community-level facilities, periodic ground-</w:t>
      </w:r>
      <w:proofErr w:type="spellStart"/>
      <w:r>
        <w:rPr>
          <w:rFonts w:ascii="Cambria" w:eastAsia="Cambria" w:hAnsi="Cambria" w:cs="Cambria"/>
          <w:sz w:val="22"/>
        </w:rPr>
        <w:t>truthing</w:t>
      </w:r>
      <w:proofErr w:type="spellEnd"/>
      <w:r>
        <w:rPr>
          <w:rFonts w:ascii="Cambria" w:eastAsia="Cambria" w:hAnsi="Cambria" w:cs="Cambria"/>
          <w:sz w:val="22"/>
        </w:rPr>
        <w:t xml:space="preserve"> and digitization efforts should be undertaken to maintain accurate datasets. </w:t>
      </w:r>
    </w:p>
    <w:p w:rsidR="00225D3D" w:rsidRDefault="00957CDC">
      <w:pPr>
        <w:ind w:left="-5"/>
      </w:pPr>
      <w:r>
        <w:t>By implementing these recommend</w:t>
      </w:r>
      <w:r>
        <w:t xml:space="preserve">ations, Mampong Municipality can move </w:t>
      </w:r>
      <w:proofErr w:type="gramStart"/>
      <w:r>
        <w:t>toward more equitable healthcare delivery,</w:t>
      </w:r>
      <w:proofErr w:type="gramEnd"/>
      <w:r>
        <w:t xml:space="preserve"> reducing disparities and improving health outcomes for all residents. </w:t>
      </w:r>
    </w:p>
    <w:p w:rsidR="00225D3D" w:rsidRDefault="00957CDC">
      <w:pPr>
        <w:spacing w:after="0" w:line="259" w:lineRule="auto"/>
        <w:ind w:left="0" w:firstLine="0"/>
      </w:pPr>
      <w:r>
        <w:rPr>
          <w:rFonts w:ascii="Cambria" w:eastAsia="Cambria" w:hAnsi="Cambria" w:cs="Cambria"/>
          <w:sz w:val="22"/>
        </w:rPr>
        <w:t xml:space="preserve"> </w:t>
      </w:r>
    </w:p>
    <w:p w:rsidR="00225D3D" w:rsidRDefault="00957CDC">
      <w:pPr>
        <w:pStyle w:val="Heading1"/>
        <w:ind w:left="-5"/>
      </w:pPr>
      <w:r>
        <w:lastRenderedPageBreak/>
        <w:t>References</w:t>
      </w:r>
      <w:r>
        <w:rPr>
          <w:b w:val="0"/>
        </w:rPr>
        <w:t xml:space="preserve"> </w:t>
      </w:r>
    </w:p>
    <w:p w:rsidR="00225D3D" w:rsidRDefault="00957CDC">
      <w:pPr>
        <w:ind w:left="-5"/>
      </w:pPr>
      <w:r>
        <w:t>Ghana Health Service. (</w:t>
      </w:r>
      <w:proofErr w:type="spellStart"/>
      <w:r>
        <w:t>n.d.</w:t>
      </w:r>
      <w:proofErr w:type="spellEnd"/>
      <w:r>
        <w:t xml:space="preserve">). Community-based Health Planning and Services (CHPS) Policy. </w:t>
      </w:r>
      <w:r>
        <w:t xml:space="preserve">Ministry of Health, Ghana. </w:t>
      </w:r>
    </w:p>
    <w:p w:rsidR="00225D3D" w:rsidRDefault="00957CDC">
      <w:pPr>
        <w:spacing w:after="12"/>
        <w:ind w:left="-5"/>
      </w:pPr>
      <w:r>
        <w:t xml:space="preserve">Global Database on Administrative Areas (GADM). (2023). GADM version 4.1. </w:t>
      </w:r>
    </w:p>
    <w:p w:rsidR="00225D3D" w:rsidRDefault="00957CDC">
      <w:pPr>
        <w:spacing w:after="256" w:line="259" w:lineRule="auto"/>
        <w:ind w:left="0" w:firstLine="0"/>
      </w:pPr>
      <w:hyperlink r:id="rId13">
        <w:r>
          <w:rPr>
            <w:color w:val="0000FF"/>
            <w:u w:val="single" w:color="0000FF"/>
          </w:rPr>
          <w:t>https://gadm.org</w:t>
        </w:r>
      </w:hyperlink>
      <w:hyperlink r:id="rId14">
        <w:r>
          <w:t xml:space="preserve"> </w:t>
        </w:r>
      </w:hyperlink>
    </w:p>
    <w:p w:rsidR="00225D3D" w:rsidRDefault="00957CDC">
      <w:pPr>
        <w:ind w:left="-5"/>
      </w:pPr>
      <w:r>
        <w:t>OpenStreetMap contributor</w:t>
      </w:r>
      <w:r>
        <w:t xml:space="preserve">s. (2025). OpenStreetMap data extracts for Ghana. </w:t>
      </w:r>
      <w:hyperlink r:id="rId15">
        <w:r>
          <w:rPr>
            <w:color w:val="0000FF"/>
            <w:u w:val="single" w:color="0000FF"/>
          </w:rPr>
          <w:t>https://www.openstreetmap.org</w:t>
        </w:r>
      </w:hyperlink>
      <w:hyperlink r:id="rId16">
        <w:r>
          <w:t xml:space="preserve"> </w:t>
        </w:r>
      </w:hyperlink>
    </w:p>
    <w:p w:rsidR="00225D3D" w:rsidRDefault="00957CDC">
      <w:pPr>
        <w:ind w:left="-5"/>
      </w:pPr>
      <w:r>
        <w:t>QGIS Development Team. (2025). QGIS Geo</w:t>
      </w:r>
      <w:r>
        <w:t xml:space="preserve">graphic Information System. Open Source Geospatial Foundation. </w:t>
      </w:r>
      <w:hyperlink r:id="rId17">
        <w:r>
          <w:rPr>
            <w:color w:val="0000FF"/>
            <w:u w:val="single" w:color="0000FF"/>
          </w:rPr>
          <w:t>https://qgis.org</w:t>
        </w:r>
      </w:hyperlink>
      <w:hyperlink r:id="rId18">
        <w:r>
          <w:t xml:space="preserve"> </w:t>
        </w:r>
      </w:hyperlink>
    </w:p>
    <w:p w:rsidR="00225D3D" w:rsidRDefault="00957CDC">
      <w:pPr>
        <w:ind w:left="-5"/>
      </w:pPr>
      <w:r>
        <w:t>United Nations. (2015). Sustainable Development Goals: Goal 3 – G</w:t>
      </w:r>
      <w:r>
        <w:t xml:space="preserve">ood Health and Well-being. </w:t>
      </w:r>
      <w:hyperlink r:id="rId19">
        <w:r>
          <w:rPr>
            <w:color w:val="0000FF"/>
            <w:u w:val="single" w:color="0000FF"/>
          </w:rPr>
          <w:t>https://sdgs.un.org/goals/goal3</w:t>
        </w:r>
      </w:hyperlink>
      <w:hyperlink r:id="rId20">
        <w:r>
          <w:t xml:space="preserve"> </w:t>
        </w:r>
      </w:hyperlink>
    </w:p>
    <w:p w:rsidR="00225D3D" w:rsidRDefault="00957CDC">
      <w:pPr>
        <w:spacing w:after="0" w:line="259" w:lineRule="auto"/>
        <w:ind w:left="0" w:firstLine="0"/>
      </w:pPr>
      <w:r>
        <w:rPr>
          <w:rFonts w:ascii="Cambria" w:eastAsia="Cambria" w:hAnsi="Cambria" w:cs="Cambria"/>
          <w:sz w:val="22"/>
        </w:rPr>
        <w:t xml:space="preserve"> </w:t>
      </w:r>
    </w:p>
    <w:sectPr w:rsidR="00225D3D">
      <w:pgSz w:w="12240" w:h="15840"/>
      <w:pgMar w:top="1443" w:right="1802" w:bottom="129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9B6FF1"/>
    <w:multiLevelType w:val="hybridMultilevel"/>
    <w:tmpl w:val="A16650B4"/>
    <w:lvl w:ilvl="0" w:tplc="7F2A0120">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CCBA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75EA7B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3E567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B4ED06A">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1CE876E">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1DE8B6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0143482">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FA0D6C">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B40C22"/>
    <w:multiLevelType w:val="hybridMultilevel"/>
    <w:tmpl w:val="47620E50"/>
    <w:lvl w:ilvl="0" w:tplc="578AA8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801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407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A93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2EB1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C499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0231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603E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227F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D3D"/>
    <w:rsid w:val="00225D3D"/>
    <w:rsid w:val="00957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D49D"/>
  <w15:docId w15:val="{55C39079-19DE-4442-B9C0-E009078A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7"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8" w:line="265" w:lineRule="auto"/>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08"/>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gadm.org/?referrer=grok.com" TargetMode="External"/><Relationship Id="rId18" Type="http://schemas.openxmlformats.org/officeDocument/2006/relationships/hyperlink" Target="https://qgis.org/?referrer=grok.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0.png"/><Relationship Id="rId17" Type="http://schemas.openxmlformats.org/officeDocument/2006/relationships/hyperlink" Target="https://qgis.org/?referrer=grok.com" TargetMode="External"/><Relationship Id="rId2" Type="http://schemas.openxmlformats.org/officeDocument/2006/relationships/styles" Target="styles.xml"/><Relationship Id="rId16" Type="http://schemas.openxmlformats.org/officeDocument/2006/relationships/hyperlink" Target="https://www.openstreetmap.org/?referrer=grok.com" TargetMode="External"/><Relationship Id="rId20" Type="http://schemas.openxmlformats.org/officeDocument/2006/relationships/hyperlink" Target="https://sdgs.un.org/goals/goal3?referrer=grok.com" TargetMode="Externa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openstreetmap.org/?referrer=grok.com" TargetMode="External"/><Relationship Id="rId10" Type="http://schemas.openxmlformats.org/officeDocument/2006/relationships/image" Target="media/image6.png"/><Relationship Id="rId19" Type="http://schemas.openxmlformats.org/officeDocument/2006/relationships/hyperlink" Target="https://sdgs.un.org/goals/goal3?referrer=grok.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adm.org/?referrer=grok.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1684</Words>
  <Characters>9600</Characters>
  <Application>Microsoft Office Word</Application>
  <DocSecurity>0</DocSecurity>
  <Lines>80</Lines>
  <Paragraphs>22</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Elabs LLC</cp:lastModifiedBy>
  <cp:revision>2</cp:revision>
  <cp:lastPrinted>2026-02-03T13:05:00Z</cp:lastPrinted>
  <dcterms:created xsi:type="dcterms:W3CDTF">2026-02-03T13:07:00Z</dcterms:created>
  <dcterms:modified xsi:type="dcterms:W3CDTF">2026-02-03T13:07:00Z</dcterms:modified>
</cp:coreProperties>
</file>