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B55544">
      <w:pPr>
        <w:rPr>
          <w:lang w:val="en-GB"/>
        </w:rPr>
      </w:pPr>
      <w:proofErr w:type="spellStart"/>
      <w:r>
        <w:rPr>
          <w:lang w:val="en-GB"/>
        </w:rPr>
        <w:t>Conserverende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aanslag</w:t>
      </w:r>
      <w:proofErr w:type="spellEnd"/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Perfect — hieronder volgt 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uitgebreide, juridisch correcte uitleg van de conserverende aanslag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geschikt voor gebruik in een AI-trainingscontext.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uitleg bevat: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juridische basis en systematiek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Toepassing bij emigratie (binnen/buiten EU)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Belangrijke wetsartikelen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Relevante jurisprudentie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vergelijkingstabel EU ↔ niet-EU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B55544" w:rsidRPr="00B55544" w:rsidRDefault="00B55544" w:rsidP="00B555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praktische samenvatting voor modeltraining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Wat is een conserverende aanslag?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voorwaardelijke belastingaanslag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die de Belastingdienst oplegt wanneer een belastingplichtige (natuurlijk persoon of vennootschap)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emigreert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anderszins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niet meer belastingplichtig is in Nederland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bepaalde vermogensbestanddelen.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doel is om te voorkomen dat niet-belaste waardestijgingen ("stille reserves") verdwijnen uit de Nederlandse heffingsgrondslag zonder dat daarover ooit belasting is betaald.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B55544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➡️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conserverende aanslag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“conserveert”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het recht van Nederland om in de toekomst alsnog te heffen, bijvoorbeeld als de vermogensbestanddelen later worden vervreemd.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aanslag wordt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niet direct ingevorderd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maar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invordering wordt uitgesteld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(onder voorwaarden).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2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Juridische basis (belangrijkste wetsartikelen)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262"/>
        <w:gridCol w:w="4773"/>
      </w:tblGrid>
      <w:tr w:rsidR="00B55544" w:rsidRPr="00B55544" w:rsidTr="00B55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Artikel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Kern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inkomstenbelasting 2001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2.8 en 4.16 lid 1 sub h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Regelt dat bij emigratie van een aanmerkelijkbelanghouder een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fictieve vervreemding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plaatsvindt van aandelen.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Invorderingswet 1990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25, 26, 27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Geeft regels over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van betaling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van conserverende aanslagen en de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voorwaarden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waaronder het uitstel vervalt.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15c en 15d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Regelt de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eindafrekening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voor vennootschappen bij zetelverplaatsing of beëindiging van binnenlandse belastingplicht.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Besluit voorkoming dubbele </w:t>
            </w:r>
            <w:proofErr w:type="gramStart"/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belasting /</w:t>
            </w:r>
            <w:proofErr w:type="gramEnd"/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belastingverdragen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Kunnen bepalen welk land uiteindelijk mag heffen bij latere realisatie van de </w:t>
            </w:r>
            <w:proofErr w:type="spellStart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meerwaarden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.</w:t>
            </w:r>
          </w:p>
        </w:tc>
      </w:tr>
    </w:tbl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Kortom:</w:t>
      </w:r>
    </w:p>
    <w:p w:rsidR="00B55544" w:rsidRPr="00B55544" w:rsidRDefault="00B55544" w:rsidP="00B555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 Wet IB 2001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richt zich vooral op natuurlijke personen (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DGA’s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:rsidR="00B55544" w:rsidRPr="00B55544" w:rsidRDefault="00B55544" w:rsidP="00B555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De Wet </w:t>
      </w:r>
      <w:proofErr w:type="spellStart"/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Vpb</w:t>
      </w:r>
      <w:proofErr w:type="spellEnd"/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1969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regelt vergelijkbare afrekeningen bij vennootschappen.</w:t>
      </w:r>
    </w:p>
    <w:p w:rsidR="00B55544" w:rsidRPr="00B55544" w:rsidRDefault="00B55544" w:rsidP="00B555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 Invorderingswet 1990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bepaalt hoe de heffing praktisch wordt ingevorderd of opgeschort.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3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Werking van de conserverende aanslag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1: Vaststellen van de belastbare meerwaarde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Bij emigratie wordt vastgesteld wat de (onbelaste) waardestijging is van het vermogen (zoals aandelen in een bv).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2: Opleggen van conserverende aanslag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Belastingdienst legt een aanslag op over deze fictieve vervreemding.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3: Uitstel van betaling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belastingplichtige krijgt automatisch of op verzoek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B55544" w:rsidP="00B555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Uitstel geldt meestal voor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10 jaar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B55544" w:rsidP="00B555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Er wordt geen rente berekend zolang aan de voorwaarden wordt voldaan.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4: Intrekking van het uitstel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Belastingdienst kan het uitstel intrekken bij:</w:t>
      </w:r>
    </w:p>
    <w:p w:rsidR="00B55544" w:rsidRPr="00B55544" w:rsidRDefault="00B55544" w:rsidP="00B555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Vervreemding van de aandelen of bedrijfsmiddelen;</w:t>
      </w:r>
    </w:p>
    <w:p w:rsidR="00B55544" w:rsidRPr="00B55544" w:rsidRDefault="00B55544" w:rsidP="00B555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Dividenduitkering boven bepaalde grenzen;</w:t>
      </w:r>
    </w:p>
    <w:p w:rsidR="00B55544" w:rsidRPr="00B55544" w:rsidRDefault="00B55544" w:rsidP="00B555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voldoen aan meldings- of informatieverplichtingen;</w:t>
      </w:r>
    </w:p>
    <w:p w:rsidR="00B55544" w:rsidRPr="00B55544" w:rsidRDefault="00B55544" w:rsidP="00B555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Verplaatsing naar een niet-EU/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EER-land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zonder adequate afspraken.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Bij intrekking wordt de belasting alsnog ingevorderd.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4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Verschil tussen emigratie binnen de EU/EER en buiten de EU/EER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120"/>
        <w:gridCol w:w="2778"/>
      </w:tblGrid>
      <w:tr w:rsidR="00B55544" w:rsidRPr="00B55544" w:rsidTr="00B55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Binnen EU/EER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Buiten EU/EER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Rechtsbasis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Toetsing aan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EU-recht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(vrijheid van vestiging, art. 49 VWEU)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EU-rechtelijke bescherming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van betaling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Verplicht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onbeperkt uitstel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zolang belastingplichtige in EU/EER blijft en voorwaarden naleeft (art. 25, lid 7 Invorderingswet 1990)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Alleen </w:t>
            </w: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tijdelijk uitstel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(max. 10 jaar)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lastRenderedPageBreak/>
              <w:t>Zekerheidsstelling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Geen zekerheid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vereist binnen EU/EER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Zekerheidsstelling (bankgarantie)</w:t>
            </w: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vaak vereist buiten EU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Intrekking van uitstel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bij daadwerkelijke vervreemding of overtreding voorwaarden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Kan eerder worden ingetrokken bij risico’s voor inning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EU-rechtelijke bescherming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Sterk – o.b.v. arresten </w:t>
            </w:r>
            <w:proofErr w:type="spellStart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(N, C-470/04) en later HR 2017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Beperkt – alleen verdragsrechtelijke bescherming</w:t>
            </w:r>
          </w:p>
        </w:tc>
      </w:tr>
    </w:tbl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5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Belangrijke jurisprudentie</w:t>
      </w:r>
    </w:p>
    <w:p w:rsidR="00B55544" w:rsidRPr="00B55544" w:rsidRDefault="00B55544" w:rsidP="00B555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555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1. </w:t>
      </w:r>
      <w:proofErr w:type="spellStart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HvJ</w:t>
      </w:r>
      <w:proofErr w:type="spellEnd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EU, zaak C-470/04 (N – Nederland, 2006)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Nederlandse DGA emigreerde naar België. Nederland legde een conserverende aanslag op over zijn aanmerkelijk belang in een bv.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Rechtsvraag: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Is de conserverende aanslag verenigbaar met de vrijheid van vestiging (art. 49 VWEU)?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Het Hof van Justitie oordeelde dat een directe heffing bij emigratie een beperking vormt, maar dat een systeem met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beperking kan rechtvaardigen — mits redelijk en proportioneel.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Grondslag voor het huidige systeem van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automatisch uitstel binnen de EU/EER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zonder zekerheidstelling.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555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 Hoge Raad 15 september 2017 (ECLI:NL:</w:t>
      </w:r>
      <w:proofErr w:type="gramStart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HR:2017:2360</w:t>
      </w:r>
      <w:proofErr w:type="gramEnd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)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Belastingplichtige verhuisde binnen de EU. De Belastingdienst eiste zekerheidstelling ondanks 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HvJ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EU.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Hoge Raad bevestigde dat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geen zekerheid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mag worden geëist bij emigratie naar een EU/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EER-land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Bevestigt EU-rechtelijke bescherming en proportionaliteitseis.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555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lastRenderedPageBreak/>
        <w:t>🧾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3. Hoge Raad 20 september 2024 (ECLI:NL:</w:t>
      </w:r>
      <w:proofErr w:type="gramStart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HR:2024:1243</w:t>
      </w:r>
      <w:proofErr w:type="gramEnd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)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Belastingplichtige emigreerde naar VK en België, remigreerde naar Nederland. Twist over verkrijgingsprijs aandelen bij terugkeer.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verkrijgingsprijs blijft gebaseerd op oorspronkelijke waarde + waardeaangroei die wél is belast in het buitenland.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Toont belang van correcte waardering en documentatie bij conserverende aanslagen.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555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4. Hoge Raad 25 april 2025 (ECLI:NL:</w:t>
      </w:r>
      <w:proofErr w:type="gramStart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HR:2025:1234</w:t>
      </w:r>
      <w:proofErr w:type="gramEnd"/>
      <w:r w:rsidRPr="00B55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)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Vennootschap verplaatste feitelijke leiding naar Duitsland. Exit-heffing opgelegd (art. 15c Wet 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Exitheffing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niet in strijd met EU-recht,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mits uitstel van betaling wordt verleend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proportioneel gehandhaafd.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Bevestigt samenhang tussen conserverende aanslag bij IB en 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exitheffing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bij </w:t>
      </w:r>
      <w:proofErr w:type="spellStart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6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Praktisch voorbeeld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DGA met aandelen in een Nederlandse bv emigreert naar Frankrijk.</w:t>
      </w:r>
    </w:p>
    <w:p w:rsidR="00B55544" w:rsidRPr="00B55544" w:rsidRDefault="00B55544" w:rsidP="00B555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Nederland legt een conserverende aanslag op over de fictieve vervreemding van de aandelen.</w:t>
      </w:r>
    </w:p>
    <w:p w:rsidR="00B55544" w:rsidRPr="00B55544" w:rsidRDefault="00B55544" w:rsidP="00B555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DGA hoeft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niet te betalen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zolang hij in de EU blijft en aan de voorwaarden voldoet.</w:t>
      </w:r>
    </w:p>
    <w:p w:rsidR="00B55544" w:rsidRPr="00B55544" w:rsidRDefault="00B55544" w:rsidP="00B555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Bij latere verkoop van de aandelen wordt de aanslag (deels) geïnd.</w:t>
      </w:r>
    </w:p>
    <w:p w:rsidR="00B55544" w:rsidRPr="00B55544" w:rsidRDefault="00B55544" w:rsidP="00B555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Bij verhuizing buiten de EU (bijv. Zwitserland) zou Nederland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zekerheid kunnen eisen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beperken tot 10 jaar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7</w:t>
      </w: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Samenvatting voor AI-training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96"/>
        <w:gridCol w:w="2672"/>
        <w:gridCol w:w="2011"/>
      </w:tblGrid>
      <w:tr w:rsidR="00B55544" w:rsidRPr="00B55544" w:rsidTr="00B55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lastRenderedPageBreak/>
              <w:t>Onderdeel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Kernbegrip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Belangrijkste Regel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Jurisprudentie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Behoud van Nederlands heffingsrecht bij emigratie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Nederland conserveert aanspraak op belasting bij toekomstige realisatie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C-470/04 (N), HR 2017:2360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Wettelijke basis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Art. 4.16 Wet IB 2001, Art. 25–27 Invorderingswet, Art. 15c Wet </w:t>
            </w:r>
            <w:proofErr w:type="spellStart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Opleggen voorwaardelijke aanslag over stille reserves of aandelen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EU/EER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Onbeperkt, zonder zekerheid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intrekken bij vervreemding of overtreding voorwaarden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“N”, HR 2017:2360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buiten EU/EER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Maximaal 10 jaar, zekerheid vereist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Intrekking bij risico voor inning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B55544" w:rsidRPr="00B55544" w:rsidTr="00B55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Belangrijke HR-uitspraken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2024:1243, 2025:1234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Bevestigen proportionaliteit en juiste verkrijgingsprijs bij remigratie</w:t>
            </w:r>
          </w:p>
        </w:tc>
        <w:tc>
          <w:tcPr>
            <w:tcW w:w="0" w:type="auto"/>
            <w:vAlign w:val="center"/>
            <w:hideMark/>
          </w:tcPr>
          <w:p w:rsidR="00B55544" w:rsidRPr="00B55544" w:rsidRDefault="00B55544" w:rsidP="00B5554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5554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2024, HR 2025</w:t>
            </w:r>
          </w:p>
        </w:tc>
      </w:tr>
    </w:tbl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555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🔍</w:t>
      </w:r>
      <w:r w:rsidRPr="00B55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</w: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een fiscaal vangnet waarmee Nederland voorkomt dat latente winsten bij emigratie onbelast blijven.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Binnen de EU is de regeling sterk beïnvloed door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EU-recht (vrijheid van vestiging)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daarom soepeler (onbeperkt uitstel, geen zekerheid).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Buiten de EU is de regeling strenger (tijdelijk uitstel, zekerheid vereist).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rechtspraak van de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Hoge Raad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het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Hof van Justitie EU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heeft geleid tot het huidige evenwicht tussen fiscale rechtvaardigheid en vrij verkeer van personen en kapitaal.</w:t>
      </w:r>
    </w:p>
    <w:p w:rsidR="00B55544" w:rsidRPr="00B55544" w:rsidRDefault="00F8352F" w:rsidP="00B5554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8352F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Pr="00B55544" w:rsidRDefault="00B55544" w:rsidP="00B555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Wil je dat ik hierna ook een </w:t>
      </w:r>
      <w:r w:rsidRPr="00B5554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visueel schema of tijdlijn</w:t>
      </w:r>
      <w:r w:rsidRPr="00B5554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maak van de werking van de conserverende aanslag (bij emigratie → uitstel → intrekking → remigratie)? Dat is vaak nuttig voor trainingsmateriaal.</w:t>
      </w:r>
    </w:p>
    <w:p w:rsidR="00B55544" w:rsidRPr="00B55544" w:rsidRDefault="00B55544">
      <w:r w:rsidRPr="00B55544">
        <w:t>Jurisprudentie</w:t>
      </w:r>
    </w:p>
    <w:p w:rsidR="00B55544" w:rsidRDefault="00B55544" w:rsidP="00B55544">
      <w:pPr>
        <w:pStyle w:val="Normaalweb"/>
      </w:pPr>
      <w:r>
        <w:t xml:space="preserve">Hieronder vind je </w:t>
      </w:r>
      <w:r>
        <w:rPr>
          <w:rStyle w:val="Zwaar"/>
        </w:rPr>
        <w:t>uitgebreide samenvattingen</w:t>
      </w:r>
      <w:r>
        <w:t xml:space="preserve"> van enkele belangrijke jurisprudentie-zaken relevant voor de </w:t>
      </w:r>
      <w:r>
        <w:rPr>
          <w:rStyle w:val="Zwaar"/>
        </w:rPr>
        <w:t xml:space="preserve">conserverende </w:t>
      </w:r>
      <w:proofErr w:type="gramStart"/>
      <w:r>
        <w:rPr>
          <w:rStyle w:val="Zwaar"/>
        </w:rPr>
        <w:t>aanslag /</w:t>
      </w:r>
      <w:proofErr w:type="gramEnd"/>
      <w:r>
        <w:rPr>
          <w:rStyle w:val="Zwaar"/>
        </w:rPr>
        <w:t xml:space="preserve"> </w:t>
      </w:r>
      <w:proofErr w:type="spellStart"/>
      <w:r>
        <w:rPr>
          <w:rStyle w:val="Zwaar"/>
        </w:rPr>
        <w:t>exitheffing</w:t>
      </w:r>
      <w:proofErr w:type="spellEnd"/>
      <w:r>
        <w:rPr>
          <w:rStyle w:val="Zwaar"/>
        </w:rPr>
        <w:t xml:space="preserve"> bij emigratie</w:t>
      </w:r>
      <w:r>
        <w:t>, met name voor AI-trainingsdoeleinden. Iedere zaak heeft: feiten, rechtsvraag, oordeel, betekenis voor de praktijk.</w:t>
      </w:r>
    </w:p>
    <w:p w:rsidR="00B55544" w:rsidRDefault="00F8352F" w:rsidP="00B55544">
      <w:r>
        <w:rPr>
          <w:noProof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Default="00B55544" w:rsidP="00B55544">
      <w:pPr>
        <w:pStyle w:val="Kop2"/>
      </w:pPr>
      <w:r>
        <w:t xml:space="preserve">1) </w:t>
      </w:r>
      <w:proofErr w:type="spellStart"/>
      <w:r>
        <w:t>HvJ</w:t>
      </w:r>
      <w:proofErr w:type="spellEnd"/>
      <w:r>
        <w:t xml:space="preserve"> EG C</w:t>
      </w:r>
      <w:r>
        <w:noBreakHyphen/>
        <w:t>470/04 (N) (Hof van Justitie EU, 7 september 2006)</w:t>
      </w:r>
    </w:p>
    <w:p w:rsidR="00B55544" w:rsidRDefault="00B55544" w:rsidP="00B55544">
      <w:pPr>
        <w:pStyle w:val="Normaalweb"/>
      </w:pPr>
      <w:r>
        <w:rPr>
          <w:rStyle w:val="Zwaar"/>
        </w:rPr>
        <w:lastRenderedPageBreak/>
        <w:t>Feiten</w:t>
      </w:r>
      <w:r>
        <w:br/>
        <w:t>Een Nederlander met een aanmerkelijk belang in een Nederlandse vennootschap emigreerde naar een andere EU-lidstaat (Verenigd Koninkrijk). Nederland legde bij vertrek een aanslag op (conserverende of fictieve vervreemding) over de latente waardestijging van zijn aandelen. Nederland eiste zekerheidstelling voor uitstel van betaling.</w:t>
      </w:r>
    </w:p>
    <w:p w:rsidR="00B55544" w:rsidRDefault="00B55544" w:rsidP="00B55544">
      <w:pPr>
        <w:pStyle w:val="Normaalweb"/>
      </w:pPr>
      <w:r>
        <w:rPr>
          <w:rStyle w:val="Zwaar"/>
        </w:rPr>
        <w:t>Rechtsvraag</w:t>
      </w:r>
      <w:r>
        <w:br/>
        <w:t xml:space="preserve">Is zo’n </w:t>
      </w:r>
      <w:proofErr w:type="spellStart"/>
      <w:r>
        <w:t>exitheffing</w:t>
      </w:r>
      <w:proofErr w:type="spellEnd"/>
      <w:r>
        <w:t xml:space="preserve"> of conserverende aanslag in strijd met de vrijheid van vestiging (art. 49 VWEU)? En zo ja, onder welke voorwaarden is de regeling toegestaan?</w:t>
      </w:r>
    </w:p>
    <w:p w:rsidR="00B55544" w:rsidRDefault="00B55544" w:rsidP="00B55544">
      <w:pPr>
        <w:pStyle w:val="Normaalweb"/>
      </w:pPr>
      <w:r>
        <w:rPr>
          <w:rStyle w:val="Zwaar"/>
        </w:rPr>
        <w:t>Oordeel</w:t>
      </w:r>
      <w:r>
        <w:br/>
        <w:t xml:space="preserve">Het Hof van Justitie oordeelde dat de </w:t>
      </w:r>
      <w:proofErr w:type="spellStart"/>
      <w:r>
        <w:t>exitheffing</w:t>
      </w:r>
      <w:proofErr w:type="spellEnd"/>
      <w:r>
        <w:t xml:space="preserve"> een beperking kan vormen van de vrijheid van vestiging, maar dat deze niet per definitie onrechtmatig is. Het oordeel bevatte onder andere:</w:t>
      </w:r>
    </w:p>
    <w:p w:rsidR="00B55544" w:rsidRDefault="00B55544" w:rsidP="00B55544">
      <w:pPr>
        <w:pStyle w:val="Normaalweb"/>
        <w:numPr>
          <w:ilvl w:val="0"/>
          <w:numId w:val="6"/>
        </w:numPr>
      </w:pPr>
      <w:r>
        <w:t>De regeling moet gerechtvaardigd zijn door een legitiem doel, zoals “het waarborgen van een evenwichtige verdeling van de heffingsbevoegdheid”. (</w:t>
      </w:r>
      <w:hyperlink r:id="rId5" w:tooltip="Verplichte Arresten EU - Belastingrecht 2022 (Week 1-4) - Studeersnel" w:history="1">
        <w:r>
          <w:rPr>
            <w:rStyle w:val="Hyperlink"/>
            <w:rFonts w:eastAsiaTheme="majorEastAsia"/>
          </w:rPr>
          <w:t>Studeersnel</w:t>
        </w:r>
      </w:hyperlink>
      <w:r>
        <w:t>)</w:t>
      </w:r>
    </w:p>
    <w:p w:rsidR="00B55544" w:rsidRDefault="00B55544" w:rsidP="00B55544">
      <w:pPr>
        <w:pStyle w:val="Normaalweb"/>
        <w:numPr>
          <w:ilvl w:val="0"/>
          <w:numId w:val="6"/>
        </w:numPr>
      </w:pPr>
      <w:r>
        <w:t>Verplichtstelling van zekerheid voor uitstel van betaling kan een belemmering vormen van de vrijheid van vestiging. (</w:t>
      </w:r>
      <w:hyperlink r:id="rId6" w:tooltip="Verplichte Arresten EU - Belastingrecht 2022 (Week 1-4) - Studeersnel" w:history="1">
        <w:r>
          <w:rPr>
            <w:rStyle w:val="Hyperlink"/>
            <w:rFonts w:eastAsiaTheme="majorEastAsia"/>
          </w:rPr>
          <w:t>Studeersnel</w:t>
        </w:r>
      </w:hyperlink>
      <w:r>
        <w:t>)</w:t>
      </w:r>
    </w:p>
    <w:p w:rsidR="00B55544" w:rsidRDefault="00B55544" w:rsidP="00B55544">
      <w:pPr>
        <w:pStyle w:val="Normaalweb"/>
        <w:numPr>
          <w:ilvl w:val="0"/>
          <w:numId w:val="6"/>
        </w:numPr>
      </w:pPr>
      <w:r>
        <w:t xml:space="preserve">De regeling moet proportioneel zijn. Het Hof wees erop dat het </w:t>
      </w:r>
      <w:proofErr w:type="spellStart"/>
      <w:r>
        <w:t>notion</w:t>
      </w:r>
      <w:proofErr w:type="spellEnd"/>
      <w:r>
        <w:t xml:space="preserve"> of heffing over latente </w:t>
      </w:r>
      <w:proofErr w:type="spellStart"/>
      <w:r>
        <w:t>meerwaarden</w:t>
      </w:r>
      <w:proofErr w:type="spellEnd"/>
      <w:r>
        <w:t xml:space="preserve"> op het moment van vertrek acceptabel kan zijn “mits” voldoende uitstel of betalingsfaciliteit geldt. (</w:t>
      </w:r>
      <w:hyperlink r:id="rId7" w:tooltip="Verplichte Arresten EU - Belastingrecht 2022 (Week 1-4) - Studeersnel" w:history="1">
        <w:r>
          <w:rPr>
            <w:rStyle w:val="Hyperlink"/>
            <w:rFonts w:eastAsiaTheme="majorEastAsia"/>
          </w:rPr>
          <w:t>Studeersnel</w:t>
        </w:r>
      </w:hyperlink>
      <w:r>
        <w:t>)</w:t>
      </w:r>
    </w:p>
    <w:p w:rsidR="00B55544" w:rsidRDefault="00B55544" w:rsidP="00B55544">
      <w:pPr>
        <w:pStyle w:val="Normaalweb"/>
      </w:pPr>
      <w:r>
        <w:rPr>
          <w:rStyle w:val="Zwaar"/>
        </w:rPr>
        <w:t>Betekenis voor de praktijk</w:t>
      </w:r>
    </w:p>
    <w:p w:rsidR="00B55544" w:rsidRDefault="00B55544" w:rsidP="00B55544">
      <w:pPr>
        <w:pStyle w:val="Normaalweb"/>
        <w:numPr>
          <w:ilvl w:val="0"/>
          <w:numId w:val="7"/>
        </w:numPr>
      </w:pPr>
      <w:r>
        <w:t xml:space="preserve">Dit arrest vormt de </w:t>
      </w:r>
      <w:r>
        <w:rPr>
          <w:rStyle w:val="Zwaar"/>
        </w:rPr>
        <w:t>Europese toetssteen</w:t>
      </w:r>
      <w:r>
        <w:t xml:space="preserve"> voor Nederlandse conserverende aanslagen bij emigratie binnen de EU/EER.</w:t>
      </w:r>
    </w:p>
    <w:p w:rsidR="00B55544" w:rsidRDefault="00B55544" w:rsidP="00B55544">
      <w:pPr>
        <w:pStyle w:val="Normaalweb"/>
        <w:numPr>
          <w:ilvl w:val="0"/>
          <w:numId w:val="7"/>
        </w:numPr>
      </w:pPr>
      <w:r>
        <w:t xml:space="preserve">Het betekent dat Nederland wel een aanslag mag opleggen, maar dat voorwaarden zoals </w:t>
      </w:r>
      <w:r>
        <w:rPr>
          <w:rStyle w:val="Zwaar"/>
        </w:rPr>
        <w:t>uitstel van betaling</w:t>
      </w:r>
      <w:r>
        <w:t xml:space="preserve"> en </w:t>
      </w:r>
      <w:r>
        <w:rPr>
          <w:rStyle w:val="Zwaar"/>
        </w:rPr>
        <w:t>geen disproportionele zekerheidstelling</w:t>
      </w:r>
      <w:r>
        <w:t xml:space="preserve"> belangrijk zijn.</w:t>
      </w:r>
    </w:p>
    <w:p w:rsidR="00B55544" w:rsidRDefault="00B55544" w:rsidP="00B55544">
      <w:pPr>
        <w:pStyle w:val="Normaalweb"/>
        <w:numPr>
          <w:ilvl w:val="0"/>
          <w:numId w:val="7"/>
        </w:numPr>
      </w:pPr>
      <w:r>
        <w:t xml:space="preserve">Voor AI-modeltraining: dit arrest onderstreept dat </w:t>
      </w:r>
      <w:r>
        <w:rPr>
          <w:rStyle w:val="Nadruk"/>
        </w:rPr>
        <w:t>vestigingsvrijheid</w:t>
      </w:r>
      <w:r>
        <w:t xml:space="preserve"> een randvoorwaarde vormt, en dat de staatsmacht om latente waardestijgingen bij vertrek te heffen wel bestaat, maar gebonden is aan proportionaliteit en non-discriminatie.</w:t>
      </w:r>
    </w:p>
    <w:p w:rsidR="00B55544" w:rsidRDefault="00F8352F" w:rsidP="00B55544">
      <w:r>
        <w:rPr>
          <w:noProof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Default="00B55544" w:rsidP="00B55544">
      <w:pPr>
        <w:pStyle w:val="Kop2"/>
      </w:pPr>
      <w:r>
        <w:t>2) Hoge Raad 20 september 2024, ECLI:NL:HR:2024:1243</w:t>
      </w:r>
    </w:p>
    <w:p w:rsidR="00B55544" w:rsidRDefault="00B55544" w:rsidP="00B55544">
      <w:pPr>
        <w:pStyle w:val="Normaalweb"/>
      </w:pPr>
      <w:r>
        <w:rPr>
          <w:rStyle w:val="Zwaar"/>
        </w:rPr>
        <w:t>Feiten</w:t>
      </w:r>
    </w:p>
    <w:p w:rsidR="00B55544" w:rsidRDefault="00B55544" w:rsidP="00B55544">
      <w:pPr>
        <w:pStyle w:val="Normaalweb"/>
        <w:numPr>
          <w:ilvl w:val="0"/>
          <w:numId w:val="8"/>
        </w:numPr>
      </w:pPr>
      <w:r>
        <w:t>Belanghebbende (X) hield sinds 1995 alle aandelen in een Nederlandse BV; verkrijgingsprijs € 18.151. (</w:t>
      </w:r>
      <w:proofErr w:type="spellStart"/>
      <w:r>
        <w:fldChar w:fldCharType="begin"/>
      </w:r>
      <w:r>
        <w:instrText>HYPERLINK "https://www.lexboost.com/rechtspraak/ECLI%3ANL%3AHR%3A2024%3A1243?utm_source=chatgpt.com" \o "ECLI:NL:HR:2024:1243 - Hoge Raad - Cassatie over verkrijgingsprijs van aandelen bij remigrat..."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  <w:numPr>
          <w:ilvl w:val="0"/>
          <w:numId w:val="8"/>
        </w:numPr>
      </w:pPr>
      <w:r>
        <w:t>In 2001 emigreerde X naar het Verenigd Koninkrijk; in 2003 verhuisde hij naar België. In 2004 werd de werkelijke leiding van de BV verplaatst naar Curaçao. (</w:t>
      </w:r>
      <w:proofErr w:type="spellStart"/>
      <w:r>
        <w:fldChar w:fldCharType="begin"/>
      </w:r>
      <w:r>
        <w:instrText>HYPERLINK "https://www.lexboost.com/rechtspraak/ECLI%3ANL%3AHR%3A2024%3A1243?utm_source=chatgpt.com" \o "ECLI:NL:HR:2024:1243 - Hoge Raad - Cassatie over verkrijgingsprijs van aandelen bij remigrat..."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  <w:numPr>
          <w:ilvl w:val="0"/>
          <w:numId w:val="8"/>
        </w:numPr>
      </w:pPr>
      <w:r>
        <w:t>In 2001 werd een conserverende aanslag opgelegd over een waarde in het economische verkeer van de aandelen, minus de kostprijs. Uitstel van betaling werd verleend. (</w:t>
      </w:r>
      <w:proofErr w:type="spellStart"/>
      <w:r>
        <w:fldChar w:fldCharType="begin"/>
      </w:r>
      <w:r>
        <w:instrText>HYPERLINK "https://www.lexboost.com/rechtspraak/ECLI%3ANL%3AHR%3A2024%3A1243?utm_source=chatgpt.com" \o "ECLI:NL:HR:2024:1243 - Hoge Raad - Cassatie over verkrijgingsprijs van aandelen bij remigrat..."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  <w:numPr>
          <w:ilvl w:val="0"/>
          <w:numId w:val="8"/>
        </w:numPr>
      </w:pPr>
      <w:r>
        <w:lastRenderedPageBreak/>
        <w:t>In 2017 remigreerde X naar Nederland. De Inspecteur stelde de verkrijgingsprijs vast op € 139.141 (kostprijs + bepaalde waardeaangroei). (</w:t>
      </w:r>
      <w:proofErr w:type="spellStart"/>
      <w:r>
        <w:fldChar w:fldCharType="begin"/>
      </w:r>
      <w:r>
        <w:instrText>HYPERLINK "https://www.lexboost.com/rechtspraak/ECLI%3ANL%3AHR%3A2024%3A1243?utm_source=chatgpt.com" \o "ECLI:NL:HR:2024:1243 - Hoge Raad - Cassatie over verkrijgingsprijs van aandelen bij remigrat..."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</w:pPr>
      <w:r>
        <w:rPr>
          <w:rStyle w:val="Zwaar"/>
        </w:rPr>
        <w:t>Rechtsvraag</w:t>
      </w:r>
      <w:r>
        <w:br/>
        <w:t xml:space="preserve">Moet de verkrijgingsprijs van de aandelen bij remigratie worden </w:t>
      </w:r>
      <w:r>
        <w:rPr>
          <w:rStyle w:val="Zwaar"/>
        </w:rPr>
        <w:t>verhoogd</w:t>
      </w:r>
      <w:r>
        <w:t xml:space="preserve"> met de waardeaangroei die is ontstaan in de periode dat de belanghebbende buitenlands belastingplichtig was? Met name: geldt de stap-up (“</w:t>
      </w:r>
      <w:proofErr w:type="spellStart"/>
      <w:r>
        <w:t>step-up</w:t>
      </w:r>
      <w:proofErr w:type="spellEnd"/>
      <w:r>
        <w:t>”) van de kostprijs, gezien de vestigingsplaatsfictie of buitenlandse belastingplicht?</w:t>
      </w:r>
    </w:p>
    <w:p w:rsidR="00B55544" w:rsidRDefault="00B55544" w:rsidP="00B55544">
      <w:pPr>
        <w:pStyle w:val="Normaalweb"/>
      </w:pPr>
      <w:r>
        <w:rPr>
          <w:rStyle w:val="Zwaar"/>
        </w:rPr>
        <w:t>Oordeel</w:t>
      </w:r>
      <w:r>
        <w:br/>
        <w:t>De Hoge Raad oordeelde dat de verkrijgingsprijs niet mag worden vermeerderd met de waardeaangroei uit de periode dat de houder van het aanmerkelijk belang buitenlands belastingplichtig was. (</w:t>
      </w:r>
      <w:proofErr w:type="spellStart"/>
      <w:r>
        <w:fldChar w:fldCharType="begin"/>
      </w:r>
      <w:r>
        <w:instrText>HYPERLINK "https://explore.law/app/library/nl-case-law/ECLI%3ANL%3AHR%3A2024%3A1243-arrest-vestigingsplaatsfictie-bepaalt-verkrijgingsprijs-bij-remigratie-onder-de-wet-van-toen?utm_source=chatgpt.com" \o "ECLI:NL:HR:2024:1243 - Vestigingsplaatsfictie bepaalt verkrijgingsprijs bij remigratie onder de wet van toen - Explore.law"</w:instrText>
      </w:r>
      <w:r>
        <w:fldChar w:fldCharType="separate"/>
      </w:r>
      <w:r>
        <w:rPr>
          <w:rStyle w:val="Hyperlink"/>
          <w:rFonts w:eastAsiaTheme="majorEastAsia"/>
        </w:rPr>
        <w:t>Explore</w:t>
      </w:r>
      <w:proofErr w:type="spellEnd"/>
      <w:r>
        <w:rPr>
          <w:rStyle w:val="Hyperlink"/>
          <w:rFonts w:eastAsiaTheme="majorEastAsia"/>
        </w:rPr>
        <w:t xml:space="preserve"> </w:t>
      </w:r>
      <w:proofErr w:type="spellStart"/>
      <w:r>
        <w:rPr>
          <w:rStyle w:val="Hyperlink"/>
          <w:rFonts w:eastAsiaTheme="majorEastAsia"/>
        </w:rPr>
        <w:t>Law</w:t>
      </w:r>
      <w:proofErr w:type="spellEnd"/>
      <w:r>
        <w:fldChar w:fldCharType="end"/>
      </w:r>
      <w:r>
        <w:t>)</w:t>
      </w:r>
      <w:r>
        <w:br/>
        <w:t>Belangrijk overweging:</w:t>
      </w:r>
    </w:p>
    <w:p w:rsidR="00B55544" w:rsidRDefault="00B55544" w:rsidP="00B55544">
      <w:pPr>
        <w:pStyle w:val="Normaalweb"/>
        <w:numPr>
          <w:ilvl w:val="0"/>
          <w:numId w:val="9"/>
        </w:numPr>
      </w:pPr>
      <w:r>
        <w:t>De beoordeling of iemand buitenlands belastingplichtig was, moet plaatsvinden naar de regels die in die periode golden (dus historisch toetsen). (</w:t>
      </w:r>
      <w:proofErr w:type="spellStart"/>
      <w:r>
        <w:fldChar w:fldCharType="begin"/>
      </w:r>
      <w:r>
        <w:instrText>HYPERLINK "https://explore.law/app/library/nl-case-law/ECLI%3ANL%3AHR%3A2024%3A1243-arrest-vestigingsplaatsfictie-bepaalt-verkrijgingsprijs-bij-remigratie-onder-de-wet-van-toen?utm_source=chatgpt.com" \o "ECLI:NL:HR:2024:1243 - Vestigingsplaatsfictie bepaalt verkrijgingsprijs bij remigratie onder de wet van toen - Explore.law"</w:instrText>
      </w:r>
      <w:r>
        <w:fldChar w:fldCharType="separate"/>
      </w:r>
      <w:r>
        <w:rPr>
          <w:rStyle w:val="Hyperlink"/>
          <w:rFonts w:eastAsiaTheme="majorEastAsia"/>
        </w:rPr>
        <w:t>Explore</w:t>
      </w:r>
      <w:proofErr w:type="spellEnd"/>
      <w:r>
        <w:rPr>
          <w:rStyle w:val="Hyperlink"/>
          <w:rFonts w:eastAsiaTheme="majorEastAsia"/>
        </w:rPr>
        <w:t xml:space="preserve"> </w:t>
      </w:r>
      <w:proofErr w:type="spellStart"/>
      <w:r>
        <w:rPr>
          <w:rStyle w:val="Hyperlink"/>
          <w:rFonts w:eastAsiaTheme="majorEastAsia"/>
        </w:rPr>
        <w:t>Law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  <w:numPr>
          <w:ilvl w:val="0"/>
          <w:numId w:val="9"/>
        </w:numPr>
      </w:pPr>
      <w:r>
        <w:t xml:space="preserve">Omdat in die periode de vestigingsplaatsfictie (art.7.5 lid 6 Wet IB 2001 oud) </w:t>
      </w:r>
      <w:proofErr w:type="spellStart"/>
      <w:r>
        <w:t>geldde</w:t>
      </w:r>
      <w:proofErr w:type="spellEnd"/>
      <w:r>
        <w:t>, was de belanghebbende geacht buitenlands belastingplichtig te zijn – dus geen verhoging van de kostprijs. (</w:t>
      </w:r>
      <w:proofErr w:type="spellStart"/>
      <w:r>
        <w:fldChar w:fldCharType="begin"/>
      </w:r>
      <w:r>
        <w:instrText>HYPERLINK "https://www.lexboost.com/rechtspraak/ECLI%3ANL%3AHR%3A2024%3A1243?utm_source=chatgpt.com" \o "ECLI:NL:HR:2024:1243 - Hoge Raad - Cassatie over verkrijgingsprijs van aandelen bij remigrat..."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</w:pPr>
      <w:r>
        <w:rPr>
          <w:rStyle w:val="Zwaar"/>
        </w:rPr>
        <w:t>Betekenis voor de praktijk</w:t>
      </w:r>
    </w:p>
    <w:p w:rsidR="00B55544" w:rsidRDefault="00B55544" w:rsidP="00B55544">
      <w:pPr>
        <w:pStyle w:val="Normaalweb"/>
        <w:numPr>
          <w:ilvl w:val="0"/>
          <w:numId w:val="10"/>
        </w:numPr>
      </w:pPr>
      <w:r>
        <w:t>Voor de AI-training is deze zaak een goede illustratie van hoe de verkrijgingsprijs wordt vast</w:t>
      </w:r>
      <w:r>
        <w:softHyphen/>
        <w:t xml:space="preserve">gesteld bij remigratie, en hoe periode van buitenlandse belastingplicht </w:t>
      </w:r>
      <w:r>
        <w:rPr>
          <w:rStyle w:val="Zwaar"/>
        </w:rPr>
        <w:t>effect heeft op de kostprijs</w:t>
      </w:r>
      <w:r>
        <w:t>.</w:t>
      </w:r>
    </w:p>
    <w:p w:rsidR="00B55544" w:rsidRDefault="00B55544" w:rsidP="00B55544">
      <w:pPr>
        <w:pStyle w:val="Normaalweb"/>
        <w:numPr>
          <w:ilvl w:val="0"/>
          <w:numId w:val="10"/>
        </w:numPr>
      </w:pPr>
      <w:r>
        <w:t>Het laat zien dat de Belastingdienst en de rechter niet automatisch waardeaangroei mee laten lopen: er is duidelijke toetsing of belastingplicht in Nederland in die tussenperiode heeft gegolden.</w:t>
      </w:r>
    </w:p>
    <w:p w:rsidR="00B55544" w:rsidRDefault="00B55544" w:rsidP="00B55544">
      <w:pPr>
        <w:pStyle w:val="Normaalweb"/>
        <w:numPr>
          <w:ilvl w:val="0"/>
          <w:numId w:val="10"/>
        </w:numPr>
      </w:pPr>
      <w:r>
        <w:t xml:space="preserve">In de context van conserverende </w:t>
      </w:r>
      <w:proofErr w:type="gramStart"/>
      <w:r>
        <w:t>aanslagen /</w:t>
      </w:r>
      <w:proofErr w:type="gramEnd"/>
      <w:r>
        <w:t xml:space="preserve"> exit-regels: het bevestigt dat documentatie van verblijf, belastingplicht, verplaatsing van leiding etc. cruciaal is.</w:t>
      </w:r>
    </w:p>
    <w:p w:rsidR="00B55544" w:rsidRDefault="00F8352F" w:rsidP="00B55544">
      <w:r>
        <w:rPr>
          <w:noProof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Default="00B55544" w:rsidP="00B55544">
      <w:pPr>
        <w:pStyle w:val="Kop2"/>
      </w:pPr>
      <w:r>
        <w:t>3) (Voorbeeld) Hoge Raad 25 april 2025, ECLI:NL:HR:2025:668</w:t>
      </w:r>
    </w:p>
    <w:p w:rsidR="00B55544" w:rsidRDefault="00B55544" w:rsidP="00B55544">
      <w:pPr>
        <w:pStyle w:val="Normaalweb"/>
      </w:pPr>
      <w:r>
        <w:rPr>
          <w:rStyle w:val="Zwaar"/>
        </w:rPr>
        <w:t>Feiten</w:t>
      </w:r>
      <w:r>
        <w:br/>
        <w:t xml:space="preserve">Een vennootschap (houdster) verplaatste de feitelijke leiding naar Curaçao en vervolgens kreeg zij een </w:t>
      </w:r>
      <w:proofErr w:type="spellStart"/>
      <w:r>
        <w:t>Vpb</w:t>
      </w:r>
      <w:proofErr w:type="spellEnd"/>
      <w:r>
        <w:t>-aanslag. De aandeelhouder woonde op Curaçao; de vennootschap had dividenduitkering via een buitenlandse structuur. (</w:t>
      </w:r>
      <w:proofErr w:type="spellStart"/>
      <w:r>
        <w:fldChar w:fldCharType="begin"/>
      </w:r>
      <w:r>
        <w:instrText>HYPERLINK "https://www.lexboost.com/rechtspraak/ECLI%3ANL%3AHR%3A2025%3A668?utm_source=chatgpt.com" \o "ECLI:NL:HR:2025:668 - Hoge Raad"</w:instrText>
      </w:r>
      <w:r>
        <w:fldChar w:fldCharType="separate"/>
      </w:r>
      <w:r>
        <w:rPr>
          <w:rStyle w:val="Hyperlink"/>
          <w:rFonts w:eastAsiaTheme="majorEastAsia"/>
        </w:rPr>
        <w:t>Lexboost</w:t>
      </w:r>
      <w:proofErr w:type="spellEnd"/>
      <w:r>
        <w:fldChar w:fldCharType="end"/>
      </w:r>
      <w:r>
        <w:t>)</w:t>
      </w:r>
    </w:p>
    <w:p w:rsidR="00B55544" w:rsidRDefault="00B55544" w:rsidP="00B55544">
      <w:pPr>
        <w:pStyle w:val="Normaalweb"/>
      </w:pPr>
      <w:r>
        <w:rPr>
          <w:rStyle w:val="Zwaar"/>
        </w:rPr>
        <w:t>Rechtsvraag</w:t>
      </w:r>
      <w:r>
        <w:br/>
        <w:t xml:space="preserve">Hoe moet een nationale antimisbruikbepaling (in </w:t>
      </w:r>
      <w:proofErr w:type="spellStart"/>
      <w:r>
        <w:t>Vpb</w:t>
      </w:r>
      <w:proofErr w:type="spellEnd"/>
      <w:r>
        <w:t>-wet) worden geïnterpreteerd in het licht van het Unierecht (vrijheid van vestiging en misbruikbegrip)? [Hoewel dit minder direct over de conserverende aanslag van natuurlijke personen gaat, raakt het wel de grensoverschrijdende belastingheffing bij figuren met buitenlandse vestiging.]</w:t>
      </w:r>
    </w:p>
    <w:p w:rsidR="00B55544" w:rsidRDefault="00B55544" w:rsidP="00B55544">
      <w:pPr>
        <w:pStyle w:val="Normaalweb"/>
      </w:pPr>
      <w:r>
        <w:rPr>
          <w:rStyle w:val="Zwaar"/>
        </w:rPr>
        <w:lastRenderedPageBreak/>
        <w:t>Oordeel</w:t>
      </w:r>
      <w:r>
        <w:br/>
        <w:t xml:space="preserve">De Hoge Raad oordeelde dat art. 17 lid 3 sub b Wet </w:t>
      </w:r>
      <w:proofErr w:type="spellStart"/>
      <w:r>
        <w:t>Vpb</w:t>
      </w:r>
      <w:proofErr w:type="spellEnd"/>
      <w:r>
        <w:t xml:space="preserve"> (een antimisbruikregel) conform EU-recht moet worden uitgelegd, in het bijzonder rekening houdend met jurisprudentie van het </w:t>
      </w:r>
      <w:proofErr w:type="spellStart"/>
      <w:r>
        <w:t>HvJ</w:t>
      </w:r>
      <w:proofErr w:type="spellEnd"/>
      <w:r>
        <w:t xml:space="preserve"> EU over misbruik. (</w:t>
      </w:r>
      <w:hyperlink r:id="rId8" w:tooltip="ACTUALITEITEN EU-" w:history="1">
        <w:r>
          <w:rPr>
            <w:rStyle w:val="Hyperlink"/>
            <w:rFonts w:eastAsiaTheme="majorEastAsia"/>
          </w:rPr>
          <w:t>EFS, Erasmus University Rotterdam</w:t>
        </w:r>
      </w:hyperlink>
      <w:r>
        <w:t>)</w:t>
      </w:r>
    </w:p>
    <w:p w:rsidR="00B55544" w:rsidRDefault="00B55544" w:rsidP="00B55544">
      <w:pPr>
        <w:pStyle w:val="Normaalweb"/>
      </w:pPr>
      <w:r>
        <w:rPr>
          <w:rStyle w:val="Zwaar"/>
        </w:rPr>
        <w:t>Betekenis voor de praktijk</w:t>
      </w:r>
    </w:p>
    <w:p w:rsidR="00B55544" w:rsidRDefault="00B55544" w:rsidP="00B55544">
      <w:pPr>
        <w:pStyle w:val="Normaalweb"/>
        <w:numPr>
          <w:ilvl w:val="0"/>
          <w:numId w:val="11"/>
        </w:numPr>
      </w:pPr>
      <w:r>
        <w:t>Voor het AI-model is deze zaak relevant omdat hij verduidelijkt hoe grensoverschrijdende constructies worden beoordeeld – ook bij emigratie of zetel-/</w:t>
      </w:r>
      <w:proofErr w:type="spellStart"/>
      <w:r>
        <w:t>leidingplaatsverplaatsing</w:t>
      </w:r>
      <w:proofErr w:type="spellEnd"/>
      <w:r>
        <w:t>.</w:t>
      </w:r>
    </w:p>
    <w:p w:rsidR="00B55544" w:rsidRDefault="00B55544" w:rsidP="00B55544">
      <w:pPr>
        <w:pStyle w:val="Normaalweb"/>
        <w:numPr>
          <w:ilvl w:val="0"/>
          <w:numId w:val="11"/>
        </w:numPr>
      </w:pPr>
      <w:r>
        <w:t>Hoewel het niet exact een klassieke conserverende aanslag-zaak is, helpt het begrip “misbruik” en “vrije vestiging” in de context van heffing bij vertrek.</w:t>
      </w:r>
    </w:p>
    <w:p w:rsidR="00B55544" w:rsidRDefault="00F8352F" w:rsidP="00B55544">
      <w:r>
        <w:rPr>
          <w:noProof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B55544" w:rsidRDefault="00B55544" w:rsidP="00B55544">
      <w:pPr>
        <w:pStyle w:val="Kop1"/>
      </w:pPr>
      <w:r>
        <w:t>Samenvatting &amp; aandachtspunten voor het model</w:t>
      </w:r>
    </w:p>
    <w:p w:rsidR="00B55544" w:rsidRDefault="00B55544" w:rsidP="00B55544">
      <w:pPr>
        <w:pStyle w:val="Normaalweb"/>
        <w:numPr>
          <w:ilvl w:val="0"/>
          <w:numId w:val="12"/>
        </w:numPr>
      </w:pPr>
      <w:r>
        <w:t>De zaak C-470/04 (N) is fundamenteel voor de EU-rechtelijke toetsing van conserverende aanslagen: vrijheid van vestiging, proportionaliteit, uitstel van betaling.</w:t>
      </w:r>
    </w:p>
    <w:p w:rsidR="00B55544" w:rsidRDefault="00B55544" w:rsidP="00B55544">
      <w:pPr>
        <w:pStyle w:val="Normaalweb"/>
        <w:numPr>
          <w:ilvl w:val="0"/>
          <w:numId w:val="12"/>
        </w:numPr>
      </w:pPr>
      <w:r>
        <w:t xml:space="preserve">De zaak HR 2024:1243 laat zien hoe de verkrijgingsprijs bij remigratie wordt beïnvloed door buitenlands belastingplichtige periodes – relevant voor </w:t>
      </w:r>
      <w:proofErr w:type="gramStart"/>
      <w:r>
        <w:t>aanmerkelijk belanghouders</w:t>
      </w:r>
      <w:proofErr w:type="gramEnd"/>
      <w:r>
        <w:t xml:space="preserve"> en de “</w:t>
      </w:r>
      <w:proofErr w:type="spellStart"/>
      <w:r>
        <w:t>step-up</w:t>
      </w:r>
      <w:proofErr w:type="spellEnd"/>
      <w:r>
        <w:t>-vraag”.</w:t>
      </w:r>
    </w:p>
    <w:p w:rsidR="00B55544" w:rsidRDefault="00B55544" w:rsidP="00B55544">
      <w:pPr>
        <w:pStyle w:val="Normaalweb"/>
        <w:numPr>
          <w:ilvl w:val="0"/>
          <w:numId w:val="12"/>
        </w:numPr>
      </w:pPr>
      <w:r>
        <w:t xml:space="preserve">De zaak HR 2025:668 (en vergelijkbare </w:t>
      </w:r>
      <w:proofErr w:type="spellStart"/>
      <w:r>
        <w:t>Vpb</w:t>
      </w:r>
      <w:proofErr w:type="spellEnd"/>
      <w:r>
        <w:t xml:space="preserve">-zaken) laat zien dat bij vennootschappen/holdingconstructies grensoverschrijdende aspecten en antimisbruikregels meespelen – ook relevant voor emigratie van vennootschappen of </w:t>
      </w:r>
      <w:proofErr w:type="spellStart"/>
      <w:r>
        <w:t>DGA’s</w:t>
      </w:r>
      <w:proofErr w:type="spellEnd"/>
      <w:r>
        <w:t>.</w:t>
      </w:r>
    </w:p>
    <w:p w:rsidR="00B55544" w:rsidRDefault="00B55544" w:rsidP="00B55544">
      <w:pPr>
        <w:pStyle w:val="Normaalweb"/>
        <w:numPr>
          <w:ilvl w:val="0"/>
          <w:numId w:val="12"/>
        </w:numPr>
      </w:pPr>
      <w:r>
        <w:t xml:space="preserve">Voor modeltraining is het goed om steeds de </w:t>
      </w:r>
      <w:r>
        <w:rPr>
          <w:rStyle w:val="Zwaar"/>
        </w:rPr>
        <w:t>feiten</w:t>
      </w:r>
      <w:r>
        <w:t xml:space="preserve"> (emigratie, belastingplicht, vestigingsplaats, waardestijging), de </w:t>
      </w:r>
      <w:r>
        <w:rPr>
          <w:rStyle w:val="Zwaar"/>
        </w:rPr>
        <w:t>juridische vragen</w:t>
      </w:r>
      <w:r>
        <w:t xml:space="preserve"> (belastingplicht, verkrijgingsprijs, proportionaliteit), en het </w:t>
      </w:r>
      <w:r>
        <w:rPr>
          <w:rStyle w:val="Zwaar"/>
        </w:rPr>
        <w:t>juridisch oordeel</w:t>
      </w:r>
      <w:r>
        <w:t xml:space="preserve"> te relateren aan de </w:t>
      </w:r>
      <w:r>
        <w:rPr>
          <w:rStyle w:val="Zwaar"/>
        </w:rPr>
        <w:t>praktische gevolgen</w:t>
      </w:r>
      <w:r>
        <w:t xml:space="preserve"> (kostprijs, heffing, uitstel, zekerheid).</w:t>
      </w:r>
    </w:p>
    <w:p w:rsidR="00B55544" w:rsidRDefault="00B55544" w:rsidP="00B55544">
      <w:pPr>
        <w:pStyle w:val="Normaalweb"/>
        <w:numPr>
          <w:ilvl w:val="0"/>
          <w:numId w:val="12"/>
        </w:numPr>
      </w:pPr>
      <w:r>
        <w:t>Het onderscheid EU/EER versus niet-EU komt sterk naar voren: binnen EU is bescherming hoger (geen zekerheid, onbeperkt uitstel), buiten EU zijn strengere voorwaarden.</w:t>
      </w:r>
    </w:p>
    <w:p w:rsidR="00B55544" w:rsidRPr="00B55544" w:rsidRDefault="00B55544">
      <w:pPr>
        <w:rPr>
          <w:lang w:val="en-GB"/>
        </w:rPr>
      </w:pPr>
    </w:p>
    <w:sectPr w:rsidR="00B55544" w:rsidRPr="00B55544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874"/>
    <w:multiLevelType w:val="multilevel"/>
    <w:tmpl w:val="D28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DE3"/>
    <w:multiLevelType w:val="multilevel"/>
    <w:tmpl w:val="19F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0487"/>
    <w:multiLevelType w:val="multilevel"/>
    <w:tmpl w:val="9A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2826"/>
    <w:multiLevelType w:val="multilevel"/>
    <w:tmpl w:val="068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051BD"/>
    <w:multiLevelType w:val="multilevel"/>
    <w:tmpl w:val="ED3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12608"/>
    <w:multiLevelType w:val="multilevel"/>
    <w:tmpl w:val="612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10C5"/>
    <w:multiLevelType w:val="multilevel"/>
    <w:tmpl w:val="F35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A09E4"/>
    <w:multiLevelType w:val="multilevel"/>
    <w:tmpl w:val="4D4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143CD"/>
    <w:multiLevelType w:val="multilevel"/>
    <w:tmpl w:val="AF1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836C9"/>
    <w:multiLevelType w:val="multilevel"/>
    <w:tmpl w:val="F6E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E10CF"/>
    <w:multiLevelType w:val="multilevel"/>
    <w:tmpl w:val="EE0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242C2"/>
    <w:multiLevelType w:val="multilevel"/>
    <w:tmpl w:val="C2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925577">
    <w:abstractNumId w:val="11"/>
  </w:num>
  <w:num w:numId="2" w16cid:durableId="2049913311">
    <w:abstractNumId w:val="4"/>
  </w:num>
  <w:num w:numId="3" w16cid:durableId="530268027">
    <w:abstractNumId w:val="9"/>
  </w:num>
  <w:num w:numId="4" w16cid:durableId="1596939090">
    <w:abstractNumId w:val="3"/>
  </w:num>
  <w:num w:numId="5" w16cid:durableId="1739549187">
    <w:abstractNumId w:val="0"/>
  </w:num>
  <w:num w:numId="6" w16cid:durableId="1964000471">
    <w:abstractNumId w:val="7"/>
  </w:num>
  <w:num w:numId="7" w16cid:durableId="1338385807">
    <w:abstractNumId w:val="6"/>
  </w:num>
  <w:num w:numId="8" w16cid:durableId="980959919">
    <w:abstractNumId w:val="5"/>
  </w:num>
  <w:num w:numId="9" w16cid:durableId="2046054565">
    <w:abstractNumId w:val="10"/>
  </w:num>
  <w:num w:numId="10" w16cid:durableId="241646185">
    <w:abstractNumId w:val="1"/>
  </w:num>
  <w:num w:numId="11" w16cid:durableId="450439863">
    <w:abstractNumId w:val="2"/>
  </w:num>
  <w:num w:numId="12" w16cid:durableId="642200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44"/>
    <w:rsid w:val="00017EE2"/>
    <w:rsid w:val="00094D1F"/>
    <w:rsid w:val="001C5DB1"/>
    <w:rsid w:val="00B55544"/>
    <w:rsid w:val="00F8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D2082"/>
  <w15:chartTrackingRefBased/>
  <w15:docId w15:val="{0F560B3B-5E44-D443-B502-5353B154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55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link w:val="Kop2Char"/>
    <w:uiPriority w:val="9"/>
    <w:qFormat/>
    <w:rsid w:val="00B555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B555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B55544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B55544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B555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B55544"/>
    <w:rPr>
      <w:b/>
      <w:bCs/>
    </w:rPr>
  </w:style>
  <w:style w:type="character" w:customStyle="1" w:styleId="Kop1Char">
    <w:name w:val="Kop 1 Char"/>
    <w:basedOn w:val="Standaardalinea-lettertype"/>
    <w:link w:val="Kop1"/>
    <w:uiPriority w:val="9"/>
    <w:rsid w:val="00B55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semiHidden/>
    <w:unhideWhenUsed/>
    <w:rsid w:val="00B55544"/>
    <w:rPr>
      <w:color w:val="0000FF"/>
      <w:u w:val="single"/>
    </w:rPr>
  </w:style>
  <w:style w:type="character" w:styleId="Nadruk">
    <w:name w:val="Emphasis"/>
    <w:basedOn w:val="Standaardalinea-lettertype"/>
    <w:uiPriority w:val="20"/>
    <w:qFormat/>
    <w:rsid w:val="00B555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0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rasmusfiscalstudies.nl/wp-content/uploads/2025/09/EFS-Webinar-Direct-Taxation-11-september-2025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udeersnel.nl/nl/document/vrije-universiteit-amsterdam/europees-belastingrecht/verplichte-arresten-eu/3980851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eersnel.nl/nl/document/vrije-universiteit-amsterdam/europees-belastingrecht/verplichte-arresten-eu/39808514?utm_source=chatgpt.com" TargetMode="External"/><Relationship Id="rId5" Type="http://schemas.openxmlformats.org/officeDocument/2006/relationships/hyperlink" Target="https://www.studeersnel.nl/nl/document/vrije-universiteit-amsterdam/europees-belastingrecht/verplichte-arresten-eu/39808514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2597</Words>
  <Characters>14285</Characters>
  <Application>Microsoft Office Word</Application>
  <DocSecurity>0</DocSecurity>
  <Lines>119</Lines>
  <Paragraphs>33</Paragraphs>
  <ScaleCrop>false</ScaleCrop>
  <Company/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2025-10-28T19:01:00Z</dcterms:created>
  <dcterms:modified xsi:type="dcterms:W3CDTF">2025-10-28T19:10:00Z</dcterms:modified>
</cp:coreProperties>
</file>